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93" w:rsidRDefault="00112293" w:rsidP="00032142">
      <w:pPr>
        <w:pStyle w:val="Odsekzoznamu"/>
        <w:spacing w:after="0"/>
        <w:jc w:val="center"/>
      </w:pPr>
    </w:p>
    <w:p w:rsidR="00B36DEF" w:rsidRDefault="00B36DEF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ZOZNAM POUŽITÝCH SKRATIEK</w:t>
      </w:r>
    </w:p>
    <w:p w:rsidR="00B36DEF" w:rsidRDefault="00B36DEF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Cs w:val="22"/>
        </w:rPr>
      </w:pPr>
    </w:p>
    <w:tbl>
      <w:tblPr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1360"/>
        <w:gridCol w:w="7300"/>
      </w:tblGrid>
      <w:tr w:rsidR="00B36DEF" w:rsidRPr="00B36DEF" w:rsidTr="00B36DEF">
        <w:trPr>
          <w:trHeight w:val="315"/>
        </w:trPr>
        <w:tc>
          <w:tcPr>
            <w:tcW w:w="4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000000" w:fill="E7E6E6"/>
            <w:vAlign w:val="center"/>
            <w:hideMark/>
          </w:tcPr>
          <w:p w:rsidR="00B36DEF" w:rsidRPr="00B36DEF" w:rsidRDefault="00B36DEF" w:rsidP="00B36DEF">
            <w:pPr>
              <w:jc w:val="center"/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ID</w:t>
            </w:r>
          </w:p>
        </w:tc>
        <w:tc>
          <w:tcPr>
            <w:tcW w:w="136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E7E6E6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SKRATKA</w:t>
            </w:r>
          </w:p>
        </w:tc>
        <w:tc>
          <w:tcPr>
            <w:tcW w:w="730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000000" w:fill="E7E6E6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POPIS</w:t>
            </w:r>
          </w:p>
        </w:tc>
      </w:tr>
      <w:tr w:rsidR="00B36DEF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API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Application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programming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interface (rozhranie pre programovanie aplikácií)</w:t>
            </w:r>
          </w:p>
        </w:tc>
      </w:tr>
      <w:tr w:rsidR="00B36DEF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Alerts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Z pohľadu IT ponímania alarm, ktorý poskytuje varovanie, výstrahu v predstihu činnosti</w:t>
            </w:r>
          </w:p>
        </w:tc>
      </w:tr>
      <w:tr w:rsidR="00B36DEF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DE0EBE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</w:t>
            </w:r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CSIRT / CSIRT.SK 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Computer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Security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Incident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Response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Team Slovakia</w:t>
            </w:r>
          </w:p>
        </w:tc>
      </w:tr>
      <w:tr w:rsidR="00B36DEF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DE0EBE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4</w:t>
            </w:r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CSV, STIX, MISP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format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FF0B7A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Comma-separated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values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;</w:t>
            </w:r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Structured</w:t>
            </w:r>
            <w:proofErr w:type="spellEnd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Information</w:t>
            </w:r>
            <w:proofErr w:type="spellEnd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Expression</w:t>
            </w:r>
            <w:proofErr w:type="spellEnd"/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Vstupné a výstupné formáty požadované pre </w:t>
            </w:r>
            <w:proofErr w:type="spellStart"/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Source</w:t>
            </w:r>
            <w:proofErr w:type="spellEnd"/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Platformu MISP</w:t>
            </w:r>
            <w:r w:rsidR="008E112B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B36DEF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DE0EBE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5</w:t>
            </w:r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CVEs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Common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Exposures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(Referenčná metóda pre verejne známe zraniteľnosti a riziká v oblasti bezpečnosti informácií)</w:t>
            </w:r>
          </w:p>
        </w:tc>
      </w:tr>
      <w:tr w:rsidR="00B36DEF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DE0EBE" w:rsidP="00B36DEF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6</w:t>
            </w:r>
            <w:r w:rsidR="00B36DEF"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DNS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B36DEF" w:rsidRPr="00B36DEF" w:rsidRDefault="00B36DEF" w:rsidP="00B36DEF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Dynamický nákupný systém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7.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EU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European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Union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(Európska únia)</w:t>
            </w:r>
          </w:p>
        </w:tc>
      </w:tr>
      <w:tr w:rsidR="00DE0EBE" w:rsidRPr="00B36DEF" w:rsidTr="00B36DEF">
        <w:trPr>
          <w:trHeight w:val="9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8.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FortiSOAR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Holistické riešenie bezpečnostnej orchestrácie, automatizácie a odozvy (SOAR), ktoré umožňuje tímom bezpečnostných operácií urýchliť reakciu na incidenty.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9.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45359E" w:rsidRDefault="00DE0EBE" w:rsidP="00DE0EBE">
            <w:pPr>
              <w:rPr>
                <w:rFonts w:eastAsia="Times New Roman" w:cs="Calibri"/>
                <w:sz w:val="22"/>
                <w:szCs w:val="22"/>
                <w:lang w:eastAsia="sk-SK"/>
              </w:rPr>
            </w:pPr>
            <w:proofErr w:type="spellStart"/>
            <w:r w:rsidRPr="0045359E">
              <w:rPr>
                <w:rFonts w:eastAsia="Times New Roman" w:cs="Calibri"/>
                <w:sz w:val="22"/>
                <w:szCs w:val="22"/>
                <w:lang w:eastAsia="sk-SK"/>
              </w:rPr>
              <w:t>Grace</w:t>
            </w:r>
            <w:proofErr w:type="spellEnd"/>
            <w:r w:rsidRPr="0045359E">
              <w:rPr>
                <w:rFonts w:eastAsia="Times New Roman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45359E">
              <w:rPr>
                <w:rFonts w:eastAsia="Times New Roman" w:cs="Calibri"/>
                <w:sz w:val="22"/>
                <w:szCs w:val="22"/>
                <w:lang w:eastAsia="sk-SK"/>
              </w:rPr>
              <w:t>Period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45359E" w:rsidRDefault="00DE0EBE" w:rsidP="00DE0EBE">
            <w:pPr>
              <w:rPr>
                <w:rFonts w:eastAsia="Times New Roman" w:cs="Calibri"/>
                <w:sz w:val="22"/>
                <w:szCs w:val="22"/>
                <w:lang w:eastAsia="sk-SK"/>
              </w:rPr>
            </w:pPr>
            <w:r w:rsidRPr="0045359E">
              <w:rPr>
                <w:rFonts w:eastAsia="Times New Roman" w:cs="Calibri"/>
                <w:sz w:val="22"/>
                <w:szCs w:val="22"/>
                <w:lang w:eastAsia="sk-SK"/>
              </w:rPr>
              <w:t>Ochranná lehota - obdobie medzi koncom fakturačného cyklu a dátumom splatnosti platby. Počas tejto doby nie sú účtované úroky, pokiaľ celý zostatok je následne zaplatený do dátumu splatnosti.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10.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HTTPS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Zabezpečený hypertextový prenosový protokol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45359E" w:rsidRDefault="00DE0EBE" w:rsidP="00DE0EBE">
            <w:pPr>
              <w:jc w:val="center"/>
              <w:rPr>
                <w:rFonts w:eastAsia="Times New Roman" w:cs="Calibri"/>
                <w:sz w:val="22"/>
                <w:szCs w:val="22"/>
                <w:lang w:eastAsia="sk-SK"/>
              </w:rPr>
            </w:pPr>
            <w:r w:rsidRPr="0045359E">
              <w:rPr>
                <w:rFonts w:eastAsia="Times New Roman" w:cs="Calibri"/>
                <w:sz w:val="22"/>
                <w:szCs w:val="22"/>
                <w:lang w:eastAsia="sk-SK"/>
              </w:rPr>
              <w:t>11.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IOC,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IOCs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Indicator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compromise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Indikátori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kompromisu z pohľad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u počítačovej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forenznej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techniky)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12.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ITVS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Informačná technológia verejnej správy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13.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MFA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Multi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Factor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Authentication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(Viacfaktorové overovanie)</w:t>
            </w:r>
          </w:p>
        </w:tc>
      </w:tr>
      <w:tr w:rsidR="00DE0EBE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14.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MIRRI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Ministerstvo investícií, regionálneho rozvoja a informatizácie Slovenskej republiky</w:t>
            </w:r>
          </w:p>
        </w:tc>
      </w:tr>
      <w:tr w:rsidR="00DE0EBE" w:rsidRPr="00B36DEF" w:rsidTr="00B36DEF">
        <w:trPr>
          <w:trHeight w:val="9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15.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MISP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Malware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Information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Sharing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(Platforma na zdieľanie, zhromažďovanie, spoluprácu, ukladanie a širokú distribúciu informácií o bezpečnostných hrozbách a indikátorov kompromisu (IOC).)</w:t>
            </w:r>
          </w:p>
        </w:tc>
      </w:tr>
      <w:tr w:rsidR="00DE0EBE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16.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MITRE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Matrix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Predstavuje kategorizáciu a rámec na pochopenie rôznych taktík, techník a postupov (TTP), ktoré útočníci používajú počas kybernetického útoku.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17.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OVM 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Orgán verejnej moci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18.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Qradar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IBM SIEM riešenie ktoré konsoliduje protokoly udalostí z tisícov zariadení rozmiestnených v sieti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19.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RBAC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Role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Access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Control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(Riadenie a mechanizmus prístupu na základe rolí a privilégií)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20.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REST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Representational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State Transfer (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Internetový protokol, ktorý pojednáva o volaniach medzi servermi pomocou jednoduchého HTTP prenosového protokolu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21.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RFI,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request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RFIs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Request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information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Formát, formáty používané na zhromažďovanie informácií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22.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SaaS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Software as a 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service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(Softvér ako služba)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lastRenderedPageBreak/>
              <w:t>23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SIEM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Security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Incident and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Event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Managment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Systém pre 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management bezpečnostný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ch 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informácií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udalostí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, je to monitorovací a auditný nástroj)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24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SDLC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Software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Development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Life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Cycle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Pr="0078538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Životný cyklus vývoja softvéru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25.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SOC 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Security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Operations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Center (Bezpečnostné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Dohľadové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Centrum)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26.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SSO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Single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Sign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-On (Jednotné prihlásenie)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27.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SR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Slovak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Republic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(Slovenská republika)</w:t>
            </w:r>
          </w:p>
        </w:tc>
      </w:tr>
      <w:tr w:rsidR="00DE0EBE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28.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STIX/TAXI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Structured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Information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eXpression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;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Trusted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Automated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eXchange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Information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Štandardy týkajúce sa nastavení ohľadom prenosu informácií o hrozbách medzi IT bezpečnostnými a spravodajskými technológiami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29.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SW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Softvér</w:t>
            </w:r>
          </w:p>
        </w:tc>
      </w:tr>
      <w:tr w:rsidR="00DE0EBE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30.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Trojan Agent (Vysokorizikový vírus typu trójskeho koňa používaný na šírenie škodlivého softvéru)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31.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Tenable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Výrobca/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Tvorca softvéru na skenovanie zraniteľnosti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Nessus</w:t>
            </w:r>
            <w:proofErr w:type="spellEnd"/>
          </w:p>
        </w:tc>
      </w:tr>
      <w:tr w:rsidR="00DE0EBE" w:rsidRPr="00B36DEF" w:rsidTr="00B36DEF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32.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Intellingence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(Platforma, knižnica informácií o kybernetických hrozbách, analýze hrozieb a posudzovania hrozieb)</w:t>
            </w:r>
          </w:p>
        </w:tc>
      </w:tr>
      <w:tr w:rsidR="00DE0EBE" w:rsidRPr="00B36DEF" w:rsidTr="00B36DEF">
        <w:trPr>
          <w:trHeight w:val="3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33.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TL 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Library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(knižnica informácií o kybernetických hrozbách)</w:t>
            </w:r>
          </w:p>
        </w:tc>
      </w:tr>
      <w:tr w:rsidR="00DE0EBE" w:rsidRPr="00B36DEF" w:rsidTr="00B36DEF">
        <w:trPr>
          <w:trHeight w:val="9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34.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TTPs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Tactics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Techniques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and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Procedures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(Taktika, techniky a postupy (TTP) sú kľúčovým konceptom v o</w:t>
            </w:r>
            <w:bookmarkStart w:id="0" w:name="_GoBack"/>
            <w:bookmarkEnd w:id="0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blasti kybernetickej bezpečnosti a spravodajstva o hrozbách.)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35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VIP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Very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important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person (zameranie a funkcionalita platformy na silno exponované osoby v SVK priestore, veľmi dôležité osoby)</w:t>
            </w:r>
          </w:p>
        </w:tc>
      </w:tr>
      <w:tr w:rsidR="00DE0EBE" w:rsidRPr="00B36DEF" w:rsidTr="00DE0EBE">
        <w:trPr>
          <w:trHeight w:val="615"/>
        </w:trPr>
        <w:tc>
          <w:tcPr>
            <w:tcW w:w="460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</w:tcPr>
          <w:p w:rsidR="00DE0EBE" w:rsidRPr="00B36DEF" w:rsidRDefault="00DE0EBE" w:rsidP="00DE0EBE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36</w:t>
            </w:r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WFs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WFs</w:t>
            </w:r>
            <w:proofErr w:type="spellEnd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</w:t>
            </w:r>
            <w:proofErr w:type="spellStart"/>
            <w:r w:rsidRPr="00B36D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alerts</w:t>
            </w:r>
            <w:proofErr w:type="spellEnd"/>
          </w:p>
        </w:tc>
        <w:tc>
          <w:tcPr>
            <w:tcW w:w="730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vAlign w:val="center"/>
            <w:hideMark/>
          </w:tcPr>
          <w:p w:rsidR="00DE0EBE" w:rsidRPr="00B36DEF" w:rsidRDefault="00DE0EBE" w:rsidP="00DE0EBE">
            <w:pPr>
              <w:rPr>
                <w:rFonts w:eastAsia="Times New Roman" w:cs="Calibri"/>
                <w:sz w:val="22"/>
                <w:szCs w:val="22"/>
                <w:lang w:eastAsia="sk-SK"/>
              </w:rPr>
            </w:pPr>
            <w:r w:rsidRPr="00B36DEF">
              <w:rPr>
                <w:rFonts w:eastAsia="Times New Roman" w:cs="Calibri"/>
                <w:sz w:val="22"/>
                <w:szCs w:val="22"/>
                <w:lang w:eastAsia="sk-SK"/>
              </w:rPr>
              <w:t xml:space="preserve">Web </w:t>
            </w:r>
            <w:proofErr w:type="spellStart"/>
            <w:r w:rsidRPr="00B36DEF">
              <w:rPr>
                <w:rFonts w:eastAsia="Times New Roman" w:cs="Calibri"/>
                <w:sz w:val="22"/>
                <w:szCs w:val="22"/>
                <w:lang w:eastAsia="sk-SK"/>
              </w:rPr>
              <w:t>Files</w:t>
            </w:r>
            <w:proofErr w:type="spellEnd"/>
            <w:r w:rsidRPr="00B36DEF">
              <w:rPr>
                <w:rFonts w:eastAsia="Times New Roman" w:cs="Calibri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B36DEF">
              <w:rPr>
                <w:rFonts w:eastAsia="Times New Roman" w:cs="Calibri"/>
                <w:sz w:val="22"/>
                <w:szCs w:val="22"/>
                <w:lang w:eastAsia="sk-SK"/>
              </w:rPr>
              <w:t>Alerts</w:t>
            </w:r>
            <w:proofErr w:type="spellEnd"/>
            <w:r w:rsidRPr="00B36DEF">
              <w:rPr>
                <w:rFonts w:eastAsia="Times New Roman" w:cs="Calibri"/>
                <w:sz w:val="22"/>
                <w:szCs w:val="22"/>
                <w:lang w:eastAsia="sk-SK"/>
              </w:rPr>
              <w:t xml:space="preserve"> (Upozornenia na webové súbory)</w:t>
            </w:r>
          </w:p>
        </w:tc>
      </w:tr>
    </w:tbl>
    <w:p w:rsidR="00A12C0E" w:rsidRDefault="00A12C0E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Default="003422D7" w:rsidP="00032142"/>
    <w:p w:rsidR="003422D7" w:rsidRPr="00032142" w:rsidRDefault="003422D7" w:rsidP="00032142"/>
    <w:sectPr w:rsidR="003422D7" w:rsidRPr="000321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3AC" w:rsidRDefault="005A23AC" w:rsidP="00032142">
      <w:r>
        <w:separator/>
      </w:r>
    </w:p>
  </w:endnote>
  <w:endnote w:type="continuationSeparator" w:id="0">
    <w:p w:rsidR="005A23AC" w:rsidRDefault="005A23AC" w:rsidP="0003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3AC" w:rsidRDefault="005A23AC" w:rsidP="00032142">
      <w:r>
        <w:separator/>
      </w:r>
    </w:p>
  </w:footnote>
  <w:footnote w:type="continuationSeparator" w:id="0">
    <w:p w:rsidR="005A23AC" w:rsidRDefault="005A23AC" w:rsidP="0003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93" w:rsidRDefault="00112293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3FB5286B" wp14:editId="23DC5C2D">
          <wp:simplePos x="0" y="0"/>
          <wp:positionH relativeFrom="page">
            <wp:posOffset>733425</wp:posOffset>
          </wp:positionH>
          <wp:positionV relativeFrom="page">
            <wp:posOffset>238126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C3"/>
    <w:rsid w:val="00032142"/>
    <w:rsid w:val="0004135D"/>
    <w:rsid w:val="000E4310"/>
    <w:rsid w:val="00107487"/>
    <w:rsid w:val="00112293"/>
    <w:rsid w:val="001600AB"/>
    <w:rsid w:val="001835FC"/>
    <w:rsid w:val="003422D7"/>
    <w:rsid w:val="003E4E1D"/>
    <w:rsid w:val="0045359E"/>
    <w:rsid w:val="005A23AC"/>
    <w:rsid w:val="00785387"/>
    <w:rsid w:val="00803A92"/>
    <w:rsid w:val="00815EC3"/>
    <w:rsid w:val="00897495"/>
    <w:rsid w:val="008E112B"/>
    <w:rsid w:val="009260C3"/>
    <w:rsid w:val="00A12C0E"/>
    <w:rsid w:val="00B11295"/>
    <w:rsid w:val="00B36DEF"/>
    <w:rsid w:val="00B629CC"/>
    <w:rsid w:val="00B8165A"/>
    <w:rsid w:val="00B961D9"/>
    <w:rsid w:val="00DE0EBE"/>
    <w:rsid w:val="00E346DA"/>
    <w:rsid w:val="00F123E7"/>
    <w:rsid w:val="00F83B5E"/>
    <w:rsid w:val="00FC6555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21A"/>
  <w15:chartTrackingRefBased/>
  <w15:docId w15:val="{A074DFE5-3F4A-469E-8600-4634454A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14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32142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321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32142"/>
    <w:rPr>
      <w:rFonts w:ascii="Calibri" w:eastAsia="Calibri" w:hAnsi="Calibri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032142"/>
    <w:pPr>
      <w:spacing w:after="120" w:line="276" w:lineRule="auto"/>
      <w:ind w:left="720"/>
      <w:contextualSpacing/>
    </w:pPr>
    <w:rPr>
      <w:rFonts w:ascii="Cambria" w:eastAsiaTheme="minorHAnsi" w:hAnsi="Cambria" w:cstheme="minorBidi"/>
      <w:sz w:val="22"/>
      <w:szCs w:val="20"/>
    </w:rPr>
  </w:style>
  <w:style w:type="paragraph" w:customStyle="1" w:styleId="BasicParagraph">
    <w:name w:val="[Basic Paragraph]"/>
    <w:basedOn w:val="Normlny"/>
    <w:uiPriority w:val="99"/>
    <w:rsid w:val="00032142"/>
    <w:pPr>
      <w:autoSpaceDE w:val="0"/>
      <w:autoSpaceDN w:val="0"/>
      <w:adjustRightInd w:val="0"/>
      <w:spacing w:line="288" w:lineRule="auto"/>
    </w:pPr>
    <w:rPr>
      <w:rFonts w:ascii="Minion Pro" w:hAnsi="Minion Pro" w:cs="Minion Pro"/>
      <w:color w:val="00000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32142"/>
    <w:rPr>
      <w:vertAlign w:val="superscript"/>
    </w:rPr>
  </w:style>
  <w:style w:type="table" w:styleId="Mriekatabuky">
    <w:name w:val="Table Grid"/>
    <w:basedOn w:val="Normlnatabuka"/>
    <w:uiPriority w:val="39"/>
    <w:rsid w:val="000321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2293"/>
    <w:rPr>
      <w:rFonts w:ascii="Calibri" w:eastAsia="Calibri" w:hAnsi="Calibri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2293"/>
    <w:rPr>
      <w:rFonts w:ascii="Calibri" w:eastAsia="Calibri" w:hAnsi="Calibri" w:cs="Times New Roman"/>
      <w:sz w:val="24"/>
      <w:szCs w:val="24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3422D7"/>
    <w:pPr>
      <w:spacing w:after="120"/>
      <w:jc w:val="both"/>
    </w:pPr>
    <w:rPr>
      <w:rFonts w:eastAsia="Times New Roman"/>
      <w:sz w:val="22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3422D7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12</cp:revision>
  <dcterms:created xsi:type="dcterms:W3CDTF">2023-08-16T09:38:00Z</dcterms:created>
  <dcterms:modified xsi:type="dcterms:W3CDTF">2023-08-18T07:07:00Z</dcterms:modified>
</cp:coreProperties>
</file>