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C4B5" w14:textId="77777777" w:rsidR="005A21C7" w:rsidRPr="00823172" w:rsidRDefault="005A21C7" w:rsidP="00823172">
      <w:pPr>
        <w:pStyle w:val="Default"/>
        <w:jc w:val="both"/>
        <w:rPr>
          <w:rFonts w:ascii="Arial" w:hAnsi="Arial" w:cs="Arial"/>
        </w:rPr>
      </w:pPr>
    </w:p>
    <w:p w14:paraId="6758342F" w14:textId="77777777" w:rsidR="005A21C7" w:rsidRPr="00823172" w:rsidRDefault="005A21C7" w:rsidP="008231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</w:rPr>
        <w:t xml:space="preserve"> </w:t>
      </w:r>
      <w:r w:rsidRPr="00823172">
        <w:rPr>
          <w:rFonts w:ascii="Arial" w:hAnsi="Arial" w:cs="Arial"/>
          <w:b/>
          <w:bCs/>
          <w:sz w:val="22"/>
          <w:szCs w:val="22"/>
        </w:rPr>
        <w:t xml:space="preserve">Príloha č. 2 Okruh otázok k PTK </w:t>
      </w:r>
    </w:p>
    <w:p w14:paraId="7855F798" w14:textId="77777777" w:rsidR="005700AB" w:rsidRPr="00823172" w:rsidRDefault="005700AB" w:rsidP="008231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08716A" w14:textId="45EA1EE6" w:rsidR="005A21C7" w:rsidRPr="00823172" w:rsidRDefault="005A21C7" w:rsidP="0082317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 xml:space="preserve">Považuje účastník PTK </w:t>
      </w:r>
      <w:r w:rsidR="00D17DEF" w:rsidRPr="00823172">
        <w:rPr>
          <w:rFonts w:ascii="Arial" w:hAnsi="Arial" w:cs="Arial"/>
          <w:sz w:val="22"/>
          <w:szCs w:val="22"/>
        </w:rPr>
        <w:t xml:space="preserve">zverejnené </w:t>
      </w:r>
      <w:r w:rsidRPr="00823172">
        <w:rPr>
          <w:rFonts w:ascii="Arial" w:hAnsi="Arial" w:cs="Arial"/>
          <w:sz w:val="22"/>
          <w:szCs w:val="22"/>
        </w:rPr>
        <w:t>dokument</w:t>
      </w:r>
      <w:r w:rsidR="000E066A" w:rsidRPr="00823172">
        <w:rPr>
          <w:rFonts w:ascii="Arial" w:hAnsi="Arial" w:cs="Arial"/>
          <w:sz w:val="22"/>
          <w:szCs w:val="22"/>
        </w:rPr>
        <w:t>y</w:t>
      </w:r>
      <w:r w:rsidR="00D17DEF" w:rsidRPr="00823172">
        <w:rPr>
          <w:rFonts w:ascii="Arial" w:hAnsi="Arial" w:cs="Arial"/>
          <w:sz w:val="22"/>
          <w:szCs w:val="22"/>
        </w:rPr>
        <w:t xml:space="preserve"> k zákazke</w:t>
      </w:r>
      <w:r w:rsidRPr="00823172">
        <w:rPr>
          <w:rFonts w:ascii="Arial" w:hAnsi="Arial" w:cs="Arial"/>
          <w:sz w:val="22"/>
          <w:szCs w:val="22"/>
        </w:rPr>
        <w:t>, za dostatočn</w:t>
      </w:r>
      <w:r w:rsidR="00D17DEF" w:rsidRPr="00823172">
        <w:rPr>
          <w:rFonts w:ascii="Arial" w:hAnsi="Arial" w:cs="Arial"/>
          <w:sz w:val="22"/>
          <w:szCs w:val="22"/>
        </w:rPr>
        <w:t>é</w:t>
      </w:r>
      <w:r w:rsidRPr="00823172">
        <w:rPr>
          <w:rFonts w:ascii="Arial" w:hAnsi="Arial" w:cs="Arial"/>
          <w:sz w:val="22"/>
          <w:szCs w:val="22"/>
        </w:rPr>
        <w:t>, určit</w:t>
      </w:r>
      <w:r w:rsidR="00D17DEF" w:rsidRPr="00823172">
        <w:rPr>
          <w:rFonts w:ascii="Arial" w:hAnsi="Arial" w:cs="Arial"/>
          <w:sz w:val="22"/>
          <w:szCs w:val="22"/>
        </w:rPr>
        <w:t>é</w:t>
      </w:r>
      <w:r w:rsidRPr="00823172">
        <w:rPr>
          <w:rFonts w:ascii="Arial" w:hAnsi="Arial" w:cs="Arial"/>
          <w:sz w:val="22"/>
          <w:szCs w:val="22"/>
        </w:rPr>
        <w:t xml:space="preserve"> a zrozumiteľn</w:t>
      </w:r>
      <w:r w:rsidR="00D17DEF" w:rsidRPr="00823172">
        <w:rPr>
          <w:rFonts w:ascii="Arial" w:hAnsi="Arial" w:cs="Arial"/>
          <w:sz w:val="22"/>
          <w:szCs w:val="22"/>
        </w:rPr>
        <w:t>é</w:t>
      </w:r>
      <w:r w:rsidRPr="00823172">
        <w:rPr>
          <w:rFonts w:ascii="Arial" w:hAnsi="Arial" w:cs="Arial"/>
          <w:sz w:val="22"/>
          <w:szCs w:val="22"/>
        </w:rPr>
        <w:t xml:space="preserve"> z pohľadu jednoznačného definovania predmetu zákazky, požiadaviek na predmet zákazky a zabezpečenia čestnej hospodárskej súťaže, ktorý bude umožňovať predloženie kvalifikovanej ponuky? </w:t>
      </w:r>
    </w:p>
    <w:p w14:paraId="26AF15F2" w14:textId="3064B8AF" w:rsidR="005A21C7" w:rsidRDefault="005A21C7" w:rsidP="003B375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3B3750">
        <w:rPr>
          <w:rFonts w:ascii="Arial" w:hAnsi="Arial" w:cs="Arial"/>
          <w:sz w:val="22"/>
          <w:szCs w:val="22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230DD47D" w14:textId="77777777" w:rsidR="003B3750" w:rsidRPr="00823172" w:rsidRDefault="003B3750" w:rsidP="003B375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1A30431" w14:textId="0DE3ECF9" w:rsidR="000E066A" w:rsidRPr="00823172" w:rsidRDefault="005A21C7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 xml:space="preserve">Má zmysel zvažovať rozdelenie celého predmetu zákazky na časti? Považuje rozdelenie predmetu zákazky na časti, ako vhodné / primerané vzhľadom </w:t>
      </w:r>
      <w:r w:rsidR="000E066A" w:rsidRPr="00823172">
        <w:rPr>
          <w:rFonts w:ascii="Arial" w:hAnsi="Arial" w:cs="Arial"/>
          <w:sz w:val="22"/>
          <w:szCs w:val="22"/>
        </w:rPr>
        <w:t>charakteru (servis</w:t>
      </w:r>
      <w:r w:rsidR="00973036" w:rsidRPr="00823172">
        <w:rPr>
          <w:rFonts w:ascii="Arial" w:hAnsi="Arial" w:cs="Arial"/>
          <w:sz w:val="22"/>
          <w:szCs w:val="22"/>
        </w:rPr>
        <w:t>u</w:t>
      </w:r>
      <w:r w:rsidR="000E066A" w:rsidRPr="00823172">
        <w:rPr>
          <w:rFonts w:ascii="Arial" w:hAnsi="Arial" w:cs="Arial"/>
          <w:sz w:val="22"/>
          <w:szCs w:val="22"/>
        </w:rPr>
        <w:t xml:space="preserve"> a</w:t>
      </w:r>
      <w:r w:rsidR="00973036" w:rsidRPr="00823172">
        <w:rPr>
          <w:rFonts w:ascii="Arial" w:hAnsi="Arial" w:cs="Arial"/>
          <w:sz w:val="22"/>
          <w:szCs w:val="22"/>
        </w:rPr>
        <w:t> </w:t>
      </w:r>
      <w:r w:rsidR="000E066A" w:rsidRPr="00823172">
        <w:rPr>
          <w:rFonts w:ascii="Arial" w:hAnsi="Arial" w:cs="Arial"/>
          <w:sz w:val="22"/>
          <w:szCs w:val="22"/>
        </w:rPr>
        <w:t>rozvoj</w:t>
      </w:r>
      <w:r w:rsidR="00973036" w:rsidRPr="00823172">
        <w:rPr>
          <w:rFonts w:ascii="Arial" w:hAnsi="Arial" w:cs="Arial"/>
          <w:sz w:val="22"/>
          <w:szCs w:val="22"/>
        </w:rPr>
        <w:t xml:space="preserve">a toho istého </w:t>
      </w:r>
      <w:r w:rsidR="000E066A" w:rsidRPr="00823172">
        <w:rPr>
          <w:rFonts w:ascii="Arial" w:hAnsi="Arial" w:cs="Arial"/>
          <w:sz w:val="22"/>
          <w:szCs w:val="22"/>
        </w:rPr>
        <w:t>IT systému )</w:t>
      </w:r>
      <w:r w:rsidRPr="00823172">
        <w:rPr>
          <w:rFonts w:ascii="Arial" w:hAnsi="Arial" w:cs="Arial"/>
          <w:sz w:val="22"/>
          <w:szCs w:val="22"/>
        </w:rPr>
        <w:t xml:space="preserve"> zákazky? </w:t>
      </w:r>
      <w:r w:rsidR="000E066A" w:rsidRPr="00823172">
        <w:rPr>
          <w:rFonts w:ascii="Arial" w:hAnsi="Arial" w:cs="Arial"/>
          <w:sz w:val="22"/>
          <w:szCs w:val="22"/>
        </w:rPr>
        <w:t xml:space="preserve">Ak delenie zákazky </w:t>
      </w:r>
      <w:r w:rsidR="00973036" w:rsidRPr="00823172">
        <w:rPr>
          <w:rFonts w:ascii="Arial" w:hAnsi="Arial" w:cs="Arial"/>
          <w:sz w:val="22"/>
          <w:szCs w:val="22"/>
        </w:rPr>
        <w:t>je prospešné</w:t>
      </w:r>
      <w:r w:rsidR="000E066A" w:rsidRPr="00823172">
        <w:rPr>
          <w:rFonts w:ascii="Arial" w:hAnsi="Arial" w:cs="Arial"/>
          <w:sz w:val="22"/>
          <w:szCs w:val="22"/>
        </w:rPr>
        <w:t xml:space="preserve">, identifikujte </w:t>
      </w:r>
      <w:r w:rsidR="00973036" w:rsidRPr="00823172">
        <w:rPr>
          <w:rFonts w:ascii="Arial" w:hAnsi="Arial" w:cs="Arial"/>
          <w:sz w:val="22"/>
          <w:szCs w:val="22"/>
        </w:rPr>
        <w:t xml:space="preserve">prosím </w:t>
      </w:r>
      <w:r w:rsidR="000E066A" w:rsidRPr="00823172">
        <w:rPr>
          <w:rFonts w:ascii="Arial" w:hAnsi="Arial" w:cs="Arial"/>
          <w:sz w:val="22"/>
          <w:szCs w:val="22"/>
        </w:rPr>
        <w:t>jeho benefity.</w:t>
      </w:r>
    </w:p>
    <w:p w14:paraId="5C6BE4FB" w14:textId="7FAA56B4" w:rsidR="005A21C7" w:rsidRPr="00823172" w:rsidRDefault="005A21C7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>Považujete lehotu dodania predmetu zákazky (</w:t>
      </w:r>
      <w:r w:rsidR="00AC3ED4">
        <w:rPr>
          <w:rFonts w:ascii="Arial" w:hAnsi="Arial" w:cs="Arial"/>
          <w:sz w:val="22"/>
          <w:szCs w:val="22"/>
        </w:rPr>
        <w:t xml:space="preserve">servisný </w:t>
      </w:r>
      <w:r w:rsidR="000E066A" w:rsidRPr="00823172">
        <w:rPr>
          <w:rFonts w:ascii="Arial" w:hAnsi="Arial" w:cs="Arial"/>
          <w:sz w:val="22"/>
          <w:szCs w:val="22"/>
        </w:rPr>
        <w:t>paušál</w:t>
      </w:r>
      <w:r w:rsidR="00973036" w:rsidRPr="00823172">
        <w:rPr>
          <w:rFonts w:ascii="Arial" w:hAnsi="Arial" w:cs="Arial"/>
          <w:sz w:val="22"/>
          <w:szCs w:val="22"/>
        </w:rPr>
        <w:t xml:space="preserve"> - kontinuálne</w:t>
      </w:r>
      <w:r w:rsidR="000E066A" w:rsidRPr="0082317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066A" w:rsidRPr="00823172">
        <w:rPr>
          <w:rFonts w:ascii="Arial" w:hAnsi="Arial" w:cs="Arial"/>
          <w:sz w:val="22"/>
          <w:szCs w:val="22"/>
        </w:rPr>
        <w:t>nadpaušál</w:t>
      </w:r>
      <w:proofErr w:type="spellEnd"/>
      <w:r w:rsidR="00973036" w:rsidRPr="00823172">
        <w:rPr>
          <w:rFonts w:ascii="Arial" w:hAnsi="Arial" w:cs="Arial"/>
          <w:sz w:val="22"/>
          <w:szCs w:val="22"/>
        </w:rPr>
        <w:t xml:space="preserve"> – podľa potreby verejného obstarávateľa v zmysle objednávok počas 48 mesiacov</w:t>
      </w:r>
      <w:r w:rsidR="000E066A" w:rsidRPr="00823172">
        <w:rPr>
          <w:rFonts w:ascii="Arial" w:hAnsi="Arial" w:cs="Arial"/>
          <w:sz w:val="22"/>
          <w:szCs w:val="22"/>
        </w:rPr>
        <w:t xml:space="preserve">, vývoj </w:t>
      </w:r>
      <w:proofErr w:type="spellStart"/>
      <w:r w:rsidR="000E066A" w:rsidRPr="00823172">
        <w:rPr>
          <w:rFonts w:ascii="Arial" w:hAnsi="Arial" w:cs="Arial"/>
          <w:sz w:val="22"/>
          <w:szCs w:val="22"/>
        </w:rPr>
        <w:t>Inkrementu</w:t>
      </w:r>
      <w:proofErr w:type="spellEnd"/>
      <w:r w:rsidR="000E066A" w:rsidRPr="00823172">
        <w:rPr>
          <w:rFonts w:ascii="Arial" w:hAnsi="Arial" w:cs="Arial"/>
          <w:sz w:val="22"/>
          <w:szCs w:val="22"/>
        </w:rPr>
        <w:t xml:space="preserve"> 2</w:t>
      </w:r>
      <w:r w:rsidR="00973036" w:rsidRPr="00823172">
        <w:rPr>
          <w:rFonts w:ascii="Arial" w:hAnsi="Arial" w:cs="Arial"/>
          <w:sz w:val="22"/>
          <w:szCs w:val="22"/>
        </w:rPr>
        <w:t xml:space="preserve"> v rozsahu Katalógu požiadaviek v zmysle objednávok počas 36 mesiacov</w:t>
      </w:r>
      <w:r w:rsidRPr="00823172">
        <w:rPr>
          <w:rFonts w:ascii="Arial" w:hAnsi="Arial" w:cs="Arial"/>
          <w:sz w:val="22"/>
          <w:szCs w:val="22"/>
        </w:rPr>
        <w:t>) za primeranú? Ak nie, akú lehotu dodania považujete vzhľadom na rozsah predmetu zákazky za primeranú?</w:t>
      </w:r>
    </w:p>
    <w:p w14:paraId="323C5A9C" w14:textId="7F9715F7" w:rsidR="005700AB" w:rsidRPr="00823172" w:rsidRDefault="005700AB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>Sú</w:t>
      </w:r>
      <w:r w:rsidR="005A21C7" w:rsidRPr="00823172">
        <w:rPr>
          <w:rFonts w:ascii="Arial" w:hAnsi="Arial" w:cs="Arial"/>
          <w:sz w:val="22"/>
          <w:szCs w:val="22"/>
        </w:rPr>
        <w:t xml:space="preserve"> podmienky účasti technickej alebo odbornej spôsobilosti </w:t>
      </w:r>
      <w:r w:rsidRPr="00823172">
        <w:rPr>
          <w:rFonts w:ascii="Arial" w:hAnsi="Arial" w:cs="Arial"/>
          <w:sz w:val="22"/>
          <w:szCs w:val="22"/>
        </w:rPr>
        <w:t>vhodne určené</w:t>
      </w:r>
      <w:r w:rsidR="005A21C7" w:rsidRPr="00823172">
        <w:rPr>
          <w:rFonts w:ascii="Arial" w:hAnsi="Arial" w:cs="Arial"/>
          <w:sz w:val="22"/>
          <w:szCs w:val="22"/>
        </w:rPr>
        <w:t xml:space="preserve">? </w:t>
      </w:r>
    </w:p>
    <w:p w14:paraId="506CDBF3" w14:textId="6720909E" w:rsidR="005A21C7" w:rsidRPr="00823172" w:rsidRDefault="00591898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súvislosti s podmienkou účasti technickej alebo odbornej spôsobilosti, s</w:t>
      </w:r>
      <w:r w:rsidR="005700AB" w:rsidRPr="00823172">
        <w:rPr>
          <w:rFonts w:ascii="Arial" w:hAnsi="Arial" w:cs="Arial"/>
          <w:sz w:val="22"/>
          <w:szCs w:val="22"/>
        </w:rPr>
        <w:t xml:space="preserve">ú </w:t>
      </w:r>
      <w:r w:rsidR="005A21C7" w:rsidRPr="00823172">
        <w:rPr>
          <w:rFonts w:ascii="Arial" w:hAnsi="Arial" w:cs="Arial"/>
          <w:sz w:val="22"/>
          <w:szCs w:val="22"/>
        </w:rPr>
        <w:t>typy</w:t>
      </w:r>
      <w:r>
        <w:rPr>
          <w:rFonts w:ascii="Arial" w:hAnsi="Arial" w:cs="Arial"/>
          <w:sz w:val="22"/>
          <w:szCs w:val="22"/>
        </w:rPr>
        <w:t xml:space="preserve"> </w:t>
      </w:r>
      <w:r w:rsidR="005A21C7" w:rsidRPr="00823172">
        <w:rPr>
          <w:rFonts w:ascii="Arial" w:hAnsi="Arial" w:cs="Arial"/>
          <w:sz w:val="22"/>
          <w:szCs w:val="22"/>
        </w:rPr>
        <w:t>zmlúv</w:t>
      </w:r>
      <w:r w:rsidR="00973036" w:rsidRPr="00823172">
        <w:rPr>
          <w:rFonts w:ascii="Arial" w:hAnsi="Arial" w:cs="Arial"/>
          <w:sz w:val="22"/>
          <w:szCs w:val="22"/>
        </w:rPr>
        <w:t xml:space="preserve"> (referencií) </w:t>
      </w:r>
      <w:r w:rsidR="005700AB" w:rsidRPr="00823172">
        <w:rPr>
          <w:rFonts w:ascii="Arial" w:hAnsi="Arial" w:cs="Arial"/>
          <w:sz w:val="22"/>
          <w:szCs w:val="22"/>
        </w:rPr>
        <w:t>a</w:t>
      </w:r>
      <w:r w:rsidR="000A7017" w:rsidRPr="00823172">
        <w:rPr>
          <w:rFonts w:ascii="Arial" w:hAnsi="Arial" w:cs="Arial"/>
          <w:sz w:val="22"/>
          <w:szCs w:val="22"/>
        </w:rPr>
        <w:t> </w:t>
      </w:r>
      <w:r w:rsidR="005700AB" w:rsidRPr="00823172">
        <w:rPr>
          <w:rFonts w:ascii="Arial" w:hAnsi="Arial" w:cs="Arial"/>
          <w:sz w:val="22"/>
          <w:szCs w:val="22"/>
        </w:rPr>
        <w:t>obdobie</w:t>
      </w:r>
      <w:r w:rsidR="000A7017" w:rsidRPr="00823172">
        <w:rPr>
          <w:rFonts w:ascii="Arial" w:hAnsi="Arial" w:cs="Arial"/>
          <w:sz w:val="22"/>
          <w:szCs w:val="22"/>
        </w:rPr>
        <w:t xml:space="preserve"> </w:t>
      </w:r>
      <w:r w:rsidR="00973036" w:rsidRPr="00823172">
        <w:rPr>
          <w:rFonts w:ascii="Arial" w:hAnsi="Arial" w:cs="Arial"/>
          <w:sz w:val="22"/>
          <w:szCs w:val="22"/>
        </w:rPr>
        <w:t>(4 roky)</w:t>
      </w:r>
      <w:r>
        <w:rPr>
          <w:rFonts w:ascii="Arial" w:hAnsi="Arial" w:cs="Arial"/>
          <w:sz w:val="22"/>
          <w:szCs w:val="22"/>
        </w:rPr>
        <w:t xml:space="preserve">, za ktoré majú </w:t>
      </w:r>
      <w:r w:rsidR="005700AB" w:rsidRPr="00823172">
        <w:rPr>
          <w:rFonts w:ascii="Arial" w:hAnsi="Arial" w:cs="Arial"/>
          <w:sz w:val="22"/>
          <w:szCs w:val="22"/>
        </w:rPr>
        <w:t>byť tieto zmluvy plnené</w:t>
      </w:r>
      <w:r w:rsidR="00973036" w:rsidRPr="0082317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nastavené</w:t>
      </w:r>
      <w:r w:rsidRPr="005918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primerané</w:t>
      </w:r>
      <w:r w:rsidR="005700AB" w:rsidRPr="00823172">
        <w:rPr>
          <w:rFonts w:ascii="Arial" w:hAnsi="Arial" w:cs="Arial"/>
          <w:sz w:val="22"/>
          <w:szCs w:val="22"/>
        </w:rPr>
        <w:t>?</w:t>
      </w:r>
    </w:p>
    <w:p w14:paraId="2308B1CB" w14:textId="5E7815E2" w:rsidR="00067706" w:rsidRPr="00823172" w:rsidRDefault="001D770F" w:rsidP="0082317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>V</w:t>
      </w:r>
      <w:r w:rsidR="005A21C7" w:rsidRPr="00823172">
        <w:rPr>
          <w:rFonts w:ascii="Arial" w:hAnsi="Arial" w:cs="Arial"/>
          <w:sz w:val="22"/>
          <w:szCs w:val="22"/>
        </w:rPr>
        <w:t>erejný obstarávateľ</w:t>
      </w:r>
      <w:r w:rsidRPr="00823172">
        <w:rPr>
          <w:rFonts w:ascii="Arial" w:hAnsi="Arial" w:cs="Arial"/>
          <w:sz w:val="22"/>
          <w:szCs w:val="22"/>
        </w:rPr>
        <w:t xml:space="preserve"> navrhuje</w:t>
      </w:r>
      <w:r w:rsidR="005A21C7" w:rsidRPr="00823172">
        <w:rPr>
          <w:rFonts w:ascii="Arial" w:hAnsi="Arial" w:cs="Arial"/>
          <w:sz w:val="22"/>
          <w:szCs w:val="22"/>
        </w:rPr>
        <w:t xml:space="preserve"> aplikova</w:t>
      </w:r>
      <w:r w:rsidRPr="00823172">
        <w:rPr>
          <w:rFonts w:ascii="Arial" w:hAnsi="Arial" w:cs="Arial"/>
          <w:sz w:val="22"/>
          <w:szCs w:val="22"/>
        </w:rPr>
        <w:t xml:space="preserve">ť </w:t>
      </w:r>
      <w:r w:rsidR="005A21C7" w:rsidRPr="00823172">
        <w:rPr>
          <w:rFonts w:ascii="Arial" w:hAnsi="Arial" w:cs="Arial"/>
          <w:sz w:val="22"/>
          <w:szCs w:val="22"/>
        </w:rPr>
        <w:t xml:space="preserve">podmienky účasti technickej alebo odbornej spôsobilosti podľa § 34 ods. 1 písm. g) zákona o verejnom obstarávaní, t. j. </w:t>
      </w:r>
      <w:r w:rsidRPr="00823172">
        <w:rPr>
          <w:rFonts w:ascii="Arial" w:hAnsi="Arial" w:cs="Arial"/>
          <w:sz w:val="22"/>
          <w:szCs w:val="22"/>
        </w:rPr>
        <w:t xml:space="preserve">požaduje </w:t>
      </w:r>
      <w:r w:rsidR="005A21C7" w:rsidRPr="00823172">
        <w:rPr>
          <w:rFonts w:ascii="Arial" w:hAnsi="Arial" w:cs="Arial"/>
          <w:sz w:val="22"/>
          <w:szCs w:val="22"/>
        </w:rPr>
        <w:t>predložiť údaje o vzdelaní a odbornej praxi alebo o odbornej kvalifikácií osôb určených na plnenie zmluvy alebo riadiacich zamestnancov</w:t>
      </w:r>
      <w:r w:rsidR="00973036" w:rsidRPr="00823172">
        <w:rPr>
          <w:rFonts w:ascii="Arial" w:hAnsi="Arial" w:cs="Arial"/>
          <w:sz w:val="22"/>
          <w:szCs w:val="22"/>
        </w:rPr>
        <w:t xml:space="preserve"> za posledných 7 rokov</w:t>
      </w:r>
      <w:r w:rsidRPr="00823172">
        <w:rPr>
          <w:rFonts w:ascii="Arial" w:hAnsi="Arial" w:cs="Arial"/>
          <w:sz w:val="22"/>
          <w:szCs w:val="22"/>
        </w:rPr>
        <w:t xml:space="preserve">. Je podľa Vášho názoru požiadavka </w:t>
      </w:r>
      <w:r w:rsidR="00067706" w:rsidRPr="00823172">
        <w:rPr>
          <w:rFonts w:ascii="Arial" w:hAnsi="Arial" w:cs="Arial"/>
          <w:sz w:val="22"/>
          <w:szCs w:val="22"/>
        </w:rPr>
        <w:t>verejného obstarávateľa</w:t>
      </w:r>
      <w:r w:rsidR="00657D0F" w:rsidRPr="00823172">
        <w:rPr>
          <w:rFonts w:ascii="Arial" w:hAnsi="Arial" w:cs="Arial"/>
          <w:sz w:val="22"/>
          <w:szCs w:val="22"/>
        </w:rPr>
        <w:t>,</w:t>
      </w:r>
      <w:r w:rsidR="00067706" w:rsidRPr="00823172">
        <w:rPr>
          <w:rFonts w:ascii="Arial" w:hAnsi="Arial" w:cs="Arial"/>
          <w:sz w:val="22"/>
          <w:szCs w:val="22"/>
        </w:rPr>
        <w:t xml:space="preserve"> </w:t>
      </w:r>
      <w:r w:rsidR="00657D0F" w:rsidRPr="00823172">
        <w:rPr>
          <w:rFonts w:ascii="Arial" w:hAnsi="Arial" w:cs="Arial"/>
          <w:sz w:val="22"/>
          <w:szCs w:val="22"/>
        </w:rPr>
        <w:t>vzhľadom k</w:t>
      </w:r>
      <w:r w:rsidR="00AC3ED4">
        <w:rPr>
          <w:rFonts w:ascii="Arial" w:hAnsi="Arial" w:cs="Arial"/>
          <w:sz w:val="22"/>
          <w:szCs w:val="22"/>
        </w:rPr>
        <w:t> </w:t>
      </w:r>
      <w:r w:rsidR="00657D0F" w:rsidRPr="00823172">
        <w:rPr>
          <w:rFonts w:ascii="Arial" w:hAnsi="Arial" w:cs="Arial"/>
          <w:sz w:val="22"/>
          <w:szCs w:val="22"/>
        </w:rPr>
        <w:t>rozsahu zákazky,</w:t>
      </w:r>
      <w:r w:rsidR="00657D0F" w:rsidRPr="00823172">
        <w:rPr>
          <w:rFonts w:ascii="Arial" w:hAnsi="Arial" w:cs="Arial"/>
        </w:rPr>
        <w:t xml:space="preserve"> </w:t>
      </w:r>
      <w:r w:rsidR="00657D0F" w:rsidRPr="00823172">
        <w:rPr>
          <w:rFonts w:ascii="Arial" w:hAnsi="Arial" w:cs="Arial"/>
          <w:sz w:val="22"/>
          <w:szCs w:val="22"/>
        </w:rPr>
        <w:t xml:space="preserve">nastavená </w:t>
      </w:r>
      <w:r w:rsidRPr="00823172">
        <w:rPr>
          <w:rFonts w:ascii="Arial" w:hAnsi="Arial" w:cs="Arial"/>
          <w:sz w:val="22"/>
          <w:szCs w:val="22"/>
        </w:rPr>
        <w:t>primerane</w:t>
      </w:r>
      <w:r w:rsidR="00067706" w:rsidRPr="00823172">
        <w:rPr>
          <w:rFonts w:ascii="Arial" w:hAnsi="Arial" w:cs="Arial"/>
          <w:sz w:val="22"/>
          <w:szCs w:val="22"/>
        </w:rPr>
        <w:t xml:space="preserve"> </w:t>
      </w:r>
      <w:r w:rsidRPr="00823172">
        <w:rPr>
          <w:rFonts w:ascii="Arial" w:hAnsi="Arial" w:cs="Arial"/>
          <w:sz w:val="22"/>
          <w:szCs w:val="22"/>
        </w:rPr>
        <w:t>(počet expertov, požadovaná prax</w:t>
      </w:r>
      <w:r w:rsidR="00973036" w:rsidRPr="00823172">
        <w:rPr>
          <w:rFonts w:ascii="Arial" w:hAnsi="Arial" w:cs="Arial"/>
          <w:sz w:val="22"/>
          <w:szCs w:val="22"/>
        </w:rPr>
        <w:t xml:space="preserve"> v podobe praktických skúseností</w:t>
      </w:r>
      <w:r w:rsidRPr="00823172">
        <w:rPr>
          <w:rFonts w:ascii="Arial" w:hAnsi="Arial" w:cs="Arial"/>
          <w:sz w:val="22"/>
          <w:szCs w:val="22"/>
        </w:rPr>
        <w:t xml:space="preserve">, certifikácia)? </w:t>
      </w:r>
    </w:p>
    <w:p w14:paraId="7B3EEBD7" w14:textId="3FEC7244" w:rsidR="005A21C7" w:rsidRPr="00823172" w:rsidRDefault="001D770F" w:rsidP="0082317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>Ak nie prosím vysvetlite neprimeranosť požiadavky a navrhnite podľa Vás primerané požiadavky.</w:t>
      </w:r>
    </w:p>
    <w:p w14:paraId="05ACFAA7" w14:textId="77777777" w:rsidR="00973036" w:rsidRPr="00823172" w:rsidRDefault="00973036" w:rsidP="0082317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6B91361" w14:textId="6E607A68" w:rsidR="005A21C7" w:rsidRPr="00823172" w:rsidRDefault="005A21C7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 xml:space="preserve">Máte </w:t>
      </w:r>
      <w:r w:rsidR="00DB7570" w:rsidRPr="00823172">
        <w:rPr>
          <w:rFonts w:ascii="Arial" w:hAnsi="Arial" w:cs="Arial"/>
          <w:sz w:val="22"/>
          <w:szCs w:val="22"/>
        </w:rPr>
        <w:t xml:space="preserve">uzatvorené </w:t>
      </w:r>
      <w:r w:rsidRPr="00823172">
        <w:rPr>
          <w:rFonts w:ascii="Arial" w:hAnsi="Arial" w:cs="Arial"/>
          <w:sz w:val="22"/>
          <w:szCs w:val="22"/>
        </w:rPr>
        <w:t>poistenie zodpovednosti na predmet podnikania (poistenie IT služieb)? Ak áno, v akej výške máte toto zodpovednostné poistenie?</w:t>
      </w:r>
      <w:r w:rsidR="00DB7570" w:rsidRPr="00823172">
        <w:rPr>
          <w:rFonts w:ascii="Arial" w:hAnsi="Arial" w:cs="Arial"/>
          <w:sz w:val="22"/>
          <w:szCs w:val="22"/>
        </w:rPr>
        <w:t xml:space="preserve"> Máte možnosť </w:t>
      </w:r>
      <w:r w:rsidR="001D770F" w:rsidRPr="00823172">
        <w:rPr>
          <w:rFonts w:ascii="Arial" w:hAnsi="Arial" w:cs="Arial"/>
          <w:sz w:val="22"/>
          <w:szCs w:val="22"/>
        </w:rPr>
        <w:t xml:space="preserve">si rozšíriť </w:t>
      </w:r>
      <w:r w:rsidR="00067706" w:rsidRPr="00823172">
        <w:rPr>
          <w:rFonts w:ascii="Arial" w:hAnsi="Arial" w:cs="Arial"/>
          <w:sz w:val="22"/>
          <w:szCs w:val="22"/>
        </w:rPr>
        <w:t>rozsah</w:t>
      </w:r>
      <w:r w:rsidR="00DB7570" w:rsidRPr="00823172">
        <w:rPr>
          <w:rFonts w:ascii="Arial" w:hAnsi="Arial" w:cs="Arial"/>
          <w:sz w:val="22"/>
          <w:szCs w:val="22"/>
        </w:rPr>
        <w:t>/výšku</w:t>
      </w:r>
      <w:r w:rsidR="00067706" w:rsidRPr="00823172">
        <w:rPr>
          <w:rFonts w:ascii="Arial" w:hAnsi="Arial" w:cs="Arial"/>
          <w:sz w:val="22"/>
          <w:szCs w:val="22"/>
        </w:rPr>
        <w:t xml:space="preserve"> poistenia IT služieb, pokiaľ by ste boli úspešný vo verejnom obstarávaní? Verejný obstarávateľ požaduje poistenie ako súčasť obchodných podmienok.</w:t>
      </w:r>
    </w:p>
    <w:p w14:paraId="7FB19567" w14:textId="51825FA0" w:rsidR="00DB7570" w:rsidRPr="00823172" w:rsidRDefault="00067706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t xml:space="preserve">Verejný obstarávateľ má úmysel nastaviť zabezpečovací inštitút bankovej záruky, aby znížil riziko počas implementácie zákazky. Preto do obchodných podmienok zaradil povinnosť </w:t>
      </w:r>
      <w:r w:rsidR="00DB7570" w:rsidRPr="00823172">
        <w:rPr>
          <w:rFonts w:ascii="Arial" w:hAnsi="Arial" w:cs="Arial"/>
          <w:sz w:val="22"/>
          <w:szCs w:val="22"/>
        </w:rPr>
        <w:t xml:space="preserve">predloženia </w:t>
      </w:r>
      <w:r w:rsidRPr="00823172">
        <w:rPr>
          <w:rFonts w:ascii="Arial" w:hAnsi="Arial" w:cs="Arial"/>
          <w:sz w:val="22"/>
          <w:szCs w:val="22"/>
        </w:rPr>
        <w:t>bankovej záruky vo výške 1 000 000 €. Považuje výšku bankovej záruky za akceptovateľnú vzhľadom k rozsahu zákazky? Ak nie prosím vysvetlite a navrhnite podľa Vás primeranú výšku bankovej záruky ako zabezpečovací inštitút počas implementácie zákazky.</w:t>
      </w:r>
    </w:p>
    <w:p w14:paraId="3A839A15" w14:textId="6201011D" w:rsidR="00067706" w:rsidRPr="00901907" w:rsidRDefault="00DB7570" w:rsidP="00F81563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901907">
        <w:rPr>
          <w:rFonts w:ascii="Arial" w:hAnsi="Arial" w:cs="Arial"/>
          <w:sz w:val="22"/>
          <w:szCs w:val="22"/>
        </w:rPr>
        <w:t>Po</w:t>
      </w:r>
      <w:r w:rsidR="00657D0F" w:rsidRPr="00901907">
        <w:rPr>
          <w:rFonts w:ascii="Arial" w:hAnsi="Arial" w:cs="Arial"/>
          <w:sz w:val="22"/>
          <w:szCs w:val="22"/>
        </w:rPr>
        <w:t>važu</w:t>
      </w:r>
      <w:r w:rsidRPr="00901907">
        <w:rPr>
          <w:rFonts w:ascii="Arial" w:hAnsi="Arial" w:cs="Arial"/>
          <w:sz w:val="22"/>
          <w:szCs w:val="22"/>
        </w:rPr>
        <w:t>jete odhad</w:t>
      </w:r>
      <w:r w:rsidR="00E53272" w:rsidRPr="00901907">
        <w:rPr>
          <w:rFonts w:ascii="Arial" w:hAnsi="Arial" w:cs="Arial"/>
          <w:sz w:val="22"/>
          <w:szCs w:val="22"/>
        </w:rPr>
        <w:t xml:space="preserve"> </w:t>
      </w:r>
      <w:r w:rsidR="00657D0F" w:rsidRPr="00901907">
        <w:rPr>
          <w:rFonts w:ascii="Arial" w:hAnsi="Arial" w:cs="Arial"/>
          <w:sz w:val="22"/>
          <w:szCs w:val="22"/>
        </w:rPr>
        <w:t xml:space="preserve">verejného obstarávateľa, ktorý identifikoval rozsah </w:t>
      </w:r>
      <w:r w:rsidR="00E53272" w:rsidRPr="00901907">
        <w:rPr>
          <w:rFonts w:ascii="Arial" w:hAnsi="Arial" w:cs="Arial"/>
          <w:sz w:val="22"/>
          <w:szCs w:val="22"/>
        </w:rPr>
        <w:t xml:space="preserve">kapacít </w:t>
      </w:r>
      <w:r w:rsidR="00657D0F" w:rsidRPr="00901907">
        <w:rPr>
          <w:rFonts w:ascii="Arial" w:hAnsi="Arial" w:cs="Arial"/>
          <w:sz w:val="22"/>
          <w:szCs w:val="22"/>
        </w:rPr>
        <w:t>pre riadne splnenie zákazky na strane úspešného uchádzača</w:t>
      </w:r>
      <w:r w:rsidR="00901907" w:rsidRPr="00901907">
        <w:rPr>
          <w:rFonts w:ascii="Arial" w:hAnsi="Arial" w:cs="Arial"/>
          <w:sz w:val="22"/>
          <w:szCs w:val="22"/>
        </w:rPr>
        <w:t xml:space="preserve"> za primeraný? Ak nie prosím odhadnite potrebné kapacity na strane budúceho dodávateľa za jednotlivé služby tvoriace predmet zákazky do nižšie uvedenej tabuľky.</w:t>
      </w:r>
      <w:r w:rsidR="00901907">
        <w:rPr>
          <w:rFonts w:ascii="Arial" w:hAnsi="Arial" w:cs="Arial"/>
          <w:sz w:val="22"/>
          <w:szCs w:val="22"/>
        </w:rPr>
        <w:t xml:space="preserve"> </w:t>
      </w:r>
      <w:r w:rsidR="00901907" w:rsidRPr="00901907">
        <w:rPr>
          <w:rFonts w:ascii="Arial" w:hAnsi="Arial" w:cs="Arial"/>
          <w:sz w:val="22"/>
          <w:szCs w:val="22"/>
        </w:rPr>
        <w:t xml:space="preserve">Poznámka: </w:t>
      </w:r>
      <w:r w:rsidR="00901907">
        <w:rPr>
          <w:rFonts w:ascii="Arial" w:hAnsi="Arial" w:cs="Arial"/>
          <w:sz w:val="22"/>
          <w:szCs w:val="22"/>
        </w:rPr>
        <w:t xml:space="preserve">rozsah bol odhadnutý na </w:t>
      </w:r>
      <w:r w:rsidR="00901907" w:rsidRPr="00901907">
        <w:rPr>
          <w:rFonts w:ascii="Arial" w:hAnsi="Arial" w:cs="Arial"/>
          <w:sz w:val="22"/>
          <w:szCs w:val="22"/>
        </w:rPr>
        <w:t>viac ako 22 000 človekodní za celý predmet zákazky</w:t>
      </w:r>
      <w:r w:rsidR="00E53272" w:rsidRPr="00901907">
        <w:rPr>
          <w:rFonts w:ascii="Arial" w:hAnsi="Arial" w:cs="Arial"/>
          <w:sz w:val="22"/>
          <w:szCs w:val="22"/>
        </w:rPr>
        <w:t xml:space="preserve">, </w:t>
      </w:r>
      <w:r w:rsidR="00901907" w:rsidRPr="00901907">
        <w:rPr>
          <w:rFonts w:ascii="Arial" w:hAnsi="Arial" w:cs="Arial"/>
          <w:sz w:val="22"/>
          <w:szCs w:val="22"/>
        </w:rPr>
        <w:t xml:space="preserve">pričom </w:t>
      </w:r>
      <w:r w:rsidRPr="00901907">
        <w:rPr>
          <w:rFonts w:ascii="Arial" w:hAnsi="Arial" w:cs="Arial"/>
          <w:sz w:val="22"/>
          <w:szCs w:val="22"/>
        </w:rPr>
        <w:t>za j</w:t>
      </w:r>
      <w:r w:rsidR="00E53272" w:rsidRPr="00901907">
        <w:rPr>
          <w:rFonts w:ascii="Arial" w:hAnsi="Arial" w:cs="Arial"/>
          <w:sz w:val="22"/>
          <w:szCs w:val="22"/>
        </w:rPr>
        <w:t xml:space="preserve">ednotlivé služby </w:t>
      </w:r>
      <w:r w:rsidR="00657D0F" w:rsidRPr="00901907">
        <w:rPr>
          <w:rFonts w:ascii="Arial" w:hAnsi="Arial" w:cs="Arial"/>
          <w:sz w:val="22"/>
          <w:szCs w:val="22"/>
        </w:rPr>
        <w:t>(</w:t>
      </w:r>
      <w:r w:rsidR="006965F8" w:rsidRPr="00901907">
        <w:rPr>
          <w:rFonts w:ascii="Arial" w:hAnsi="Arial" w:cs="Arial"/>
          <w:sz w:val="22"/>
          <w:szCs w:val="22"/>
        </w:rPr>
        <w:t>Služby technickej a aplikačnej podpory (paušál)</w:t>
      </w:r>
      <w:r w:rsidR="00901907">
        <w:rPr>
          <w:rFonts w:ascii="Arial" w:hAnsi="Arial" w:cs="Arial"/>
          <w:sz w:val="22"/>
          <w:szCs w:val="22"/>
        </w:rPr>
        <w:t xml:space="preserve"> rozsah 3000 až 4000 človekodní</w:t>
      </w:r>
      <w:r w:rsidR="006965F8" w:rsidRPr="00901907">
        <w:rPr>
          <w:rFonts w:ascii="Arial" w:hAnsi="Arial" w:cs="Arial"/>
          <w:sz w:val="22"/>
          <w:szCs w:val="22"/>
        </w:rPr>
        <w:t>;</w:t>
      </w:r>
      <w:r w:rsidR="00657D0F" w:rsidRPr="00901907">
        <w:rPr>
          <w:rFonts w:ascii="Arial" w:hAnsi="Arial" w:cs="Arial"/>
          <w:sz w:val="22"/>
          <w:szCs w:val="22"/>
        </w:rPr>
        <w:t xml:space="preserve"> </w:t>
      </w:r>
      <w:r w:rsidR="006965F8" w:rsidRPr="00901907">
        <w:rPr>
          <w:rFonts w:ascii="Arial" w:hAnsi="Arial" w:cs="Arial"/>
          <w:sz w:val="22"/>
          <w:szCs w:val="22"/>
        </w:rPr>
        <w:t>za Služby technickej a aplikačnej podpory (</w:t>
      </w:r>
      <w:proofErr w:type="spellStart"/>
      <w:r w:rsidR="006965F8" w:rsidRPr="00901907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901907">
        <w:rPr>
          <w:rFonts w:ascii="Arial" w:hAnsi="Arial" w:cs="Arial"/>
          <w:sz w:val="22"/>
          <w:szCs w:val="22"/>
        </w:rPr>
        <w:t>)</w:t>
      </w:r>
      <w:r w:rsidR="00657D0F" w:rsidRPr="00901907">
        <w:rPr>
          <w:rFonts w:ascii="Arial" w:hAnsi="Arial" w:cs="Arial"/>
          <w:sz w:val="22"/>
          <w:szCs w:val="22"/>
        </w:rPr>
        <w:t xml:space="preserve"> + </w:t>
      </w:r>
      <w:r w:rsidR="006965F8" w:rsidRPr="00901907">
        <w:rPr>
          <w:rFonts w:ascii="Arial" w:hAnsi="Arial" w:cs="Arial"/>
          <w:sz w:val="22"/>
          <w:szCs w:val="22"/>
        </w:rPr>
        <w:t>Služby aplikačného rozvoja (</w:t>
      </w:r>
      <w:proofErr w:type="spellStart"/>
      <w:r w:rsidR="006965F8" w:rsidRPr="00901907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901907">
        <w:rPr>
          <w:rFonts w:ascii="Arial" w:hAnsi="Arial" w:cs="Arial"/>
          <w:sz w:val="22"/>
          <w:szCs w:val="22"/>
        </w:rPr>
        <w:t xml:space="preserve">) - </w:t>
      </w:r>
      <w:r w:rsidR="00901907" w:rsidRPr="00901907">
        <w:rPr>
          <w:rFonts w:ascii="Arial" w:hAnsi="Arial" w:cs="Arial"/>
          <w:sz w:val="22"/>
          <w:szCs w:val="22"/>
        </w:rPr>
        <w:t xml:space="preserve"> rozsah</w:t>
      </w:r>
      <w:r w:rsidR="004043A7">
        <w:rPr>
          <w:rFonts w:ascii="Arial" w:hAnsi="Arial" w:cs="Arial"/>
          <w:sz w:val="22"/>
          <w:szCs w:val="22"/>
        </w:rPr>
        <w:t xml:space="preserve"> cca</w:t>
      </w:r>
      <w:r w:rsidR="00901907" w:rsidRPr="00901907">
        <w:rPr>
          <w:rFonts w:ascii="Arial" w:hAnsi="Arial" w:cs="Arial"/>
          <w:sz w:val="22"/>
          <w:szCs w:val="22"/>
        </w:rPr>
        <w:t xml:space="preserve"> </w:t>
      </w:r>
      <w:r w:rsidR="00657D0F" w:rsidRPr="00901907">
        <w:rPr>
          <w:rFonts w:ascii="Arial" w:hAnsi="Arial" w:cs="Arial"/>
          <w:sz w:val="22"/>
          <w:szCs w:val="22"/>
        </w:rPr>
        <w:t>63</w:t>
      </w:r>
      <w:r w:rsidR="004043A7">
        <w:rPr>
          <w:rFonts w:ascii="Arial" w:hAnsi="Arial" w:cs="Arial"/>
          <w:sz w:val="22"/>
          <w:szCs w:val="22"/>
        </w:rPr>
        <w:t>00</w:t>
      </w:r>
      <w:r w:rsidR="00657D0F" w:rsidRPr="00901907">
        <w:rPr>
          <w:rFonts w:ascii="Arial" w:hAnsi="Arial" w:cs="Arial"/>
          <w:sz w:val="22"/>
          <w:szCs w:val="22"/>
        </w:rPr>
        <w:t xml:space="preserve"> </w:t>
      </w:r>
      <w:r w:rsidR="0099224B" w:rsidRPr="00901907">
        <w:rPr>
          <w:rFonts w:ascii="Arial" w:hAnsi="Arial" w:cs="Arial"/>
          <w:sz w:val="22"/>
          <w:szCs w:val="22"/>
        </w:rPr>
        <w:t>človeko</w:t>
      </w:r>
      <w:r w:rsidR="00657D0F" w:rsidRPr="00901907">
        <w:rPr>
          <w:rFonts w:ascii="Arial" w:hAnsi="Arial" w:cs="Arial"/>
          <w:sz w:val="22"/>
          <w:szCs w:val="22"/>
        </w:rPr>
        <w:t>dní</w:t>
      </w:r>
      <w:r w:rsidR="006965F8" w:rsidRPr="00901907">
        <w:rPr>
          <w:rFonts w:ascii="Arial" w:hAnsi="Arial" w:cs="Arial"/>
          <w:sz w:val="22"/>
          <w:szCs w:val="22"/>
        </w:rPr>
        <w:t>;</w:t>
      </w:r>
      <w:r w:rsidR="00657D0F" w:rsidRPr="00901907">
        <w:rPr>
          <w:rFonts w:ascii="Arial" w:hAnsi="Arial" w:cs="Arial"/>
          <w:sz w:val="22"/>
          <w:szCs w:val="22"/>
        </w:rPr>
        <w:t xml:space="preserve"> </w:t>
      </w:r>
      <w:r w:rsidR="006965F8" w:rsidRPr="00901907">
        <w:rPr>
          <w:rFonts w:ascii="Arial" w:hAnsi="Arial" w:cs="Arial"/>
          <w:sz w:val="22"/>
          <w:szCs w:val="22"/>
        </w:rPr>
        <w:t xml:space="preserve">Služby vývoja </w:t>
      </w:r>
      <w:proofErr w:type="spellStart"/>
      <w:r w:rsidR="006965F8" w:rsidRPr="00901907">
        <w:rPr>
          <w:rFonts w:ascii="Arial" w:hAnsi="Arial" w:cs="Arial"/>
          <w:sz w:val="22"/>
          <w:szCs w:val="22"/>
        </w:rPr>
        <w:t>inkrementu</w:t>
      </w:r>
      <w:proofErr w:type="spellEnd"/>
      <w:r w:rsidR="006965F8" w:rsidRPr="00901907">
        <w:rPr>
          <w:rFonts w:ascii="Arial" w:hAnsi="Arial" w:cs="Arial"/>
          <w:sz w:val="22"/>
          <w:szCs w:val="22"/>
        </w:rPr>
        <w:t xml:space="preserve"> 2 (</w:t>
      </w:r>
      <w:proofErr w:type="spellStart"/>
      <w:r w:rsidR="006965F8" w:rsidRPr="00901907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901907">
        <w:rPr>
          <w:rFonts w:ascii="Arial" w:hAnsi="Arial" w:cs="Arial"/>
          <w:sz w:val="22"/>
          <w:szCs w:val="22"/>
        </w:rPr>
        <w:t xml:space="preserve">) </w:t>
      </w:r>
      <w:r w:rsidR="004043A7">
        <w:rPr>
          <w:rFonts w:ascii="Arial" w:hAnsi="Arial" w:cs="Arial"/>
          <w:sz w:val="22"/>
          <w:szCs w:val="22"/>
        </w:rPr>
        <w:t>–</w:t>
      </w:r>
      <w:r w:rsidR="006965F8" w:rsidRPr="00901907">
        <w:rPr>
          <w:rFonts w:ascii="Arial" w:hAnsi="Arial" w:cs="Arial"/>
          <w:sz w:val="22"/>
          <w:szCs w:val="22"/>
        </w:rPr>
        <w:t xml:space="preserve"> </w:t>
      </w:r>
      <w:r w:rsidR="00901907" w:rsidRPr="00901907">
        <w:rPr>
          <w:rFonts w:ascii="Arial" w:hAnsi="Arial" w:cs="Arial"/>
          <w:sz w:val="22"/>
          <w:szCs w:val="22"/>
        </w:rPr>
        <w:t>rozsah</w:t>
      </w:r>
      <w:r w:rsidR="004043A7">
        <w:rPr>
          <w:rFonts w:ascii="Arial" w:hAnsi="Arial" w:cs="Arial"/>
          <w:sz w:val="22"/>
          <w:szCs w:val="22"/>
        </w:rPr>
        <w:t xml:space="preserve"> </w:t>
      </w:r>
      <w:r w:rsidR="00657D0F" w:rsidRPr="00901907">
        <w:rPr>
          <w:rFonts w:ascii="Arial" w:hAnsi="Arial" w:cs="Arial"/>
          <w:sz w:val="22"/>
          <w:szCs w:val="22"/>
        </w:rPr>
        <w:t>12</w:t>
      </w:r>
      <w:r w:rsidR="00901907" w:rsidRPr="00901907">
        <w:rPr>
          <w:rFonts w:ascii="Arial" w:hAnsi="Arial" w:cs="Arial"/>
          <w:sz w:val="22"/>
          <w:szCs w:val="22"/>
        </w:rPr>
        <w:t xml:space="preserve"> </w:t>
      </w:r>
      <w:r w:rsidR="00657D0F" w:rsidRPr="00901907">
        <w:rPr>
          <w:rFonts w:ascii="Arial" w:hAnsi="Arial" w:cs="Arial"/>
          <w:sz w:val="22"/>
          <w:szCs w:val="22"/>
        </w:rPr>
        <w:t>800</w:t>
      </w:r>
      <w:r w:rsidR="009519DF" w:rsidRPr="00901907">
        <w:rPr>
          <w:rFonts w:ascii="Arial" w:hAnsi="Arial" w:cs="Arial"/>
          <w:sz w:val="22"/>
          <w:szCs w:val="22"/>
        </w:rPr>
        <w:t xml:space="preserve"> </w:t>
      </w:r>
      <w:r w:rsidR="0099224B" w:rsidRPr="00901907">
        <w:rPr>
          <w:rFonts w:ascii="Arial" w:hAnsi="Arial" w:cs="Arial"/>
          <w:sz w:val="22"/>
          <w:szCs w:val="22"/>
        </w:rPr>
        <w:t>človekodní</w:t>
      </w:r>
      <w:r w:rsidR="006965F8" w:rsidRPr="00901907">
        <w:rPr>
          <w:rFonts w:ascii="Arial" w:hAnsi="Arial" w:cs="Arial"/>
          <w:sz w:val="22"/>
          <w:szCs w:val="22"/>
        </w:rPr>
        <w:t xml:space="preserve"> odhadnutých cez Katalóg požiadaviek XLS súbor)</w:t>
      </w:r>
      <w:r w:rsidR="00901907" w:rsidRPr="00901907">
        <w:rPr>
          <w:rFonts w:ascii="Arial" w:hAnsi="Arial" w:cs="Arial"/>
          <w:sz w:val="22"/>
          <w:szCs w:val="22"/>
        </w:rPr>
        <w:t>.</w:t>
      </w:r>
      <w:r w:rsidRPr="00901907">
        <w:rPr>
          <w:rFonts w:ascii="Arial" w:hAnsi="Arial" w:cs="Arial"/>
          <w:sz w:val="22"/>
          <w:szCs w:val="22"/>
        </w:rPr>
        <w:t xml:space="preserve"> </w:t>
      </w:r>
    </w:p>
    <w:p w14:paraId="7C6E084A" w14:textId="48D28414" w:rsidR="000A7017" w:rsidRDefault="005A21C7" w:rsidP="00823172">
      <w:pPr>
        <w:pStyle w:val="Default"/>
        <w:numPr>
          <w:ilvl w:val="0"/>
          <w:numId w:val="1"/>
        </w:numPr>
        <w:spacing w:after="258"/>
        <w:jc w:val="both"/>
        <w:rPr>
          <w:rFonts w:ascii="Arial" w:hAnsi="Arial" w:cs="Arial"/>
          <w:sz w:val="22"/>
          <w:szCs w:val="22"/>
        </w:rPr>
      </w:pPr>
      <w:r w:rsidRPr="00823172">
        <w:rPr>
          <w:rFonts w:ascii="Arial" w:hAnsi="Arial" w:cs="Arial"/>
          <w:sz w:val="22"/>
          <w:szCs w:val="22"/>
        </w:rPr>
        <w:lastRenderedPageBreak/>
        <w:t>Aká je Vami odhadovaná</w:t>
      </w:r>
      <w:r w:rsidR="006965F8">
        <w:rPr>
          <w:rFonts w:ascii="Arial" w:hAnsi="Arial" w:cs="Arial"/>
          <w:sz w:val="22"/>
          <w:szCs w:val="22"/>
        </w:rPr>
        <w:t xml:space="preserve"> cena za predmet zákazky (</w:t>
      </w:r>
      <w:r w:rsidRPr="00823172">
        <w:rPr>
          <w:rFonts w:ascii="Arial" w:hAnsi="Arial" w:cs="Arial"/>
          <w:sz w:val="22"/>
          <w:szCs w:val="22"/>
        </w:rPr>
        <w:t xml:space="preserve">za </w:t>
      </w:r>
      <w:r w:rsidR="006965F8" w:rsidRPr="006965F8">
        <w:rPr>
          <w:rFonts w:ascii="Arial" w:hAnsi="Arial" w:cs="Arial"/>
          <w:sz w:val="22"/>
          <w:szCs w:val="22"/>
        </w:rPr>
        <w:t>Služby technickej a aplikačnej podpory (paušál); za Služby technickej a aplikačnej podpory (</w:t>
      </w:r>
      <w:proofErr w:type="spellStart"/>
      <w:r w:rsidR="006965F8" w:rsidRPr="006965F8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6965F8">
        <w:rPr>
          <w:rFonts w:ascii="Arial" w:hAnsi="Arial" w:cs="Arial"/>
          <w:sz w:val="22"/>
          <w:szCs w:val="22"/>
        </w:rPr>
        <w:t>) + Služby aplikačného rozvoja (</w:t>
      </w:r>
      <w:proofErr w:type="spellStart"/>
      <w:r w:rsidR="006965F8" w:rsidRPr="006965F8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6965F8">
        <w:rPr>
          <w:rFonts w:ascii="Arial" w:hAnsi="Arial" w:cs="Arial"/>
          <w:sz w:val="22"/>
          <w:szCs w:val="22"/>
        </w:rPr>
        <w:t xml:space="preserve">); Služby vývoja </w:t>
      </w:r>
      <w:proofErr w:type="spellStart"/>
      <w:r w:rsidR="006965F8" w:rsidRPr="006965F8">
        <w:rPr>
          <w:rFonts w:ascii="Arial" w:hAnsi="Arial" w:cs="Arial"/>
          <w:sz w:val="22"/>
          <w:szCs w:val="22"/>
        </w:rPr>
        <w:t>inkrementu</w:t>
      </w:r>
      <w:proofErr w:type="spellEnd"/>
      <w:r w:rsidR="006965F8" w:rsidRPr="006965F8">
        <w:rPr>
          <w:rFonts w:ascii="Arial" w:hAnsi="Arial" w:cs="Arial"/>
          <w:sz w:val="22"/>
          <w:szCs w:val="22"/>
        </w:rPr>
        <w:t xml:space="preserve"> 2 (</w:t>
      </w:r>
      <w:proofErr w:type="spellStart"/>
      <w:r w:rsidR="006965F8" w:rsidRPr="006965F8">
        <w:rPr>
          <w:rFonts w:ascii="Arial" w:hAnsi="Arial" w:cs="Arial"/>
          <w:sz w:val="22"/>
          <w:szCs w:val="22"/>
        </w:rPr>
        <w:t>nadpaušál</w:t>
      </w:r>
      <w:proofErr w:type="spellEnd"/>
      <w:r w:rsidR="006965F8" w:rsidRPr="006965F8">
        <w:rPr>
          <w:rFonts w:ascii="Arial" w:hAnsi="Arial" w:cs="Arial"/>
          <w:sz w:val="22"/>
          <w:szCs w:val="22"/>
        </w:rPr>
        <w:t>)</w:t>
      </w:r>
      <w:r w:rsidRPr="00823172">
        <w:rPr>
          <w:rFonts w:ascii="Arial" w:hAnsi="Arial" w:cs="Arial"/>
          <w:sz w:val="22"/>
          <w:szCs w:val="22"/>
        </w:rPr>
        <w:t>?</w:t>
      </w:r>
      <w:r w:rsidR="004432E1" w:rsidRPr="00823172">
        <w:rPr>
          <w:rFonts w:ascii="Arial" w:hAnsi="Arial" w:cs="Arial"/>
          <w:sz w:val="22"/>
          <w:szCs w:val="22"/>
        </w:rPr>
        <w:t xml:space="preserve"> Prosím vyplňte nižšie uvedenú tabuľku</w:t>
      </w:r>
      <w:r w:rsidR="001675B7" w:rsidRPr="0082317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9151E14" w14:textId="77777777" w:rsidR="00E700A9" w:rsidRPr="00BD7DE7" w:rsidRDefault="00E700A9" w:rsidP="0082317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BD7DE7">
        <w:rPr>
          <w:rFonts w:ascii="Arial" w:hAnsi="Arial" w:cs="Arial"/>
          <w:sz w:val="22"/>
          <w:szCs w:val="22"/>
        </w:rPr>
        <w:t xml:space="preserve">Tabuľka pre identifikáciu rozsahu kapacít a ceny pre jednotlivé služby </w:t>
      </w:r>
    </w:p>
    <w:p w14:paraId="4C71F450" w14:textId="03C30CCE" w:rsidR="004312B8" w:rsidRPr="00823172" w:rsidRDefault="004312B8" w:rsidP="00823172">
      <w:pPr>
        <w:pStyle w:val="Default"/>
        <w:spacing w:after="258"/>
        <w:ind w:left="360"/>
        <w:jc w:val="both"/>
        <w:rPr>
          <w:rFonts w:ascii="Arial" w:hAnsi="Arial" w:cs="Arial"/>
          <w:sz w:val="22"/>
          <w:szCs w:val="22"/>
        </w:rPr>
      </w:pPr>
    </w:p>
    <w:p w14:paraId="0686CEDB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6FB7A9C9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5A0D485E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466366B3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59CABDC0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747E9651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23663823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2D92162B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4002D6B3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68089830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169FAA9D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57B69FB1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3DA0C1A4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3E249D61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0BFEF7C0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4BCCD99A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0C2D2B07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71A319DD" w14:textId="77777777" w:rsidR="000A7017" w:rsidRDefault="000A7017" w:rsidP="00823172">
      <w:pPr>
        <w:pStyle w:val="Default"/>
        <w:jc w:val="both"/>
        <w:rPr>
          <w:sz w:val="22"/>
          <w:szCs w:val="22"/>
        </w:rPr>
      </w:pPr>
    </w:p>
    <w:p w14:paraId="7C448B39" w14:textId="77777777" w:rsidR="00DC725D" w:rsidRDefault="00DC725D" w:rsidP="00823172">
      <w:pPr>
        <w:pStyle w:val="Default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page" w:horzAnchor="margin" w:tblpXSpec="center" w:tblpY="2418"/>
        <w:tblW w:w="6232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134"/>
        <w:gridCol w:w="1134"/>
      </w:tblGrid>
      <w:tr w:rsidR="008B24FD" w:rsidRPr="00985B1B" w14:paraId="3FD335D9" w14:textId="77777777" w:rsidTr="006965F8"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155F0242" w14:textId="77777777" w:rsidR="008B24FD" w:rsidRPr="00985B1B" w:rsidRDefault="008B24FD" w:rsidP="006965F8">
            <w:pPr>
              <w:jc w:val="center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>Názov položky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78E65B7D" w14:textId="77777777" w:rsidR="008B24FD" w:rsidRPr="00985B1B" w:rsidRDefault="008B24FD" w:rsidP="006965F8">
            <w:pPr>
              <w:jc w:val="center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>Merná jednotka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850CF7C" w14:textId="70017DBE" w:rsidR="008B24FD" w:rsidRPr="00985B1B" w:rsidRDefault="008B24FD" w:rsidP="006965F8">
            <w:pPr>
              <w:jc w:val="center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 xml:space="preserve">Počet jednotiek za obdobie 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 xml:space="preserve">zákazky 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F34924E" w14:textId="77777777" w:rsidR="008B24FD" w:rsidRPr="00985B1B" w:rsidRDefault="008B24FD" w:rsidP="006965F8">
            <w:pPr>
              <w:jc w:val="center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>Jednotková cena</w:t>
            </w: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br/>
              <w:t>v EUR bez DPH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EDD6E09" w14:textId="77777777" w:rsidR="008B24FD" w:rsidRPr="00985B1B" w:rsidRDefault="008B24FD" w:rsidP="006965F8">
            <w:pPr>
              <w:ind w:right="228"/>
              <w:jc w:val="center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t xml:space="preserve">Celková cena </w:t>
            </w:r>
            <w:r w:rsidRPr="00985B1B"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  <w:br/>
              <w:t>v EUR bez DPH</w:t>
            </w:r>
          </w:p>
        </w:tc>
      </w:tr>
      <w:tr w:rsidR="008B24FD" w:rsidRPr="00985B1B" w14:paraId="5249EF7A" w14:textId="77777777" w:rsidTr="006965F8">
        <w:tc>
          <w:tcPr>
            <w:tcW w:w="1555" w:type="dxa"/>
            <w:vAlign w:val="center"/>
          </w:tcPr>
          <w:p w14:paraId="24C592EF" w14:textId="77777777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Služby technickej a aplikačnej podpory (paušál)</w:t>
            </w:r>
          </w:p>
        </w:tc>
        <w:tc>
          <w:tcPr>
            <w:tcW w:w="1275" w:type="dxa"/>
            <w:vAlign w:val="center"/>
          </w:tcPr>
          <w:p w14:paraId="4AA2B124" w14:textId="7DA957F0" w:rsidR="008B24FD" w:rsidRPr="00985B1B" w:rsidRDefault="001675B7" w:rsidP="006965F8">
            <w:pPr>
              <w:spacing w:line="276" w:lineRule="auto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p</w:t>
            </w:r>
            <w:r w:rsidR="008B24FD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 xml:space="preserve">očet </w:t>
            </w:r>
            <w:r w:rsidR="0099224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človeko</w:t>
            </w:r>
            <w:r w:rsidR="00426C3C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dní</w:t>
            </w:r>
            <w:r w:rsidR="008B24FD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/</w:t>
            </w:r>
            <w:r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 xml:space="preserve"> š</w:t>
            </w:r>
            <w:r w:rsidR="008B24FD" w:rsidRPr="00985B1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tvrťročný</w:t>
            </w:r>
          </w:p>
          <w:p w14:paraId="5E729582" w14:textId="77777777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paušálny</w:t>
            </w:r>
          </w:p>
          <w:p w14:paraId="6CDE777D" w14:textId="77777777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poplatok</w:t>
            </w:r>
          </w:p>
        </w:tc>
        <w:tc>
          <w:tcPr>
            <w:tcW w:w="1134" w:type="dxa"/>
            <w:vAlign w:val="center"/>
          </w:tcPr>
          <w:p w14:paraId="2D9AD964" w14:textId="77777777" w:rsidR="008B24FD" w:rsidRPr="00985B1B" w:rsidRDefault="008B24FD" w:rsidP="006965F8">
            <w:pPr>
              <w:spacing w:line="276" w:lineRule="auto"/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2892A939" w14:textId="77777777" w:rsidR="008B24FD" w:rsidRPr="00985B1B" w:rsidRDefault="008B24FD" w:rsidP="006965F8">
            <w:pPr>
              <w:spacing w:line="259" w:lineRule="auto"/>
              <w:jc w:val="center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14:paraId="1D72A5A8" w14:textId="77777777" w:rsidR="008B24FD" w:rsidRPr="00985B1B" w:rsidRDefault="008B24FD" w:rsidP="006965F8">
            <w:pPr>
              <w:spacing w:line="259" w:lineRule="auto"/>
              <w:jc w:val="center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</w:tr>
      <w:tr w:rsidR="008B24FD" w:rsidRPr="00985B1B" w14:paraId="7384AC00" w14:textId="77777777" w:rsidTr="006965F8">
        <w:tc>
          <w:tcPr>
            <w:tcW w:w="1555" w:type="dxa"/>
            <w:vAlign w:val="center"/>
          </w:tcPr>
          <w:p w14:paraId="7975062A" w14:textId="2B935380" w:rsidR="008B24FD" w:rsidRPr="00985B1B" w:rsidRDefault="008B24FD" w:rsidP="006965F8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Služby technickej a aplikačnej podpory (nadpaušál)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/</w:t>
            </w:r>
            <w:r w:rsidRPr="00985B1B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(Služby aplikačného rozvoja (nadpaušál)</w:t>
            </w:r>
          </w:p>
        </w:tc>
        <w:tc>
          <w:tcPr>
            <w:tcW w:w="1275" w:type="dxa"/>
            <w:vAlign w:val="center"/>
          </w:tcPr>
          <w:p w14:paraId="197A7A36" w14:textId="77777777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človekodeň</w:t>
            </w:r>
          </w:p>
        </w:tc>
        <w:tc>
          <w:tcPr>
            <w:tcW w:w="1134" w:type="dxa"/>
            <w:vAlign w:val="center"/>
          </w:tcPr>
          <w:p w14:paraId="0AAF3453" w14:textId="77777777" w:rsidR="008B24FD" w:rsidRPr="00985B1B" w:rsidRDefault="008B24FD" w:rsidP="006965F8">
            <w:pPr>
              <w:spacing w:line="276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7E770B4C" w14:textId="77777777" w:rsidR="008B24FD" w:rsidRPr="00985B1B" w:rsidRDefault="008B24FD" w:rsidP="006965F8">
            <w:pPr>
              <w:spacing w:line="259" w:lineRule="auto"/>
              <w:jc w:val="center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14:paraId="37F956D3" w14:textId="77777777" w:rsidR="008B24FD" w:rsidRPr="00985B1B" w:rsidRDefault="008B24FD" w:rsidP="006965F8">
            <w:pPr>
              <w:spacing w:line="259" w:lineRule="auto"/>
              <w:jc w:val="center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</w:tr>
      <w:tr w:rsidR="008B24FD" w:rsidRPr="00985B1B" w14:paraId="3D6DD3AA" w14:textId="77777777" w:rsidTr="006965F8">
        <w:trPr>
          <w:trHeight w:val="12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3C7638D" w14:textId="27FE4876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b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 xml:space="preserve">Služby vývoja </w:t>
            </w:r>
            <w:r w:rsidR="009519DF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I</w:t>
            </w:r>
            <w:r w:rsidRPr="00985B1B">
              <w:rPr>
                <w:rFonts w:ascii="Arial" w:hAnsi="Arial" w:cs="Arial"/>
                <w:b/>
                <w:noProof/>
                <w:sz w:val="16"/>
                <w:szCs w:val="16"/>
                <w:lang w:val="sk-SK"/>
              </w:rPr>
              <w:t>nkrementu 2 (nadpaušál)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42F342" w14:textId="77777777" w:rsidR="008B24FD" w:rsidRPr="00985B1B" w:rsidRDefault="008B24FD" w:rsidP="006965F8">
            <w:pPr>
              <w:spacing w:line="276" w:lineRule="auto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  <w:r w:rsidRPr="00985B1B"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  <w:t>človekodeň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7B1F6A" w14:textId="77777777" w:rsidR="008B24FD" w:rsidRPr="00985B1B" w:rsidRDefault="008B24FD" w:rsidP="006965F8">
            <w:pPr>
              <w:spacing w:line="276" w:lineRule="auto"/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7109AF" w14:textId="77777777" w:rsidR="008B24FD" w:rsidRPr="00985B1B" w:rsidRDefault="008B24FD" w:rsidP="006965F8">
            <w:pPr>
              <w:spacing w:line="259" w:lineRule="auto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8D7928" w14:textId="77777777" w:rsidR="008B24FD" w:rsidRPr="00985B1B" w:rsidRDefault="008B24FD" w:rsidP="006965F8">
            <w:pPr>
              <w:spacing w:line="259" w:lineRule="auto"/>
              <w:rPr>
                <w:rFonts w:ascii="Arial" w:eastAsiaTheme="majorEastAsia" w:hAnsi="Arial" w:cs="Arial"/>
                <w:noProof/>
                <w:sz w:val="16"/>
                <w:szCs w:val="16"/>
                <w:lang w:val="sk-SK"/>
              </w:rPr>
            </w:pPr>
          </w:p>
        </w:tc>
      </w:tr>
    </w:tbl>
    <w:p w14:paraId="15B8082E" w14:textId="05AAB2A4" w:rsidR="001D770F" w:rsidRPr="00823172" w:rsidRDefault="001D770F" w:rsidP="00823172">
      <w:pPr>
        <w:pStyle w:val="Default"/>
        <w:ind w:left="708"/>
        <w:jc w:val="both"/>
        <w:rPr>
          <w:rFonts w:ascii="Arial" w:hAnsi="Arial" w:cs="Arial"/>
        </w:rPr>
      </w:pPr>
    </w:p>
    <w:sectPr w:rsidR="001D770F" w:rsidRPr="00823172" w:rsidSect="001D770F">
      <w:footerReference w:type="default" r:id="rId7"/>
      <w:pgSz w:w="11906" w:h="17338"/>
      <w:pgMar w:top="831" w:right="1223" w:bottom="1417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D234" w14:textId="77777777" w:rsidR="009121F3" w:rsidRDefault="009121F3" w:rsidP="000A7017">
      <w:pPr>
        <w:spacing w:after="0" w:line="240" w:lineRule="auto"/>
      </w:pPr>
      <w:r>
        <w:separator/>
      </w:r>
    </w:p>
  </w:endnote>
  <w:endnote w:type="continuationSeparator" w:id="0">
    <w:p w14:paraId="62F18FE0" w14:textId="77777777" w:rsidR="009121F3" w:rsidRDefault="009121F3" w:rsidP="000A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029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78D201" w14:textId="48108A2F" w:rsidR="000A7017" w:rsidRDefault="000A7017">
            <w:pPr>
              <w:pStyle w:val="Pta"/>
              <w:jc w:val="right"/>
            </w:pPr>
            <w:r w:rsidRPr="00823172">
              <w:rPr>
                <w:rFonts w:ascii="Arial" w:hAnsi="Arial" w:cs="Arial"/>
                <w:szCs w:val="22"/>
              </w:rPr>
              <w:t xml:space="preserve">Strana </w: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instrText>PAGE</w:instrTex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BD7DE7"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823172">
              <w:rPr>
                <w:rFonts w:ascii="Arial" w:hAnsi="Arial" w:cs="Arial"/>
                <w:szCs w:val="22"/>
              </w:rPr>
              <w:t xml:space="preserve"> z </w: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instrText>NUMPAGES</w:instrTex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BD7DE7"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  <w:r w:rsidRPr="00823172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3A5C65FC" w14:textId="77777777" w:rsidR="000A7017" w:rsidRDefault="000A70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7802" w14:textId="77777777" w:rsidR="009121F3" w:rsidRDefault="009121F3" w:rsidP="000A7017">
      <w:pPr>
        <w:spacing w:after="0" w:line="240" w:lineRule="auto"/>
      </w:pPr>
      <w:r>
        <w:separator/>
      </w:r>
    </w:p>
  </w:footnote>
  <w:footnote w:type="continuationSeparator" w:id="0">
    <w:p w14:paraId="1C136BE6" w14:textId="77777777" w:rsidR="009121F3" w:rsidRDefault="009121F3" w:rsidP="000A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29EF"/>
    <w:multiLevelType w:val="hybridMultilevel"/>
    <w:tmpl w:val="75C2F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74307"/>
    <w:multiLevelType w:val="hybridMultilevel"/>
    <w:tmpl w:val="4796CB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7"/>
    <w:rsid w:val="000021B8"/>
    <w:rsid w:val="00063F7B"/>
    <w:rsid w:val="00067706"/>
    <w:rsid w:val="00074153"/>
    <w:rsid w:val="000A7017"/>
    <w:rsid w:val="000E066A"/>
    <w:rsid w:val="000F5DE6"/>
    <w:rsid w:val="001675B7"/>
    <w:rsid w:val="001D770F"/>
    <w:rsid w:val="001F3E96"/>
    <w:rsid w:val="00246408"/>
    <w:rsid w:val="002C3132"/>
    <w:rsid w:val="002E4E78"/>
    <w:rsid w:val="003B3750"/>
    <w:rsid w:val="003C535F"/>
    <w:rsid w:val="004043A7"/>
    <w:rsid w:val="00426C3C"/>
    <w:rsid w:val="004312B8"/>
    <w:rsid w:val="004432E1"/>
    <w:rsid w:val="005700AB"/>
    <w:rsid w:val="00591898"/>
    <w:rsid w:val="005A21C7"/>
    <w:rsid w:val="005D583B"/>
    <w:rsid w:val="00606444"/>
    <w:rsid w:val="00657D0F"/>
    <w:rsid w:val="006965F8"/>
    <w:rsid w:val="006B0502"/>
    <w:rsid w:val="007443A9"/>
    <w:rsid w:val="00823172"/>
    <w:rsid w:val="008B24FD"/>
    <w:rsid w:val="008E1BE9"/>
    <w:rsid w:val="008E6FDC"/>
    <w:rsid w:val="008F76FC"/>
    <w:rsid w:val="00901907"/>
    <w:rsid w:val="009121F3"/>
    <w:rsid w:val="009519DF"/>
    <w:rsid w:val="00973036"/>
    <w:rsid w:val="0099224B"/>
    <w:rsid w:val="00A11148"/>
    <w:rsid w:val="00AB6439"/>
    <w:rsid w:val="00AC3ED4"/>
    <w:rsid w:val="00B24658"/>
    <w:rsid w:val="00B87B03"/>
    <w:rsid w:val="00BA65FE"/>
    <w:rsid w:val="00BC15CF"/>
    <w:rsid w:val="00BD7DE7"/>
    <w:rsid w:val="00D17DEF"/>
    <w:rsid w:val="00DB7570"/>
    <w:rsid w:val="00DC725D"/>
    <w:rsid w:val="00E07F7D"/>
    <w:rsid w:val="00E53272"/>
    <w:rsid w:val="00E700A9"/>
    <w:rsid w:val="00F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BCC9"/>
  <w15:chartTrackingRefBased/>
  <w15:docId w15:val="{B3D2692D-28E8-4B07-8A2C-E9B39F9A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D0F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A2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5700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00A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00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0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0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00AB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00A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657D0F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701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A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017"/>
    <w:rPr>
      <w:rFonts w:ascii="Calibri" w:eastAsia="Times New Roman" w:hAnsi="Calibri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A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017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634</Words>
  <Characters>3617</Characters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2023-06-22T12:55:00Z</dcterms:created>
  <dcterms:modified xsi:type="dcterms:W3CDTF">2023-06-25T09:46:00Z</dcterms:modified>
</cp:coreProperties>
</file>