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B5" w:rsidRPr="004237CC" w:rsidRDefault="000B11B5" w:rsidP="000B11B5">
      <w:pPr>
        <w:jc w:val="center"/>
        <w:rPr>
          <w:b/>
          <w:sz w:val="24"/>
          <w:szCs w:val="24"/>
        </w:rPr>
      </w:pPr>
      <w:bookmarkStart w:id="0" w:name="_GoBack"/>
      <w:bookmarkEnd w:id="0"/>
      <w:r w:rsidRPr="004237CC">
        <w:rPr>
          <w:b/>
          <w:sz w:val="24"/>
          <w:szCs w:val="24"/>
        </w:rPr>
        <w:t>CESTOVNÁ MAPA K NÁRODNÉMU INFRAŠTRUKTÚRNEMU PLÁNU</w:t>
      </w:r>
    </w:p>
    <w:p w:rsidR="000B11B5" w:rsidRPr="004237CC" w:rsidRDefault="000B11B5" w:rsidP="000B11B5">
      <w:pPr>
        <w:jc w:val="center"/>
        <w:rPr>
          <w:b/>
          <w:sz w:val="24"/>
          <w:szCs w:val="24"/>
        </w:rPr>
      </w:pPr>
      <w:r w:rsidRPr="004237CC">
        <w:rPr>
          <w:b/>
          <w:sz w:val="24"/>
          <w:szCs w:val="24"/>
        </w:rPr>
        <w:t xml:space="preserve">SLOVENSKEJ REPUBLIKY NA </w:t>
      </w:r>
      <w:r w:rsidR="00F624FE">
        <w:rPr>
          <w:b/>
          <w:sz w:val="24"/>
          <w:szCs w:val="24"/>
        </w:rPr>
        <w:t>ROKY</w:t>
      </w:r>
      <w:r w:rsidR="00A139F8">
        <w:rPr>
          <w:b/>
          <w:sz w:val="24"/>
          <w:szCs w:val="24"/>
        </w:rPr>
        <w:t xml:space="preserve"> </w:t>
      </w:r>
      <w:r w:rsidRPr="004237CC">
        <w:rPr>
          <w:b/>
          <w:sz w:val="24"/>
          <w:szCs w:val="24"/>
        </w:rPr>
        <w:t>2018</w:t>
      </w:r>
      <w:r w:rsidR="00F0422C" w:rsidRPr="004237CC">
        <w:rPr>
          <w:b/>
          <w:sz w:val="24"/>
          <w:szCs w:val="24"/>
        </w:rPr>
        <w:t xml:space="preserve"> – </w:t>
      </w:r>
      <w:r w:rsidRPr="004237CC">
        <w:rPr>
          <w:b/>
          <w:sz w:val="24"/>
          <w:szCs w:val="24"/>
        </w:rPr>
        <w:t xml:space="preserve">2030 </w:t>
      </w:r>
    </w:p>
    <w:p w:rsidR="00F0422C" w:rsidRPr="004237CC" w:rsidRDefault="00F0422C" w:rsidP="00AD6123">
      <w:pPr>
        <w:jc w:val="center"/>
        <w:rPr>
          <w:b/>
          <w:sz w:val="24"/>
          <w:szCs w:val="24"/>
          <w:u w:val="single"/>
        </w:rPr>
      </w:pPr>
    </w:p>
    <w:p w:rsidR="00151DB8" w:rsidRPr="0082382B" w:rsidRDefault="0092754F" w:rsidP="00BE6501">
      <w:pPr>
        <w:pStyle w:val="Nadpis1"/>
        <w:rPr>
          <w:b/>
          <w:sz w:val="24"/>
          <w:szCs w:val="24"/>
        </w:rPr>
      </w:pPr>
      <w:r w:rsidRPr="0082382B">
        <w:rPr>
          <w:b/>
          <w:sz w:val="24"/>
          <w:szCs w:val="24"/>
        </w:rPr>
        <w:t>Úvod</w:t>
      </w:r>
    </w:p>
    <w:p w:rsidR="001F0E44" w:rsidRDefault="00913A92" w:rsidP="00397C08">
      <w:pPr>
        <w:jc w:val="both"/>
        <w:rPr>
          <w:sz w:val="24"/>
          <w:szCs w:val="24"/>
        </w:rPr>
      </w:pPr>
      <w:r>
        <w:rPr>
          <w:sz w:val="24"/>
          <w:szCs w:val="24"/>
        </w:rPr>
        <w:t>Vychádzajúc zo</w:t>
      </w:r>
      <w:r w:rsidR="00397C08" w:rsidRPr="004237CC">
        <w:rPr>
          <w:sz w:val="24"/>
          <w:szCs w:val="24"/>
        </w:rPr>
        <w:t xml:space="preserve"> zákona č. 575/2001</w:t>
      </w:r>
      <w:r w:rsidR="00797326">
        <w:rPr>
          <w:sz w:val="24"/>
          <w:szCs w:val="24"/>
        </w:rPr>
        <w:t xml:space="preserve"> Z.z.</w:t>
      </w:r>
      <w:r w:rsidR="00397C08" w:rsidRPr="004237CC">
        <w:rPr>
          <w:sz w:val="24"/>
          <w:szCs w:val="24"/>
        </w:rPr>
        <w:t xml:space="preserve"> o organizácii činnosti vlády a organizácii ústrednej štátnej správy </w:t>
      </w:r>
      <w:r w:rsidR="00797326">
        <w:rPr>
          <w:sz w:val="24"/>
          <w:szCs w:val="24"/>
        </w:rPr>
        <w:t>v znení neskorších predpisov (ďalej</w:t>
      </w:r>
      <w:r w:rsidR="00397C08" w:rsidRPr="004237CC">
        <w:rPr>
          <w:sz w:val="24"/>
          <w:szCs w:val="24"/>
        </w:rPr>
        <w:t xml:space="preserve"> len „kompetenčný zákon“) podpredseda vlády Slovenskej republiky pre investície a</w:t>
      </w:r>
      <w:r w:rsidR="00487BDE" w:rsidRPr="004237CC">
        <w:rPr>
          <w:sz w:val="24"/>
          <w:szCs w:val="24"/>
        </w:rPr>
        <w:t> </w:t>
      </w:r>
      <w:r w:rsidR="00397C08" w:rsidRPr="004237CC">
        <w:rPr>
          <w:sz w:val="24"/>
          <w:szCs w:val="24"/>
        </w:rPr>
        <w:t>informatizáciu</w:t>
      </w:r>
      <w:r w:rsidR="00487BDE" w:rsidRPr="004237CC">
        <w:rPr>
          <w:sz w:val="24"/>
          <w:szCs w:val="24"/>
        </w:rPr>
        <w:t xml:space="preserve"> </w:t>
      </w:r>
      <w:r w:rsidR="00AB1BA1">
        <w:rPr>
          <w:sz w:val="24"/>
          <w:szCs w:val="24"/>
        </w:rPr>
        <w:t xml:space="preserve"> predkladá na rokovanie vlády SR </w:t>
      </w:r>
      <w:r w:rsidRPr="00C91ACF">
        <w:rPr>
          <w:b/>
          <w:sz w:val="24"/>
          <w:szCs w:val="24"/>
        </w:rPr>
        <w:t xml:space="preserve">„Cestovnú mapu k </w:t>
      </w:r>
      <w:r w:rsidR="00DF7E73" w:rsidRPr="00C91ACF">
        <w:rPr>
          <w:b/>
          <w:sz w:val="24"/>
          <w:szCs w:val="24"/>
        </w:rPr>
        <w:t>N</w:t>
      </w:r>
      <w:r w:rsidR="00397C08" w:rsidRPr="00C91ACF">
        <w:rPr>
          <w:b/>
          <w:sz w:val="24"/>
          <w:szCs w:val="24"/>
        </w:rPr>
        <w:t>árodn</w:t>
      </w:r>
      <w:r w:rsidRPr="00C91ACF">
        <w:rPr>
          <w:b/>
          <w:sz w:val="24"/>
          <w:szCs w:val="24"/>
        </w:rPr>
        <w:t>ému</w:t>
      </w:r>
      <w:r w:rsidR="00397C08" w:rsidRPr="00C91ACF">
        <w:rPr>
          <w:b/>
          <w:sz w:val="24"/>
          <w:szCs w:val="24"/>
        </w:rPr>
        <w:t xml:space="preserve"> infraštruktúrn</w:t>
      </w:r>
      <w:r w:rsidRPr="00C91ACF">
        <w:rPr>
          <w:b/>
          <w:sz w:val="24"/>
          <w:szCs w:val="24"/>
        </w:rPr>
        <w:t>emu</w:t>
      </w:r>
      <w:r w:rsidR="00397C08" w:rsidRPr="00C91ACF">
        <w:rPr>
          <w:b/>
          <w:sz w:val="24"/>
          <w:szCs w:val="24"/>
        </w:rPr>
        <w:t xml:space="preserve"> plán</w:t>
      </w:r>
      <w:r w:rsidRPr="00C91ACF">
        <w:rPr>
          <w:b/>
          <w:sz w:val="24"/>
          <w:szCs w:val="24"/>
        </w:rPr>
        <w:t>u</w:t>
      </w:r>
      <w:r w:rsidR="00397C08" w:rsidRPr="00C91ACF">
        <w:rPr>
          <w:b/>
          <w:sz w:val="24"/>
          <w:szCs w:val="24"/>
        </w:rPr>
        <w:t xml:space="preserve"> Slovenskej republiky na </w:t>
      </w:r>
      <w:r w:rsidR="00F624FE">
        <w:rPr>
          <w:b/>
          <w:sz w:val="24"/>
          <w:szCs w:val="24"/>
        </w:rPr>
        <w:t xml:space="preserve">roky </w:t>
      </w:r>
      <w:r w:rsidR="00397C08" w:rsidRPr="004237CC">
        <w:rPr>
          <w:b/>
          <w:sz w:val="24"/>
          <w:szCs w:val="24"/>
        </w:rPr>
        <w:t>2018-2030</w:t>
      </w:r>
      <w:r>
        <w:rPr>
          <w:b/>
          <w:sz w:val="24"/>
          <w:szCs w:val="24"/>
        </w:rPr>
        <w:t>“</w:t>
      </w:r>
      <w:r w:rsidR="00397C08" w:rsidRPr="004237CC">
        <w:rPr>
          <w:sz w:val="24"/>
          <w:szCs w:val="24"/>
        </w:rPr>
        <w:t xml:space="preserve"> (ďalej len „NIP SR“) po vzore</w:t>
      </w:r>
      <w:r w:rsidR="004D324D" w:rsidRPr="004237CC">
        <w:rPr>
          <w:sz w:val="24"/>
          <w:szCs w:val="24"/>
        </w:rPr>
        <w:t xml:space="preserve"> Spojeného kráľovstva</w:t>
      </w:r>
      <w:r w:rsidR="00397C08" w:rsidRPr="004237CC">
        <w:rPr>
          <w:sz w:val="24"/>
          <w:szCs w:val="24"/>
        </w:rPr>
        <w:t xml:space="preserve">. </w:t>
      </w:r>
    </w:p>
    <w:p w:rsidR="00487BDE" w:rsidRPr="004237CC" w:rsidRDefault="00C91ACF" w:rsidP="00397C08">
      <w:pPr>
        <w:jc w:val="both"/>
        <w:rPr>
          <w:sz w:val="24"/>
          <w:szCs w:val="24"/>
        </w:rPr>
      </w:pPr>
      <w:r>
        <w:rPr>
          <w:sz w:val="24"/>
          <w:szCs w:val="24"/>
        </w:rPr>
        <w:t xml:space="preserve">Účelom </w:t>
      </w:r>
      <w:r w:rsidR="00AB1BA1">
        <w:rPr>
          <w:sz w:val="24"/>
          <w:szCs w:val="24"/>
        </w:rPr>
        <w:t xml:space="preserve">materiálu  je </w:t>
      </w:r>
      <w:r>
        <w:rPr>
          <w:sz w:val="24"/>
          <w:szCs w:val="24"/>
        </w:rPr>
        <w:t xml:space="preserve">vytvoriť na národnej úrovni podmienky nevyhnutné pre vypracovanie samotného NIP SR zavedením </w:t>
      </w:r>
      <w:r w:rsidR="001F0E44">
        <w:rPr>
          <w:sz w:val="24"/>
          <w:szCs w:val="24"/>
        </w:rPr>
        <w:t xml:space="preserve">kľúčových prvkov </w:t>
      </w:r>
      <w:r w:rsidR="00AB1BA1">
        <w:rPr>
          <w:sz w:val="24"/>
          <w:szCs w:val="24"/>
        </w:rPr>
        <w:t>strategické</w:t>
      </w:r>
      <w:r w:rsidR="00913A92">
        <w:rPr>
          <w:sz w:val="24"/>
          <w:szCs w:val="24"/>
        </w:rPr>
        <w:t>ho riadenia,</w:t>
      </w:r>
      <w:r w:rsidR="00AB1BA1">
        <w:rPr>
          <w:sz w:val="24"/>
          <w:szCs w:val="24"/>
        </w:rPr>
        <w:t xml:space="preserve"> </w:t>
      </w:r>
      <w:r w:rsidR="001F0E44">
        <w:rPr>
          <w:sz w:val="24"/>
          <w:szCs w:val="24"/>
        </w:rPr>
        <w:t xml:space="preserve">čo povedie </w:t>
      </w:r>
      <w:r>
        <w:rPr>
          <w:sz w:val="24"/>
          <w:szCs w:val="24"/>
        </w:rPr>
        <w:t>k</w:t>
      </w:r>
      <w:r w:rsidR="001F0E44">
        <w:rPr>
          <w:sz w:val="24"/>
          <w:szCs w:val="24"/>
        </w:rPr>
        <w:t> </w:t>
      </w:r>
      <w:r>
        <w:rPr>
          <w:sz w:val="24"/>
          <w:szCs w:val="24"/>
        </w:rPr>
        <w:t xml:space="preserve">zastabilizovaniu kľúčových </w:t>
      </w:r>
      <w:r w:rsidR="001F0E44">
        <w:rPr>
          <w:sz w:val="24"/>
          <w:szCs w:val="24"/>
        </w:rPr>
        <w:t xml:space="preserve">vládnych </w:t>
      </w:r>
      <w:r>
        <w:rPr>
          <w:sz w:val="24"/>
          <w:szCs w:val="24"/>
        </w:rPr>
        <w:t>programov a projektov a</w:t>
      </w:r>
      <w:r w:rsidR="001F0E44">
        <w:rPr>
          <w:sz w:val="24"/>
          <w:szCs w:val="24"/>
        </w:rPr>
        <w:t xml:space="preserve"> následne zabezpečí </w:t>
      </w:r>
      <w:r>
        <w:rPr>
          <w:sz w:val="24"/>
          <w:szCs w:val="24"/>
        </w:rPr>
        <w:t>potrebn</w:t>
      </w:r>
      <w:r w:rsidR="001F0E44">
        <w:rPr>
          <w:sz w:val="24"/>
          <w:szCs w:val="24"/>
        </w:rPr>
        <w:t xml:space="preserve">ú mieru kontinuity </w:t>
      </w:r>
      <w:r w:rsidR="00180F71">
        <w:rPr>
          <w:sz w:val="24"/>
          <w:szCs w:val="24"/>
        </w:rPr>
        <w:t xml:space="preserve">cez viaceré volebné obdobia. Opatrenia navrhované v tomto </w:t>
      </w:r>
      <w:r w:rsidR="00E649B8">
        <w:rPr>
          <w:sz w:val="24"/>
          <w:szCs w:val="24"/>
        </w:rPr>
        <w:t>materiáli</w:t>
      </w:r>
      <w:r w:rsidR="00180F71">
        <w:rPr>
          <w:sz w:val="24"/>
          <w:szCs w:val="24"/>
        </w:rPr>
        <w:t xml:space="preserve"> </w:t>
      </w:r>
      <w:r w:rsidR="00E649B8">
        <w:rPr>
          <w:sz w:val="24"/>
          <w:szCs w:val="24"/>
        </w:rPr>
        <w:t xml:space="preserve">sú reakciou </w:t>
      </w:r>
      <w:r w:rsidR="00180F71">
        <w:rPr>
          <w:sz w:val="24"/>
          <w:szCs w:val="24"/>
        </w:rPr>
        <w:t xml:space="preserve">na identifikované </w:t>
      </w:r>
      <w:r w:rsidR="00E649B8">
        <w:rPr>
          <w:sz w:val="24"/>
          <w:szCs w:val="24"/>
        </w:rPr>
        <w:t>obmedzenia a nedostatky v oblasti strategického riadenia. Ich implementácia ešte v tomto volebnom období</w:t>
      </w:r>
      <w:r w:rsidR="00307B58">
        <w:rPr>
          <w:sz w:val="24"/>
          <w:szCs w:val="24"/>
        </w:rPr>
        <w:t xml:space="preserve"> </w:t>
      </w:r>
      <w:r w:rsidR="00E649B8">
        <w:rPr>
          <w:sz w:val="24"/>
          <w:szCs w:val="24"/>
        </w:rPr>
        <w:t>prispeje</w:t>
      </w:r>
      <w:r w:rsidR="00307B58">
        <w:rPr>
          <w:sz w:val="24"/>
          <w:szCs w:val="24"/>
        </w:rPr>
        <w:t xml:space="preserve"> zásadným spôsobom</w:t>
      </w:r>
      <w:r w:rsidR="00E649B8">
        <w:rPr>
          <w:sz w:val="24"/>
          <w:szCs w:val="24"/>
        </w:rPr>
        <w:t xml:space="preserve"> k vytvoreniu prostredia, </w:t>
      </w:r>
      <w:r w:rsidR="00307B58">
        <w:rPr>
          <w:sz w:val="24"/>
          <w:szCs w:val="24"/>
        </w:rPr>
        <w:t xml:space="preserve">v ktorom sa budúce </w:t>
      </w:r>
      <w:r w:rsidR="00E649B8">
        <w:rPr>
          <w:sz w:val="24"/>
          <w:szCs w:val="24"/>
        </w:rPr>
        <w:t xml:space="preserve">aktualizácie NIP SR </w:t>
      </w:r>
      <w:r w:rsidR="00307B58">
        <w:rPr>
          <w:sz w:val="24"/>
          <w:szCs w:val="24"/>
        </w:rPr>
        <w:t xml:space="preserve">budú môcť priblížiť </w:t>
      </w:r>
      <w:r w:rsidR="00E649B8">
        <w:rPr>
          <w:sz w:val="24"/>
          <w:szCs w:val="24"/>
        </w:rPr>
        <w:t xml:space="preserve">najlepšej medzinárodnej praxi. </w:t>
      </w:r>
    </w:p>
    <w:p w:rsidR="00307B58" w:rsidRDefault="00487BDE" w:rsidP="00307B58">
      <w:pPr>
        <w:jc w:val="both"/>
        <w:rPr>
          <w:sz w:val="24"/>
          <w:szCs w:val="24"/>
        </w:rPr>
      </w:pPr>
      <w:r w:rsidRPr="004237CC">
        <w:rPr>
          <w:sz w:val="24"/>
          <w:szCs w:val="24"/>
        </w:rPr>
        <w:t xml:space="preserve">NIP SR </w:t>
      </w:r>
      <w:r w:rsidR="00C91ACF">
        <w:rPr>
          <w:sz w:val="24"/>
          <w:szCs w:val="24"/>
        </w:rPr>
        <w:t xml:space="preserve">definuje </w:t>
      </w:r>
      <w:r w:rsidR="004C1508" w:rsidRPr="004237CC">
        <w:rPr>
          <w:sz w:val="24"/>
          <w:szCs w:val="24"/>
        </w:rPr>
        <w:t xml:space="preserve">kľúčové </w:t>
      </w:r>
      <w:r w:rsidR="00AB1BA1" w:rsidRPr="004237CC">
        <w:rPr>
          <w:sz w:val="24"/>
          <w:szCs w:val="24"/>
        </w:rPr>
        <w:t>programy a</w:t>
      </w:r>
      <w:r w:rsidR="001F0E44">
        <w:rPr>
          <w:sz w:val="24"/>
          <w:szCs w:val="24"/>
        </w:rPr>
        <w:t xml:space="preserve"> projekty, prostredníctvom ktorých </w:t>
      </w:r>
      <w:r w:rsidR="00C91ACF">
        <w:rPr>
          <w:sz w:val="24"/>
          <w:szCs w:val="24"/>
        </w:rPr>
        <w:t xml:space="preserve">bude vybudovaná nová </w:t>
      </w:r>
      <w:r w:rsidR="00054DC6" w:rsidRPr="004237CC">
        <w:rPr>
          <w:sz w:val="24"/>
          <w:szCs w:val="24"/>
        </w:rPr>
        <w:t xml:space="preserve">hospodárska </w:t>
      </w:r>
      <w:r w:rsidR="004C1508" w:rsidRPr="004237CC">
        <w:rPr>
          <w:sz w:val="24"/>
          <w:szCs w:val="24"/>
        </w:rPr>
        <w:t>a</w:t>
      </w:r>
      <w:r w:rsidR="00054DC6" w:rsidRPr="004237CC">
        <w:rPr>
          <w:sz w:val="24"/>
          <w:szCs w:val="24"/>
        </w:rPr>
        <w:t> sociálna infraštruktúra</w:t>
      </w:r>
      <w:r w:rsidR="004C1508" w:rsidRPr="004237CC">
        <w:rPr>
          <w:sz w:val="24"/>
          <w:szCs w:val="24"/>
        </w:rPr>
        <w:t>, prípadne</w:t>
      </w:r>
      <w:r w:rsidR="00054DC6" w:rsidRPr="004237CC">
        <w:rPr>
          <w:sz w:val="24"/>
          <w:szCs w:val="24"/>
        </w:rPr>
        <w:t xml:space="preserve"> sa zlepší </w:t>
      </w:r>
      <w:r w:rsidR="004951B0" w:rsidRPr="004237CC">
        <w:rPr>
          <w:sz w:val="24"/>
          <w:szCs w:val="24"/>
        </w:rPr>
        <w:t xml:space="preserve">stav </w:t>
      </w:r>
      <w:r w:rsidR="00054DC6" w:rsidRPr="004237CC">
        <w:rPr>
          <w:sz w:val="24"/>
          <w:szCs w:val="24"/>
        </w:rPr>
        <w:t>existujúc</w:t>
      </w:r>
      <w:r w:rsidR="004951B0" w:rsidRPr="004237CC">
        <w:rPr>
          <w:sz w:val="24"/>
          <w:szCs w:val="24"/>
        </w:rPr>
        <w:t>ej infraštruktúry</w:t>
      </w:r>
      <w:r w:rsidR="00C91ACF">
        <w:rPr>
          <w:sz w:val="24"/>
          <w:szCs w:val="24"/>
        </w:rPr>
        <w:t xml:space="preserve">, s cieľom postupného </w:t>
      </w:r>
      <w:r w:rsidR="00D81315" w:rsidRPr="004237CC">
        <w:rPr>
          <w:sz w:val="24"/>
          <w:szCs w:val="24"/>
        </w:rPr>
        <w:t>na</w:t>
      </w:r>
      <w:r w:rsidR="00C91ACF">
        <w:rPr>
          <w:sz w:val="24"/>
          <w:szCs w:val="24"/>
        </w:rPr>
        <w:t>plnenia</w:t>
      </w:r>
      <w:r w:rsidR="00D81315" w:rsidRPr="004237CC">
        <w:rPr>
          <w:sz w:val="24"/>
          <w:szCs w:val="24"/>
        </w:rPr>
        <w:t xml:space="preserve"> dlhodobých rozvojovýc</w:t>
      </w:r>
      <w:r w:rsidR="004951B0" w:rsidRPr="004237CC">
        <w:rPr>
          <w:sz w:val="24"/>
          <w:szCs w:val="24"/>
        </w:rPr>
        <w:t>h potrieb Slovenskej republiky.</w:t>
      </w:r>
      <w:r w:rsidR="00307B58">
        <w:rPr>
          <w:sz w:val="24"/>
          <w:szCs w:val="24"/>
        </w:rPr>
        <w:t xml:space="preserve"> </w:t>
      </w:r>
      <w:r w:rsidR="00307B58" w:rsidRPr="004237CC">
        <w:rPr>
          <w:sz w:val="24"/>
          <w:szCs w:val="24"/>
        </w:rPr>
        <w:t xml:space="preserve">Metodika vypracovania NIP SR sa opiera o skúsenosti vyspelých štátov s dlhodobou tradíciou strategického riadenia. Podľa hierarchie tvorby verejných stratégií je NIP SR podriadený dlhodobej </w:t>
      </w:r>
      <w:r w:rsidR="00307B58">
        <w:rPr>
          <w:sz w:val="24"/>
          <w:szCs w:val="24"/>
        </w:rPr>
        <w:t xml:space="preserve">vízii a </w:t>
      </w:r>
      <w:r w:rsidR="00307B58" w:rsidRPr="004237CC">
        <w:rPr>
          <w:sz w:val="24"/>
          <w:szCs w:val="24"/>
        </w:rPr>
        <w:t xml:space="preserve">stratégii rozvoja </w:t>
      </w:r>
      <w:r w:rsidR="00307B58">
        <w:rPr>
          <w:sz w:val="24"/>
          <w:szCs w:val="24"/>
        </w:rPr>
        <w:t xml:space="preserve">spoločnosti, stratégii hospodárskej politiky ako aj </w:t>
      </w:r>
      <w:r w:rsidR="00307B58" w:rsidRPr="004237CC">
        <w:rPr>
          <w:sz w:val="24"/>
          <w:szCs w:val="24"/>
        </w:rPr>
        <w:t>odvetvovým a prierezovým stratégiám.</w:t>
      </w:r>
    </w:p>
    <w:p w:rsidR="00057FDD" w:rsidRPr="004237CC" w:rsidRDefault="00054DC6" w:rsidP="00CA3748">
      <w:pPr>
        <w:jc w:val="both"/>
        <w:rPr>
          <w:sz w:val="24"/>
          <w:szCs w:val="24"/>
        </w:rPr>
      </w:pPr>
      <w:r w:rsidRPr="004237CC">
        <w:rPr>
          <w:sz w:val="24"/>
          <w:szCs w:val="24"/>
        </w:rPr>
        <w:t>Predpokladaný časový rámec NIP SR</w:t>
      </w:r>
      <w:r w:rsidR="00C91ACF">
        <w:rPr>
          <w:sz w:val="24"/>
          <w:szCs w:val="24"/>
        </w:rPr>
        <w:t xml:space="preserve">, t.j. </w:t>
      </w:r>
      <w:r w:rsidR="00F624FE">
        <w:rPr>
          <w:sz w:val="24"/>
          <w:szCs w:val="24"/>
        </w:rPr>
        <w:t xml:space="preserve">roky </w:t>
      </w:r>
      <w:r w:rsidR="00C91ACF">
        <w:rPr>
          <w:sz w:val="24"/>
          <w:szCs w:val="24"/>
        </w:rPr>
        <w:t>201</w:t>
      </w:r>
      <w:r w:rsidR="00F624FE">
        <w:rPr>
          <w:sz w:val="24"/>
          <w:szCs w:val="24"/>
        </w:rPr>
        <w:t xml:space="preserve">8 až </w:t>
      </w:r>
      <w:r w:rsidR="00C91ACF">
        <w:rPr>
          <w:sz w:val="24"/>
          <w:szCs w:val="24"/>
        </w:rPr>
        <w:t>2030</w:t>
      </w:r>
      <w:r w:rsidR="001F0E44">
        <w:rPr>
          <w:sz w:val="24"/>
          <w:szCs w:val="24"/>
        </w:rPr>
        <w:t xml:space="preserve">, </w:t>
      </w:r>
      <w:r w:rsidRPr="004237CC">
        <w:rPr>
          <w:sz w:val="24"/>
          <w:szCs w:val="24"/>
        </w:rPr>
        <w:t xml:space="preserve">zohľadňuje </w:t>
      </w:r>
      <w:r w:rsidR="001F0E44">
        <w:rPr>
          <w:sz w:val="24"/>
          <w:szCs w:val="24"/>
        </w:rPr>
        <w:t xml:space="preserve">časový horizont medzinárodných záväzkov SR v oblasti udržateľného rozvoja, osobitne </w:t>
      </w:r>
      <w:r w:rsidR="00C91ACF">
        <w:rPr>
          <w:sz w:val="24"/>
          <w:szCs w:val="24"/>
        </w:rPr>
        <w:t>Agend</w:t>
      </w:r>
      <w:r w:rsidR="001F0E44">
        <w:rPr>
          <w:sz w:val="24"/>
          <w:szCs w:val="24"/>
        </w:rPr>
        <w:t>y</w:t>
      </w:r>
      <w:r w:rsidR="00C91ACF">
        <w:rPr>
          <w:sz w:val="24"/>
          <w:szCs w:val="24"/>
        </w:rPr>
        <w:t xml:space="preserve"> 2030</w:t>
      </w:r>
      <w:r w:rsidR="001F0E44">
        <w:rPr>
          <w:sz w:val="24"/>
          <w:szCs w:val="24"/>
        </w:rPr>
        <w:t>, a súčasne reflektuje na ambíciu vlády SR vyjadrenú v jej Programovom vyhlásení</w:t>
      </w:r>
      <w:r w:rsidR="00ED2766">
        <w:rPr>
          <w:sz w:val="24"/>
          <w:szCs w:val="24"/>
        </w:rPr>
        <w:t xml:space="preserve">: </w:t>
      </w:r>
      <w:r w:rsidRPr="004237CC">
        <w:rPr>
          <w:sz w:val="24"/>
          <w:szCs w:val="24"/>
        </w:rPr>
        <w:t>„</w:t>
      </w:r>
      <w:r w:rsidRPr="004237CC">
        <w:rPr>
          <w:i/>
          <w:sz w:val="24"/>
          <w:szCs w:val="24"/>
        </w:rPr>
        <w:t xml:space="preserve">určiť základné kontúry perspektívneho smerovania hospodárstva </w:t>
      </w:r>
      <w:r w:rsidRPr="00145410">
        <w:rPr>
          <w:i/>
          <w:sz w:val="24"/>
          <w:szCs w:val="24"/>
        </w:rPr>
        <w:t>v strednodobom a dlhodobom období p</w:t>
      </w:r>
      <w:r w:rsidRPr="004237CC">
        <w:rPr>
          <w:i/>
          <w:sz w:val="24"/>
          <w:szCs w:val="24"/>
        </w:rPr>
        <w:t>rijatím stratégie hospodárskej politiky“</w:t>
      </w:r>
      <w:r w:rsidR="00AB1BA1">
        <w:rPr>
          <w:i/>
          <w:sz w:val="24"/>
          <w:szCs w:val="24"/>
        </w:rPr>
        <w:t>.</w:t>
      </w:r>
    </w:p>
    <w:p w:rsidR="00CA3748" w:rsidRPr="004237CC" w:rsidRDefault="001F0E44" w:rsidP="0080796B">
      <w:pPr>
        <w:jc w:val="both"/>
        <w:rPr>
          <w:sz w:val="24"/>
          <w:szCs w:val="24"/>
        </w:rPr>
      </w:pPr>
      <w:r>
        <w:rPr>
          <w:sz w:val="24"/>
          <w:szCs w:val="24"/>
        </w:rPr>
        <w:t xml:space="preserve">S ohľadom na časové obdobie pokryté </w:t>
      </w:r>
      <w:r w:rsidR="00057FDD" w:rsidRPr="004237CC">
        <w:rPr>
          <w:sz w:val="24"/>
          <w:szCs w:val="24"/>
        </w:rPr>
        <w:t>NIP SR</w:t>
      </w:r>
      <w:r w:rsidR="00CE3262" w:rsidRPr="004237CC">
        <w:rPr>
          <w:sz w:val="24"/>
          <w:szCs w:val="24"/>
        </w:rPr>
        <w:t>,</w:t>
      </w:r>
      <w:r w:rsidR="00057FDD" w:rsidRPr="004237CC">
        <w:rPr>
          <w:sz w:val="24"/>
          <w:szCs w:val="24"/>
        </w:rPr>
        <w:t xml:space="preserve"> </w:t>
      </w:r>
      <w:r w:rsidR="00054DC6" w:rsidRPr="004237CC">
        <w:rPr>
          <w:sz w:val="24"/>
          <w:szCs w:val="24"/>
        </w:rPr>
        <w:t xml:space="preserve">ako aj </w:t>
      </w:r>
      <w:r w:rsidR="00CE3262" w:rsidRPr="004237CC">
        <w:rPr>
          <w:sz w:val="24"/>
          <w:szCs w:val="24"/>
        </w:rPr>
        <w:t xml:space="preserve">na </w:t>
      </w:r>
      <w:r>
        <w:rPr>
          <w:sz w:val="24"/>
          <w:szCs w:val="24"/>
        </w:rPr>
        <w:t xml:space="preserve">potrebu jeho previazanosti </w:t>
      </w:r>
      <w:r w:rsidR="00057FDD" w:rsidRPr="004237CC">
        <w:rPr>
          <w:sz w:val="24"/>
          <w:szCs w:val="24"/>
        </w:rPr>
        <w:t xml:space="preserve">s vyššie uvedenými </w:t>
      </w:r>
      <w:r w:rsidR="00AB1BA1">
        <w:rPr>
          <w:sz w:val="24"/>
          <w:szCs w:val="24"/>
        </w:rPr>
        <w:t xml:space="preserve">medzinárodnými </w:t>
      </w:r>
      <w:r>
        <w:rPr>
          <w:sz w:val="24"/>
          <w:szCs w:val="24"/>
        </w:rPr>
        <w:t xml:space="preserve">a národnými strategickými </w:t>
      </w:r>
      <w:r w:rsidR="00057FDD" w:rsidRPr="004237CC">
        <w:rPr>
          <w:sz w:val="24"/>
          <w:szCs w:val="24"/>
        </w:rPr>
        <w:t>dokumentmi</w:t>
      </w:r>
      <w:r w:rsidR="00CE3262" w:rsidRPr="004237CC">
        <w:rPr>
          <w:sz w:val="24"/>
          <w:szCs w:val="24"/>
        </w:rPr>
        <w:t>,</w:t>
      </w:r>
      <w:r w:rsidR="0080796B" w:rsidRPr="004237CC">
        <w:rPr>
          <w:sz w:val="24"/>
          <w:szCs w:val="24"/>
        </w:rPr>
        <w:t xml:space="preserve"> </w:t>
      </w:r>
      <w:r w:rsidR="00ED2766">
        <w:rPr>
          <w:sz w:val="24"/>
          <w:szCs w:val="24"/>
        </w:rPr>
        <w:t>by</w:t>
      </w:r>
      <w:r w:rsidR="0080796B" w:rsidRPr="004237CC">
        <w:rPr>
          <w:sz w:val="24"/>
          <w:szCs w:val="24"/>
        </w:rPr>
        <w:t xml:space="preserve"> NIP SR</w:t>
      </w:r>
      <w:r w:rsidR="00ED2766">
        <w:rPr>
          <w:sz w:val="24"/>
          <w:szCs w:val="24"/>
        </w:rPr>
        <w:t xml:space="preserve"> mal </w:t>
      </w:r>
      <w:r w:rsidR="0080796B" w:rsidRPr="004237CC">
        <w:rPr>
          <w:sz w:val="24"/>
          <w:szCs w:val="24"/>
        </w:rPr>
        <w:t xml:space="preserve"> vyjadrovať</w:t>
      </w:r>
      <w:r w:rsidR="00054DC6" w:rsidRPr="004237CC">
        <w:rPr>
          <w:sz w:val="24"/>
          <w:szCs w:val="24"/>
        </w:rPr>
        <w:t xml:space="preserve"> </w:t>
      </w:r>
      <w:r w:rsidR="00ED2766">
        <w:rPr>
          <w:sz w:val="24"/>
          <w:szCs w:val="24"/>
        </w:rPr>
        <w:t xml:space="preserve">nielen </w:t>
      </w:r>
      <w:r w:rsidR="00054DC6" w:rsidRPr="004237CC">
        <w:rPr>
          <w:sz w:val="24"/>
          <w:szCs w:val="24"/>
        </w:rPr>
        <w:t>záväzok</w:t>
      </w:r>
      <w:r w:rsidR="00ED2766">
        <w:rPr>
          <w:sz w:val="24"/>
          <w:szCs w:val="24"/>
        </w:rPr>
        <w:t xml:space="preserve"> </w:t>
      </w:r>
      <w:r w:rsidR="00054DC6" w:rsidRPr="004237CC">
        <w:rPr>
          <w:sz w:val="24"/>
          <w:szCs w:val="24"/>
        </w:rPr>
        <w:t>súčasnej vlády</w:t>
      </w:r>
      <w:r w:rsidR="0080796B" w:rsidRPr="004237CC">
        <w:rPr>
          <w:sz w:val="24"/>
          <w:szCs w:val="24"/>
        </w:rPr>
        <w:t xml:space="preserve"> vo vzťahu k investíciám do infraštruktúry</w:t>
      </w:r>
      <w:r w:rsidR="00054DC6" w:rsidRPr="004237CC">
        <w:rPr>
          <w:sz w:val="24"/>
          <w:szCs w:val="24"/>
        </w:rPr>
        <w:t xml:space="preserve">, ale slúžiť </w:t>
      </w:r>
      <w:r w:rsidR="00ED2766">
        <w:rPr>
          <w:sz w:val="24"/>
          <w:szCs w:val="24"/>
        </w:rPr>
        <w:t xml:space="preserve">aj </w:t>
      </w:r>
      <w:r w:rsidR="00054DC6" w:rsidRPr="004237CC">
        <w:rPr>
          <w:sz w:val="24"/>
          <w:szCs w:val="24"/>
        </w:rPr>
        <w:t xml:space="preserve">ako </w:t>
      </w:r>
      <w:r w:rsidR="00057FDD" w:rsidRPr="004237CC">
        <w:rPr>
          <w:sz w:val="24"/>
          <w:szCs w:val="24"/>
        </w:rPr>
        <w:t xml:space="preserve">referencia pri formulovaní </w:t>
      </w:r>
      <w:r w:rsidR="00054DC6" w:rsidRPr="004237CC">
        <w:rPr>
          <w:sz w:val="24"/>
          <w:szCs w:val="24"/>
        </w:rPr>
        <w:t xml:space="preserve">programových vyhlásení budúcich vlád. </w:t>
      </w:r>
      <w:r w:rsidR="00D81315" w:rsidRPr="004237CC">
        <w:rPr>
          <w:sz w:val="24"/>
          <w:szCs w:val="24"/>
        </w:rPr>
        <w:t>Jeho ambícia preklenúť štvorročný volebný cyklus sa opiera o dva predpoklady. Prvým</w:t>
      </w:r>
      <w:r w:rsidR="0080796B" w:rsidRPr="004237CC">
        <w:rPr>
          <w:sz w:val="24"/>
          <w:szCs w:val="24"/>
        </w:rPr>
        <w:t xml:space="preserve"> predpokladom </w:t>
      </w:r>
      <w:r w:rsidR="00D81315" w:rsidRPr="004237CC">
        <w:rPr>
          <w:sz w:val="24"/>
          <w:szCs w:val="24"/>
        </w:rPr>
        <w:t>je samotný charakter investícií do infraštruktúry – tie spadajú do kategórie verejných rozhodnutí a ich prínosy sa prejavujú ešte dlho po ich vynaložení. Druhým predpokladom je</w:t>
      </w:r>
      <w:r w:rsidR="00ED2766">
        <w:rPr>
          <w:sz w:val="24"/>
          <w:szCs w:val="24"/>
        </w:rPr>
        <w:t xml:space="preserve"> samotný finančný rámec programov a projektov zaradených do NIP SR. </w:t>
      </w:r>
      <w:r w:rsidR="001A17F2" w:rsidRPr="0006251F">
        <w:rPr>
          <w:rFonts w:ascii="Times New Roman" w:hAnsi="Times New Roman"/>
          <w:sz w:val="24"/>
          <w:szCs w:val="24"/>
        </w:rPr>
        <w:t>Investície v rámci programov a projektov v pilotnom NIP budú v prvom rade kumulovať zdroje EÚ a</w:t>
      </w:r>
      <w:r w:rsidR="001A17F2">
        <w:rPr>
          <w:rFonts w:ascii="Times New Roman" w:hAnsi="Times New Roman"/>
          <w:sz w:val="24"/>
          <w:szCs w:val="24"/>
        </w:rPr>
        <w:t> štátneho rozpočtu.</w:t>
      </w:r>
      <w:r w:rsidR="001A17F2">
        <w:rPr>
          <w:sz w:val="24"/>
          <w:szCs w:val="24"/>
        </w:rPr>
        <w:t xml:space="preserve"> </w:t>
      </w:r>
      <w:r w:rsidR="00ED2766">
        <w:rPr>
          <w:sz w:val="24"/>
          <w:szCs w:val="24"/>
        </w:rPr>
        <w:t>Niektor</w:t>
      </w:r>
      <w:r w:rsidR="008975A7">
        <w:rPr>
          <w:sz w:val="24"/>
          <w:szCs w:val="24"/>
        </w:rPr>
        <w:t xml:space="preserve">é z nich budú mať popri financovaní z </w:t>
      </w:r>
      <w:r w:rsidR="00ED2766">
        <w:rPr>
          <w:sz w:val="24"/>
          <w:szCs w:val="24"/>
        </w:rPr>
        <w:t xml:space="preserve">verejných zdrojov ambíciu mobilizovať aj </w:t>
      </w:r>
      <w:r w:rsidR="00ED2766">
        <w:rPr>
          <w:sz w:val="24"/>
          <w:szCs w:val="24"/>
        </w:rPr>
        <w:lastRenderedPageBreak/>
        <w:t xml:space="preserve">súkromný kapitál pri </w:t>
      </w:r>
      <w:r w:rsidR="00057FDD" w:rsidRPr="004237CC">
        <w:rPr>
          <w:sz w:val="24"/>
          <w:szCs w:val="24"/>
        </w:rPr>
        <w:t xml:space="preserve">striktnom </w:t>
      </w:r>
      <w:r w:rsidR="00ED2766">
        <w:rPr>
          <w:sz w:val="24"/>
          <w:szCs w:val="24"/>
        </w:rPr>
        <w:t xml:space="preserve">uplatnení princípu </w:t>
      </w:r>
      <w:r w:rsidR="004951B0" w:rsidRPr="004237CC">
        <w:rPr>
          <w:sz w:val="24"/>
          <w:szCs w:val="24"/>
        </w:rPr>
        <w:t>hodnoty za peniaze</w:t>
      </w:r>
      <w:r w:rsidR="00057FDD" w:rsidRPr="004237CC">
        <w:rPr>
          <w:sz w:val="24"/>
          <w:szCs w:val="24"/>
        </w:rPr>
        <w:t>. Základným predpokladom účasti súkromných investorov na financovaní infraštruktúry, ktorú štát potrebuje, je predvídateľnosť a</w:t>
      </w:r>
      <w:r w:rsidR="00ED2766">
        <w:rPr>
          <w:sz w:val="24"/>
          <w:szCs w:val="24"/>
        </w:rPr>
        <w:t> </w:t>
      </w:r>
      <w:r w:rsidR="00057FDD" w:rsidRPr="004237CC">
        <w:rPr>
          <w:sz w:val="24"/>
          <w:szCs w:val="24"/>
        </w:rPr>
        <w:t>stabilita</w:t>
      </w:r>
      <w:r w:rsidR="00ED2766">
        <w:rPr>
          <w:sz w:val="24"/>
          <w:szCs w:val="24"/>
        </w:rPr>
        <w:t xml:space="preserve"> vládnych zámerov. P</w:t>
      </w:r>
      <w:r w:rsidR="0080796B" w:rsidRPr="004237CC">
        <w:rPr>
          <w:sz w:val="24"/>
          <w:szCs w:val="24"/>
        </w:rPr>
        <w:t xml:space="preserve">re tento účel </w:t>
      </w:r>
      <w:r w:rsidR="00ED2766">
        <w:rPr>
          <w:sz w:val="24"/>
          <w:szCs w:val="24"/>
        </w:rPr>
        <w:t xml:space="preserve">vytvorí </w:t>
      </w:r>
      <w:r w:rsidR="0080796B" w:rsidRPr="004237CC">
        <w:rPr>
          <w:sz w:val="24"/>
          <w:szCs w:val="24"/>
        </w:rPr>
        <w:t>NIP SR zásobník</w:t>
      </w:r>
      <w:r w:rsidR="00912E43">
        <w:rPr>
          <w:sz w:val="24"/>
          <w:szCs w:val="24"/>
        </w:rPr>
        <w:t xml:space="preserve"> (zoznam)</w:t>
      </w:r>
      <w:r w:rsidR="0080796B" w:rsidRPr="004237CC">
        <w:rPr>
          <w:sz w:val="24"/>
          <w:szCs w:val="24"/>
        </w:rPr>
        <w:t xml:space="preserve"> projektov, </w:t>
      </w:r>
      <w:r w:rsidR="0077414C" w:rsidRPr="004237CC">
        <w:rPr>
          <w:sz w:val="24"/>
          <w:szCs w:val="24"/>
        </w:rPr>
        <w:t xml:space="preserve">ktorým vláda Slovenskej republiky osloví </w:t>
      </w:r>
      <w:r w:rsidR="0080796B" w:rsidRPr="004237CC">
        <w:rPr>
          <w:sz w:val="24"/>
          <w:szCs w:val="24"/>
        </w:rPr>
        <w:t xml:space="preserve">potenciálnych investorov </w:t>
      </w:r>
      <w:r w:rsidR="0077414C" w:rsidRPr="004237CC">
        <w:rPr>
          <w:sz w:val="24"/>
          <w:szCs w:val="24"/>
        </w:rPr>
        <w:t xml:space="preserve">prejavujúcich </w:t>
      </w:r>
      <w:r w:rsidR="00CA3748" w:rsidRPr="004237CC">
        <w:rPr>
          <w:sz w:val="24"/>
          <w:szCs w:val="24"/>
        </w:rPr>
        <w:t>záujem o investície do infraštruktúry v</w:t>
      </w:r>
      <w:r w:rsidR="0077414C" w:rsidRPr="004237CC">
        <w:rPr>
          <w:sz w:val="24"/>
          <w:szCs w:val="24"/>
        </w:rPr>
        <w:t> </w:t>
      </w:r>
      <w:r w:rsidR="00CA3748" w:rsidRPr="004237CC">
        <w:rPr>
          <w:sz w:val="24"/>
          <w:szCs w:val="24"/>
        </w:rPr>
        <w:t>regi</w:t>
      </w:r>
      <w:r w:rsidR="004951B0" w:rsidRPr="004237CC">
        <w:rPr>
          <w:sz w:val="24"/>
          <w:szCs w:val="24"/>
        </w:rPr>
        <w:t>óne strednej Európy.</w:t>
      </w:r>
    </w:p>
    <w:p w:rsidR="00180F71" w:rsidRDefault="00180F71" w:rsidP="006E2938">
      <w:pPr>
        <w:jc w:val="both"/>
        <w:rPr>
          <w:sz w:val="24"/>
          <w:szCs w:val="24"/>
        </w:rPr>
      </w:pPr>
    </w:p>
    <w:p w:rsidR="00B52D3A" w:rsidRPr="002B668C" w:rsidRDefault="00B52D3A" w:rsidP="00601F60">
      <w:pPr>
        <w:pStyle w:val="Nadpis1"/>
        <w:rPr>
          <w:b/>
          <w:sz w:val="24"/>
          <w:szCs w:val="24"/>
        </w:rPr>
      </w:pPr>
      <w:r w:rsidRPr="002B668C">
        <w:rPr>
          <w:b/>
          <w:sz w:val="24"/>
          <w:szCs w:val="24"/>
        </w:rPr>
        <w:t>Národný infraštruktúrny plán</w:t>
      </w:r>
    </w:p>
    <w:p w:rsidR="00307B58" w:rsidRDefault="00145E50" w:rsidP="00601F60">
      <w:pPr>
        <w:spacing w:before="120"/>
        <w:jc w:val="both"/>
        <w:rPr>
          <w:sz w:val="24"/>
          <w:szCs w:val="24"/>
        </w:rPr>
      </w:pPr>
      <w:r>
        <w:rPr>
          <w:b/>
          <w:sz w:val="24"/>
          <w:szCs w:val="24"/>
        </w:rPr>
        <w:t>NIP</w:t>
      </w:r>
      <w:r w:rsidR="00B52D3A" w:rsidRPr="00421793">
        <w:rPr>
          <w:b/>
          <w:sz w:val="24"/>
          <w:szCs w:val="24"/>
        </w:rPr>
        <w:t xml:space="preserve"> SR je</w:t>
      </w:r>
      <w:r w:rsidR="00B52D3A" w:rsidRPr="004237CC">
        <w:rPr>
          <w:sz w:val="24"/>
          <w:szCs w:val="24"/>
        </w:rPr>
        <w:t xml:space="preserve"> </w:t>
      </w:r>
      <w:r w:rsidR="00B52D3A">
        <w:rPr>
          <w:sz w:val="24"/>
          <w:szCs w:val="24"/>
        </w:rPr>
        <w:t>nadrezortn</w:t>
      </w:r>
      <w:r w:rsidR="00F624FE">
        <w:rPr>
          <w:sz w:val="24"/>
          <w:szCs w:val="24"/>
        </w:rPr>
        <w:t>ým</w:t>
      </w:r>
      <w:r w:rsidR="00B52D3A">
        <w:rPr>
          <w:sz w:val="24"/>
          <w:szCs w:val="24"/>
        </w:rPr>
        <w:t xml:space="preserve"> a</w:t>
      </w:r>
      <w:r w:rsidR="00F624FE">
        <w:rPr>
          <w:sz w:val="24"/>
          <w:szCs w:val="24"/>
        </w:rPr>
        <w:t> </w:t>
      </w:r>
      <w:r w:rsidR="00B52D3A" w:rsidRPr="00421793">
        <w:rPr>
          <w:b/>
          <w:sz w:val="24"/>
          <w:szCs w:val="24"/>
        </w:rPr>
        <w:t>integrovan</w:t>
      </w:r>
      <w:r w:rsidR="00F624FE">
        <w:rPr>
          <w:b/>
          <w:sz w:val="24"/>
          <w:szCs w:val="24"/>
        </w:rPr>
        <w:t xml:space="preserve">ým plánom, </w:t>
      </w:r>
      <w:r w:rsidR="00F624FE" w:rsidRPr="004237CC">
        <w:rPr>
          <w:sz w:val="24"/>
          <w:szCs w:val="24"/>
        </w:rPr>
        <w:t>ktor</w:t>
      </w:r>
      <w:r w:rsidR="00F624FE">
        <w:rPr>
          <w:sz w:val="24"/>
          <w:szCs w:val="24"/>
        </w:rPr>
        <w:t>ý</w:t>
      </w:r>
      <w:r w:rsidR="00F624FE" w:rsidRPr="004237CC">
        <w:rPr>
          <w:sz w:val="24"/>
          <w:szCs w:val="24"/>
        </w:rPr>
        <w:t xml:space="preserve"> </w:t>
      </w:r>
      <w:r w:rsidR="00B52D3A" w:rsidRPr="004237CC">
        <w:rPr>
          <w:sz w:val="24"/>
          <w:szCs w:val="24"/>
        </w:rPr>
        <w:t xml:space="preserve">na základe nadradených strategických dokumentov určí prioritné programy a projekty  pre oblasť investícií do hospodárskej a sociálnej infraštruktúry, vrátane </w:t>
      </w:r>
      <w:r w:rsidR="00307B58">
        <w:rPr>
          <w:sz w:val="24"/>
          <w:szCs w:val="24"/>
        </w:rPr>
        <w:t xml:space="preserve">prislúchajúceho finančného rámca. Jeho prijatie vládou SR </w:t>
      </w:r>
      <w:r w:rsidR="00B52D3A" w:rsidRPr="004237CC">
        <w:rPr>
          <w:sz w:val="24"/>
          <w:szCs w:val="24"/>
        </w:rPr>
        <w:t>prispeje k lepšej predvídateľnosti a </w:t>
      </w:r>
      <w:r w:rsidR="00307B58">
        <w:rPr>
          <w:sz w:val="24"/>
          <w:szCs w:val="24"/>
        </w:rPr>
        <w:t xml:space="preserve">stabilite verejných rozhodnutí. </w:t>
      </w:r>
    </w:p>
    <w:p w:rsidR="00B52D3A" w:rsidRPr="004237CC" w:rsidRDefault="00307B58" w:rsidP="00601F60">
      <w:pPr>
        <w:spacing w:before="120"/>
        <w:jc w:val="both"/>
        <w:rPr>
          <w:sz w:val="24"/>
          <w:szCs w:val="24"/>
        </w:rPr>
      </w:pPr>
      <w:r>
        <w:rPr>
          <w:sz w:val="24"/>
          <w:szCs w:val="24"/>
        </w:rPr>
        <w:t>I</w:t>
      </w:r>
      <w:r w:rsidR="00B52D3A" w:rsidRPr="004237CC">
        <w:rPr>
          <w:sz w:val="24"/>
          <w:szCs w:val="24"/>
        </w:rPr>
        <w:t>mplementácia NIP SR predpokladá aj monitorovanie a hodnotenie pokroku</w:t>
      </w:r>
      <w:r w:rsidR="001965BD">
        <w:rPr>
          <w:sz w:val="24"/>
          <w:szCs w:val="24"/>
        </w:rPr>
        <w:t xml:space="preserve"> a efektivity</w:t>
      </w:r>
      <w:r w:rsidR="00B52D3A" w:rsidRPr="004237CC">
        <w:rPr>
          <w:sz w:val="24"/>
          <w:szCs w:val="24"/>
        </w:rPr>
        <w:t xml:space="preserve"> pri realizácii jednotlivých </w:t>
      </w:r>
      <w:r w:rsidR="00B409B2" w:rsidRPr="004237CC">
        <w:rPr>
          <w:sz w:val="24"/>
          <w:szCs w:val="24"/>
        </w:rPr>
        <w:t>pro</w:t>
      </w:r>
      <w:r w:rsidR="00B409B2">
        <w:rPr>
          <w:sz w:val="24"/>
          <w:szCs w:val="24"/>
        </w:rPr>
        <w:t>gramov</w:t>
      </w:r>
      <w:r w:rsidR="00B409B2" w:rsidRPr="004237CC">
        <w:rPr>
          <w:sz w:val="24"/>
          <w:szCs w:val="24"/>
        </w:rPr>
        <w:t xml:space="preserve"> </w:t>
      </w:r>
      <w:r w:rsidR="00B52D3A" w:rsidRPr="004237CC">
        <w:rPr>
          <w:sz w:val="24"/>
          <w:szCs w:val="24"/>
        </w:rPr>
        <w:t>a </w:t>
      </w:r>
      <w:r w:rsidR="00B409B2" w:rsidRPr="004237CC">
        <w:rPr>
          <w:sz w:val="24"/>
          <w:szCs w:val="24"/>
        </w:rPr>
        <w:t>pro</w:t>
      </w:r>
      <w:r w:rsidR="00B409B2">
        <w:rPr>
          <w:sz w:val="24"/>
          <w:szCs w:val="24"/>
        </w:rPr>
        <w:t>jektov</w:t>
      </w:r>
      <w:r w:rsidR="00B52D3A" w:rsidRPr="004237CC">
        <w:rPr>
          <w:sz w:val="24"/>
          <w:szCs w:val="24"/>
        </w:rPr>
        <w:t xml:space="preserve">, </w:t>
      </w:r>
      <w:r>
        <w:rPr>
          <w:sz w:val="24"/>
          <w:szCs w:val="24"/>
        </w:rPr>
        <w:t xml:space="preserve">čím sa </w:t>
      </w:r>
      <w:r w:rsidR="00B52D3A" w:rsidRPr="004237CC">
        <w:rPr>
          <w:sz w:val="24"/>
          <w:szCs w:val="24"/>
        </w:rPr>
        <w:t>NIP SR môže</w:t>
      </w:r>
      <w:r>
        <w:rPr>
          <w:sz w:val="24"/>
          <w:szCs w:val="24"/>
        </w:rPr>
        <w:t xml:space="preserve"> stať </w:t>
      </w:r>
      <w:r w:rsidR="00145410">
        <w:rPr>
          <w:sz w:val="24"/>
          <w:szCs w:val="24"/>
        </w:rPr>
        <w:t xml:space="preserve">účinným </w:t>
      </w:r>
      <w:r>
        <w:rPr>
          <w:sz w:val="24"/>
          <w:szCs w:val="24"/>
        </w:rPr>
        <w:t xml:space="preserve"> kontrolným nástrojom pre predsedu</w:t>
      </w:r>
      <w:r w:rsidR="00B52D3A" w:rsidRPr="004237CC">
        <w:rPr>
          <w:sz w:val="24"/>
          <w:szCs w:val="24"/>
        </w:rPr>
        <w:t xml:space="preserve"> vlády Slovenskej republiky </w:t>
      </w:r>
      <w:r>
        <w:rPr>
          <w:sz w:val="24"/>
          <w:szCs w:val="24"/>
        </w:rPr>
        <w:t xml:space="preserve">vo vzťahu k rezortom, </w:t>
      </w:r>
      <w:r w:rsidR="00B52D3A" w:rsidRPr="004237CC">
        <w:rPr>
          <w:sz w:val="24"/>
          <w:szCs w:val="24"/>
        </w:rPr>
        <w:t xml:space="preserve">ktoré za realizáciu príslušného </w:t>
      </w:r>
      <w:r>
        <w:rPr>
          <w:sz w:val="24"/>
          <w:szCs w:val="24"/>
        </w:rPr>
        <w:t xml:space="preserve">programu alebo projektu zodpovedajú. </w:t>
      </w:r>
    </w:p>
    <w:p w:rsidR="00B52D3A" w:rsidRPr="00163A8A" w:rsidRDefault="00606EC7" w:rsidP="00163A8A">
      <w:pPr>
        <w:jc w:val="both"/>
        <w:rPr>
          <w:sz w:val="24"/>
          <w:szCs w:val="24"/>
        </w:rPr>
      </w:pPr>
      <w:r w:rsidRPr="00606EC7">
        <w:rPr>
          <w:b/>
          <w:sz w:val="24"/>
          <w:szCs w:val="24"/>
        </w:rPr>
        <w:t xml:space="preserve">NIP SR bude obsahovať investičné programy a projekty zamerané na podporu budovania zeleného hospodárstva, najmä pre nasledovné sektory - doprava, informačno-komunikačné technológie, energetika, zelená infraštruktúra, vodné </w:t>
      </w:r>
      <w:r w:rsidR="00145410">
        <w:rPr>
          <w:b/>
          <w:sz w:val="24"/>
          <w:szCs w:val="24"/>
        </w:rPr>
        <w:br/>
      </w:r>
      <w:r w:rsidRPr="00606EC7">
        <w:rPr>
          <w:b/>
          <w:sz w:val="24"/>
          <w:szCs w:val="24"/>
        </w:rPr>
        <w:t>a odpadové hospodárstvo, adaptácia a zmierňovanie dôsledkov zmeny klímy, v</w:t>
      </w:r>
      <w:r w:rsidR="00912E43">
        <w:rPr>
          <w:b/>
          <w:sz w:val="24"/>
          <w:szCs w:val="24"/>
        </w:rPr>
        <w:t>ýskum,  vývoj a</w:t>
      </w:r>
      <w:r w:rsidR="00145410">
        <w:rPr>
          <w:b/>
          <w:sz w:val="24"/>
          <w:szCs w:val="24"/>
        </w:rPr>
        <w:t> </w:t>
      </w:r>
      <w:r w:rsidR="00912E43">
        <w:rPr>
          <w:b/>
          <w:sz w:val="24"/>
          <w:szCs w:val="24"/>
        </w:rPr>
        <w:t>inovácie</w:t>
      </w:r>
      <w:r w:rsidR="00145410">
        <w:rPr>
          <w:b/>
          <w:sz w:val="24"/>
          <w:szCs w:val="24"/>
        </w:rPr>
        <w:t xml:space="preserve">, </w:t>
      </w:r>
      <w:r w:rsidRPr="00606EC7">
        <w:rPr>
          <w:b/>
          <w:sz w:val="24"/>
          <w:szCs w:val="24"/>
        </w:rPr>
        <w:t>bytová výstavba, zdravotníctvo a školstvo.</w:t>
      </w:r>
      <w:r>
        <w:rPr>
          <w:b/>
          <w:sz w:val="24"/>
          <w:szCs w:val="24"/>
        </w:rPr>
        <w:t xml:space="preserve"> </w:t>
      </w:r>
      <w:r w:rsidR="00163A8A">
        <w:rPr>
          <w:sz w:val="24"/>
          <w:szCs w:val="24"/>
        </w:rPr>
        <w:t xml:space="preserve">Pre každé z uvedených odvetví bude mať nasledovnú štruktúru: </w:t>
      </w:r>
      <w:r w:rsidR="00307B58" w:rsidRPr="00163A8A">
        <w:rPr>
          <w:sz w:val="24"/>
          <w:szCs w:val="24"/>
        </w:rPr>
        <w:t xml:space="preserve">strategické ciele vlády pre dané </w:t>
      </w:r>
      <w:r w:rsidR="00B52D3A" w:rsidRPr="00163A8A">
        <w:rPr>
          <w:sz w:val="24"/>
          <w:szCs w:val="24"/>
        </w:rPr>
        <w:t>odvetvie,</w:t>
      </w:r>
      <w:r w:rsidR="00163A8A">
        <w:rPr>
          <w:sz w:val="24"/>
          <w:szCs w:val="24"/>
        </w:rPr>
        <w:t xml:space="preserve"> </w:t>
      </w:r>
      <w:r w:rsidR="00307B58" w:rsidRPr="00163A8A">
        <w:rPr>
          <w:sz w:val="24"/>
          <w:szCs w:val="24"/>
        </w:rPr>
        <w:t>spôsob ich dosiahnutia (vo forme konkrétnych programov a projektov)</w:t>
      </w:r>
      <w:r w:rsidR="00163A8A">
        <w:rPr>
          <w:sz w:val="24"/>
          <w:szCs w:val="24"/>
        </w:rPr>
        <w:t xml:space="preserve"> a </w:t>
      </w:r>
      <w:r w:rsidR="00AD5567" w:rsidRPr="00163A8A">
        <w:rPr>
          <w:sz w:val="24"/>
          <w:szCs w:val="24"/>
        </w:rPr>
        <w:t>finančný rámec, t.j. uvažovaný spôsob financovania</w:t>
      </w:r>
      <w:r w:rsidR="00163A8A">
        <w:rPr>
          <w:sz w:val="24"/>
          <w:szCs w:val="24"/>
        </w:rPr>
        <w:t xml:space="preserve"> daného programu/projektu. Súčasťou NIP SR bude aj zásobník </w:t>
      </w:r>
      <w:r w:rsidR="00912E43">
        <w:rPr>
          <w:sz w:val="24"/>
          <w:szCs w:val="24"/>
        </w:rPr>
        <w:t xml:space="preserve">(zoznam) </w:t>
      </w:r>
      <w:r w:rsidR="00163A8A">
        <w:rPr>
          <w:sz w:val="24"/>
          <w:szCs w:val="24"/>
        </w:rPr>
        <w:t xml:space="preserve">projektov, ktorý </w:t>
      </w:r>
      <w:r w:rsidR="00145410">
        <w:rPr>
          <w:sz w:val="24"/>
          <w:szCs w:val="24"/>
        </w:rPr>
        <w:t xml:space="preserve">v prehľadnej forme zhrnie kľúčové investície. </w:t>
      </w:r>
    </w:p>
    <w:p w:rsidR="00B52D3A" w:rsidRPr="004237CC" w:rsidRDefault="00AD5567" w:rsidP="00AD5567">
      <w:pPr>
        <w:jc w:val="both"/>
        <w:rPr>
          <w:sz w:val="24"/>
          <w:szCs w:val="24"/>
        </w:rPr>
      </w:pPr>
      <w:r>
        <w:rPr>
          <w:sz w:val="24"/>
          <w:szCs w:val="24"/>
        </w:rPr>
        <w:t>Úrad podpredsedu vlády Slovenskej republiky pre investície a informatizáciu (ďalej len „</w:t>
      </w:r>
      <w:r w:rsidR="00B52D3A">
        <w:rPr>
          <w:sz w:val="24"/>
          <w:szCs w:val="24"/>
        </w:rPr>
        <w:t>ÚPPVII</w:t>
      </w:r>
      <w:r>
        <w:rPr>
          <w:sz w:val="24"/>
          <w:szCs w:val="24"/>
        </w:rPr>
        <w:t>“)</w:t>
      </w:r>
      <w:r w:rsidR="00B52D3A" w:rsidRPr="004237CC">
        <w:rPr>
          <w:sz w:val="24"/>
          <w:szCs w:val="24"/>
        </w:rPr>
        <w:t xml:space="preserve"> vypracuje v súčinnosti s Ministerstvom financií Slovenskej republiky</w:t>
      </w:r>
      <w:r w:rsidR="002F7C1B">
        <w:rPr>
          <w:sz w:val="24"/>
          <w:szCs w:val="24"/>
        </w:rPr>
        <w:t xml:space="preserve"> -</w:t>
      </w:r>
      <w:r w:rsidR="00430854">
        <w:rPr>
          <w:sz w:val="24"/>
          <w:szCs w:val="24"/>
        </w:rPr>
        <w:t xml:space="preserve"> gestorom projektu Hodnota za verejné peniaze, </w:t>
      </w:r>
      <w:r w:rsidR="002F7C1B">
        <w:rPr>
          <w:sz w:val="24"/>
          <w:szCs w:val="24"/>
        </w:rPr>
        <w:t xml:space="preserve">a Úradom vlády SR, ako aj v spolupráci s dotknutými rezortmi, </w:t>
      </w:r>
      <w:r w:rsidR="00B52D3A" w:rsidRPr="00163A8A">
        <w:rPr>
          <w:b/>
          <w:sz w:val="24"/>
          <w:szCs w:val="24"/>
        </w:rPr>
        <w:t>kritéria</w:t>
      </w:r>
      <w:r w:rsidR="00F624FE">
        <w:rPr>
          <w:b/>
          <w:sz w:val="24"/>
          <w:szCs w:val="24"/>
        </w:rPr>
        <w:t>, ktoré musí spĺňať program/projekt, aby mohol byť zaradený do NIP SR</w:t>
      </w:r>
      <w:r w:rsidR="00145410">
        <w:rPr>
          <w:b/>
          <w:sz w:val="24"/>
          <w:szCs w:val="24"/>
        </w:rPr>
        <w:t xml:space="preserve">, </w:t>
      </w:r>
      <w:r w:rsidR="00F624FE">
        <w:rPr>
          <w:b/>
          <w:sz w:val="24"/>
          <w:szCs w:val="24"/>
        </w:rPr>
        <w:t>vrátane</w:t>
      </w:r>
      <w:r w:rsidR="00EF3AEC">
        <w:rPr>
          <w:b/>
          <w:sz w:val="24"/>
          <w:szCs w:val="24"/>
        </w:rPr>
        <w:t xml:space="preserve"> určenia</w:t>
      </w:r>
      <w:r w:rsidR="00F624FE">
        <w:rPr>
          <w:b/>
          <w:sz w:val="24"/>
          <w:szCs w:val="24"/>
        </w:rPr>
        <w:t xml:space="preserve"> minimálnej hodnoty celkových oprávnených nákladov programu/projektu. </w:t>
      </w:r>
      <w:r w:rsidR="00B52D3A" w:rsidRPr="004237CC">
        <w:rPr>
          <w:sz w:val="24"/>
          <w:szCs w:val="24"/>
        </w:rPr>
        <w:t>Tieto kritéri</w:t>
      </w:r>
      <w:r w:rsidR="002F270B">
        <w:rPr>
          <w:sz w:val="24"/>
          <w:szCs w:val="24"/>
        </w:rPr>
        <w:t xml:space="preserve">a </w:t>
      </w:r>
      <w:r w:rsidR="00163A8A">
        <w:rPr>
          <w:sz w:val="24"/>
          <w:szCs w:val="24"/>
        </w:rPr>
        <w:t xml:space="preserve">budú kvantifikovať </w:t>
      </w:r>
      <w:r w:rsidR="00F624FE">
        <w:rPr>
          <w:sz w:val="24"/>
          <w:szCs w:val="24"/>
        </w:rPr>
        <w:t xml:space="preserve">aj </w:t>
      </w:r>
      <w:r>
        <w:rPr>
          <w:sz w:val="24"/>
          <w:szCs w:val="24"/>
        </w:rPr>
        <w:t>príspevok daného projektu/programu k</w:t>
      </w:r>
      <w:r w:rsidR="002F270B">
        <w:rPr>
          <w:sz w:val="24"/>
          <w:szCs w:val="24"/>
        </w:rPr>
        <w:t xml:space="preserve"> naplneniu </w:t>
      </w:r>
      <w:r w:rsidR="00EF3AEC">
        <w:rPr>
          <w:sz w:val="24"/>
          <w:szCs w:val="24"/>
        </w:rPr>
        <w:t xml:space="preserve">stanoveného </w:t>
      </w:r>
      <w:r w:rsidR="004A4354">
        <w:rPr>
          <w:sz w:val="24"/>
          <w:szCs w:val="24"/>
        </w:rPr>
        <w:t>strategického cieľa</w:t>
      </w:r>
      <w:r w:rsidR="002F270B">
        <w:rPr>
          <w:sz w:val="24"/>
          <w:szCs w:val="24"/>
        </w:rPr>
        <w:t xml:space="preserve"> (cieľov)</w:t>
      </w:r>
      <w:r w:rsidR="004A4354">
        <w:rPr>
          <w:sz w:val="24"/>
          <w:szCs w:val="24"/>
        </w:rPr>
        <w:t xml:space="preserve"> </w:t>
      </w:r>
      <w:r w:rsidR="00163A8A">
        <w:rPr>
          <w:sz w:val="24"/>
          <w:szCs w:val="24"/>
        </w:rPr>
        <w:t>a preukážu, že daný cieľ</w:t>
      </w:r>
      <w:r w:rsidR="002F270B">
        <w:rPr>
          <w:sz w:val="24"/>
          <w:szCs w:val="24"/>
        </w:rPr>
        <w:t xml:space="preserve"> (ciele)</w:t>
      </w:r>
      <w:r w:rsidR="00163A8A">
        <w:rPr>
          <w:sz w:val="24"/>
          <w:szCs w:val="24"/>
        </w:rPr>
        <w:t xml:space="preserve"> nie je možné efektívne dosiahnuť iným spôsobom. </w:t>
      </w:r>
      <w:r>
        <w:rPr>
          <w:sz w:val="24"/>
          <w:szCs w:val="24"/>
        </w:rPr>
        <w:t xml:space="preserve">Pre každý </w:t>
      </w:r>
      <w:r w:rsidR="00B409B2">
        <w:rPr>
          <w:sz w:val="24"/>
          <w:szCs w:val="24"/>
        </w:rPr>
        <w:t>program</w:t>
      </w:r>
      <w:r>
        <w:rPr>
          <w:sz w:val="24"/>
          <w:szCs w:val="24"/>
        </w:rPr>
        <w:t>/pro</w:t>
      </w:r>
      <w:r w:rsidR="00B409B2">
        <w:rPr>
          <w:sz w:val="24"/>
          <w:szCs w:val="24"/>
        </w:rPr>
        <w:t>jekt</w:t>
      </w:r>
      <w:r>
        <w:rPr>
          <w:sz w:val="24"/>
          <w:szCs w:val="24"/>
        </w:rPr>
        <w:t xml:space="preserve"> zaradený do NIP SR </w:t>
      </w:r>
      <w:r w:rsidR="00163A8A">
        <w:rPr>
          <w:sz w:val="24"/>
          <w:szCs w:val="24"/>
        </w:rPr>
        <w:t xml:space="preserve">bude potrebné </w:t>
      </w:r>
      <w:r>
        <w:rPr>
          <w:sz w:val="24"/>
          <w:szCs w:val="24"/>
        </w:rPr>
        <w:t xml:space="preserve">vypracovať </w:t>
      </w:r>
      <w:r w:rsidR="00B52D3A" w:rsidRPr="004237CC">
        <w:rPr>
          <w:sz w:val="24"/>
          <w:szCs w:val="24"/>
        </w:rPr>
        <w:t>analýz</w:t>
      </w:r>
      <w:r w:rsidR="00163A8A">
        <w:rPr>
          <w:sz w:val="24"/>
          <w:szCs w:val="24"/>
        </w:rPr>
        <w:t>u</w:t>
      </w:r>
      <w:r w:rsidR="00B52D3A" w:rsidRPr="004237CC">
        <w:rPr>
          <w:sz w:val="24"/>
          <w:szCs w:val="24"/>
        </w:rPr>
        <w:t xml:space="preserve"> nákladov a prínosov (</w:t>
      </w:r>
      <w:r w:rsidR="00B52D3A">
        <w:rPr>
          <w:sz w:val="24"/>
          <w:szCs w:val="24"/>
        </w:rPr>
        <w:t>ďalej len „</w:t>
      </w:r>
      <w:r w:rsidR="00B52D3A" w:rsidRPr="004237CC">
        <w:rPr>
          <w:sz w:val="24"/>
          <w:szCs w:val="24"/>
        </w:rPr>
        <w:t>CBA</w:t>
      </w:r>
      <w:r w:rsidR="00B52D3A">
        <w:rPr>
          <w:sz w:val="24"/>
          <w:szCs w:val="24"/>
        </w:rPr>
        <w:t>“</w:t>
      </w:r>
      <w:r w:rsidR="00B52D3A" w:rsidRPr="004237CC">
        <w:rPr>
          <w:sz w:val="24"/>
          <w:szCs w:val="24"/>
        </w:rPr>
        <w:t xml:space="preserve">) </w:t>
      </w:r>
      <w:r>
        <w:rPr>
          <w:sz w:val="24"/>
          <w:szCs w:val="24"/>
        </w:rPr>
        <w:t xml:space="preserve">a to podľa štandardizovanej metodiky (viď text nižšie). </w:t>
      </w:r>
    </w:p>
    <w:p w:rsidR="00B52D3A" w:rsidRPr="004237CC" w:rsidRDefault="00163A8A" w:rsidP="00B52D3A">
      <w:pPr>
        <w:jc w:val="both"/>
        <w:rPr>
          <w:b/>
          <w:sz w:val="24"/>
          <w:szCs w:val="24"/>
        </w:rPr>
      </w:pPr>
      <w:r>
        <w:rPr>
          <w:sz w:val="24"/>
          <w:szCs w:val="24"/>
        </w:rPr>
        <w:t xml:space="preserve">Odborná literatúra </w:t>
      </w:r>
      <w:r w:rsidR="00B52D3A" w:rsidRPr="004237CC">
        <w:rPr>
          <w:sz w:val="24"/>
          <w:szCs w:val="24"/>
        </w:rPr>
        <w:t xml:space="preserve">neodkazuje na žiadnu metodiku, </w:t>
      </w:r>
      <w:r w:rsidR="00DA089D">
        <w:rPr>
          <w:sz w:val="24"/>
          <w:szCs w:val="24"/>
        </w:rPr>
        <w:t xml:space="preserve">ktorá by umožňovala stanoviť priority spomedzi rôznych typov infraštruktúry. </w:t>
      </w:r>
      <w:r>
        <w:rPr>
          <w:sz w:val="24"/>
          <w:szCs w:val="24"/>
        </w:rPr>
        <w:t>R</w:t>
      </w:r>
      <w:r w:rsidR="00B52D3A" w:rsidRPr="004237CC">
        <w:rPr>
          <w:sz w:val="24"/>
          <w:szCs w:val="24"/>
        </w:rPr>
        <w:t>ozhodnutie</w:t>
      </w:r>
      <w:r>
        <w:rPr>
          <w:sz w:val="24"/>
          <w:szCs w:val="24"/>
        </w:rPr>
        <w:t xml:space="preserve">, </w:t>
      </w:r>
      <w:r w:rsidR="00B52D3A" w:rsidRPr="004237CC">
        <w:rPr>
          <w:sz w:val="24"/>
          <w:szCs w:val="24"/>
        </w:rPr>
        <w:t>či</w:t>
      </w:r>
      <w:r w:rsidR="00DA089D">
        <w:rPr>
          <w:sz w:val="24"/>
          <w:szCs w:val="24"/>
        </w:rPr>
        <w:t xml:space="preserve"> napr. </w:t>
      </w:r>
      <w:r w:rsidR="00B52D3A" w:rsidRPr="004237CC">
        <w:rPr>
          <w:sz w:val="24"/>
          <w:szCs w:val="24"/>
        </w:rPr>
        <w:t xml:space="preserve">dobudovanie </w:t>
      </w:r>
      <w:r w:rsidR="00DA089D">
        <w:rPr>
          <w:sz w:val="24"/>
          <w:szCs w:val="24"/>
        </w:rPr>
        <w:t xml:space="preserve">cestnej infraštruktúry má mať prednosť pred investíciami do zdravotníckych zariadení, spadá do kategórie politických rozhodnutí. Odôvodnenie vybranej priority je však možné s odkazom na </w:t>
      </w:r>
      <w:r w:rsidR="00B52D3A" w:rsidRPr="004237CC">
        <w:rPr>
          <w:sz w:val="24"/>
          <w:szCs w:val="24"/>
        </w:rPr>
        <w:t>dlhodob</w:t>
      </w:r>
      <w:r w:rsidR="00DA089D">
        <w:rPr>
          <w:sz w:val="24"/>
          <w:szCs w:val="24"/>
        </w:rPr>
        <w:t xml:space="preserve">ú víziu a stratégiu rozvoja spoločnosti a následné posúdenie adekvátnosti existujúcej </w:t>
      </w:r>
      <w:r w:rsidR="00DA089D">
        <w:rPr>
          <w:sz w:val="24"/>
          <w:szCs w:val="24"/>
        </w:rPr>
        <w:lastRenderedPageBreak/>
        <w:t xml:space="preserve">infraštruktúry pre naplnenie tejto stratégie. </w:t>
      </w:r>
      <w:r w:rsidR="00145410">
        <w:rPr>
          <w:sz w:val="24"/>
          <w:szCs w:val="24"/>
        </w:rPr>
        <w:t>P</w:t>
      </w:r>
      <w:r w:rsidR="009133AD">
        <w:rPr>
          <w:sz w:val="24"/>
          <w:szCs w:val="24"/>
        </w:rPr>
        <w:t xml:space="preserve">rvý (pilotný) </w:t>
      </w:r>
      <w:r w:rsidR="00B52D3A" w:rsidRPr="004237CC">
        <w:rPr>
          <w:sz w:val="24"/>
          <w:szCs w:val="24"/>
        </w:rPr>
        <w:t xml:space="preserve">NIP SR </w:t>
      </w:r>
      <w:r w:rsidR="00145410">
        <w:rPr>
          <w:sz w:val="24"/>
          <w:szCs w:val="24"/>
        </w:rPr>
        <w:t xml:space="preserve">sa </w:t>
      </w:r>
      <w:r w:rsidR="00F624FE">
        <w:rPr>
          <w:sz w:val="24"/>
          <w:szCs w:val="24"/>
        </w:rPr>
        <w:t xml:space="preserve">oprie </w:t>
      </w:r>
      <w:r w:rsidR="00B52D3A" w:rsidRPr="004237CC">
        <w:rPr>
          <w:sz w:val="24"/>
          <w:szCs w:val="24"/>
        </w:rPr>
        <w:t xml:space="preserve">o Programové vyhlásenie vlády </w:t>
      </w:r>
      <w:r w:rsidR="009133AD">
        <w:rPr>
          <w:sz w:val="24"/>
          <w:szCs w:val="24"/>
        </w:rPr>
        <w:t xml:space="preserve">SR </w:t>
      </w:r>
      <w:r w:rsidR="00B52D3A" w:rsidRPr="004237CC">
        <w:rPr>
          <w:sz w:val="24"/>
          <w:szCs w:val="24"/>
        </w:rPr>
        <w:t xml:space="preserve">a všetky relevantné odvetvové a prierezové stratégie. Budúce revízie NIP SR už budú vychádzať z dlhodobej </w:t>
      </w:r>
      <w:r w:rsidR="00DA089D">
        <w:rPr>
          <w:sz w:val="24"/>
          <w:szCs w:val="24"/>
        </w:rPr>
        <w:t xml:space="preserve">vízie </w:t>
      </w:r>
      <w:r w:rsidR="00145410">
        <w:rPr>
          <w:sz w:val="24"/>
          <w:szCs w:val="24"/>
        </w:rPr>
        <w:t>a stratégie rozvoja spoločnosti, ktorá určí národn</w:t>
      </w:r>
      <w:r w:rsidR="001C7394">
        <w:rPr>
          <w:sz w:val="24"/>
          <w:szCs w:val="24"/>
        </w:rPr>
        <w:t>ý rámec implementácie Agendy</w:t>
      </w:r>
      <w:r w:rsidR="00145410">
        <w:rPr>
          <w:sz w:val="24"/>
          <w:szCs w:val="24"/>
        </w:rPr>
        <w:t xml:space="preserve"> 2030. </w:t>
      </w:r>
      <w:r w:rsidR="00DA089D">
        <w:rPr>
          <w:sz w:val="24"/>
          <w:szCs w:val="24"/>
        </w:rPr>
        <w:t xml:space="preserve"> </w:t>
      </w:r>
    </w:p>
    <w:p w:rsidR="00B52D3A" w:rsidRPr="004237CC" w:rsidRDefault="00B52D3A" w:rsidP="00B52D3A">
      <w:pPr>
        <w:jc w:val="both"/>
        <w:rPr>
          <w:sz w:val="24"/>
          <w:szCs w:val="24"/>
        </w:rPr>
      </w:pPr>
      <w:r w:rsidRPr="004237CC">
        <w:rPr>
          <w:b/>
          <w:sz w:val="24"/>
          <w:szCs w:val="24"/>
        </w:rPr>
        <w:t xml:space="preserve">NIP SR bude </w:t>
      </w:r>
      <w:r>
        <w:rPr>
          <w:b/>
          <w:sz w:val="24"/>
          <w:szCs w:val="24"/>
        </w:rPr>
        <w:t xml:space="preserve">zároveň </w:t>
      </w:r>
      <w:r w:rsidR="009133AD">
        <w:rPr>
          <w:b/>
          <w:sz w:val="24"/>
          <w:szCs w:val="24"/>
        </w:rPr>
        <w:t xml:space="preserve">nástrojom komunikácie vlády so súkromnými investormi. </w:t>
      </w:r>
      <w:r w:rsidRPr="004237CC">
        <w:rPr>
          <w:sz w:val="24"/>
          <w:szCs w:val="24"/>
        </w:rPr>
        <w:t xml:space="preserve">Je preto potrebné, aby </w:t>
      </w:r>
      <w:r w:rsidRPr="004237CC">
        <w:rPr>
          <w:b/>
          <w:sz w:val="24"/>
          <w:szCs w:val="24"/>
        </w:rPr>
        <w:t>súčasťou NIP SR bol aj finančný</w:t>
      </w:r>
      <w:r w:rsidR="00430854">
        <w:rPr>
          <w:b/>
          <w:sz w:val="24"/>
          <w:szCs w:val="24"/>
        </w:rPr>
        <w:t xml:space="preserve"> a časový </w:t>
      </w:r>
      <w:r w:rsidRPr="004237CC">
        <w:rPr>
          <w:b/>
          <w:sz w:val="24"/>
          <w:szCs w:val="24"/>
        </w:rPr>
        <w:t>rámec</w:t>
      </w:r>
      <w:r w:rsidRPr="004237CC">
        <w:rPr>
          <w:sz w:val="24"/>
          <w:szCs w:val="24"/>
        </w:rPr>
        <w:t xml:space="preserve"> </w:t>
      </w:r>
      <w:r w:rsidR="0073552E" w:rsidRPr="004237CC">
        <w:rPr>
          <w:sz w:val="24"/>
          <w:szCs w:val="24"/>
        </w:rPr>
        <w:t>programov</w:t>
      </w:r>
      <w:r w:rsidR="0073552E">
        <w:rPr>
          <w:sz w:val="24"/>
          <w:szCs w:val="24"/>
        </w:rPr>
        <w:t xml:space="preserve"> a</w:t>
      </w:r>
      <w:r w:rsidR="00430854">
        <w:rPr>
          <w:sz w:val="24"/>
          <w:szCs w:val="24"/>
        </w:rPr>
        <w:t> </w:t>
      </w:r>
      <w:r w:rsidRPr="004237CC">
        <w:rPr>
          <w:sz w:val="24"/>
          <w:szCs w:val="24"/>
        </w:rPr>
        <w:t>projektov</w:t>
      </w:r>
      <w:r w:rsidR="00430854">
        <w:rPr>
          <w:sz w:val="24"/>
          <w:szCs w:val="24"/>
        </w:rPr>
        <w:t xml:space="preserve">, ako aj určená zodpovednosť za ich realizáciu. </w:t>
      </w:r>
      <w:r w:rsidRPr="004237CC">
        <w:rPr>
          <w:sz w:val="24"/>
          <w:szCs w:val="24"/>
        </w:rPr>
        <w:t xml:space="preserve"> Odhad investičných nákladov sa musí opierať o dôveryhodné štúdie uskutočniteľnosti. Rozhodnutie o tom, aký finančný model sa má použiť pri financovaní </w:t>
      </w:r>
      <w:r w:rsidR="00B409B2" w:rsidRPr="004237CC">
        <w:rPr>
          <w:sz w:val="24"/>
          <w:szCs w:val="24"/>
        </w:rPr>
        <w:t>pro</w:t>
      </w:r>
      <w:r w:rsidR="00B409B2">
        <w:rPr>
          <w:sz w:val="24"/>
          <w:szCs w:val="24"/>
        </w:rPr>
        <w:t>gramu</w:t>
      </w:r>
      <w:r w:rsidRPr="004237CC">
        <w:rPr>
          <w:sz w:val="24"/>
          <w:szCs w:val="24"/>
        </w:rPr>
        <w:t>/pro</w:t>
      </w:r>
      <w:r w:rsidR="00B409B2">
        <w:rPr>
          <w:sz w:val="24"/>
          <w:szCs w:val="24"/>
        </w:rPr>
        <w:t>jektu</w:t>
      </w:r>
      <w:r>
        <w:rPr>
          <w:sz w:val="24"/>
          <w:szCs w:val="24"/>
        </w:rPr>
        <w:t>,</w:t>
      </w:r>
      <w:r w:rsidRPr="004237CC">
        <w:rPr>
          <w:sz w:val="24"/>
          <w:szCs w:val="24"/>
        </w:rPr>
        <w:t xml:space="preserve"> bude vychádzať z analýzy ekonomickej výhodnosti. Za týmto účelom je potrebné štandardizovať postupy pri spracovaní takýchto analýz – odporúčanie, ktoré je konzistentné s názorom MF SR vyjadreným v </w:t>
      </w:r>
      <w:r w:rsidR="00B870E5">
        <w:rPr>
          <w:sz w:val="24"/>
          <w:szCs w:val="24"/>
        </w:rPr>
        <w:t>záverečných</w:t>
      </w:r>
      <w:r w:rsidRPr="004237CC">
        <w:rPr>
          <w:sz w:val="24"/>
          <w:szCs w:val="24"/>
        </w:rPr>
        <w:t xml:space="preserve"> správach o revízií výdavkov. </w:t>
      </w:r>
    </w:p>
    <w:p w:rsidR="00B52D3A" w:rsidRDefault="00B52D3A" w:rsidP="00B52D3A">
      <w:pPr>
        <w:jc w:val="both"/>
        <w:rPr>
          <w:sz w:val="24"/>
          <w:szCs w:val="24"/>
        </w:rPr>
      </w:pPr>
      <w:r w:rsidRPr="004237CC">
        <w:rPr>
          <w:sz w:val="24"/>
          <w:szCs w:val="24"/>
        </w:rPr>
        <w:t xml:space="preserve">Vypracovanie NIP SR bude spojené s vyvolanými nákladmi, napr. na štúdie uskutočniteľnosti </w:t>
      </w:r>
      <w:r w:rsidR="00B409B2" w:rsidRPr="004237CC">
        <w:rPr>
          <w:sz w:val="24"/>
          <w:szCs w:val="24"/>
        </w:rPr>
        <w:t>pro</w:t>
      </w:r>
      <w:r w:rsidR="00B409B2">
        <w:rPr>
          <w:sz w:val="24"/>
          <w:szCs w:val="24"/>
        </w:rPr>
        <w:t>gramov</w:t>
      </w:r>
      <w:r w:rsidRPr="004237CC">
        <w:rPr>
          <w:sz w:val="24"/>
          <w:szCs w:val="24"/>
        </w:rPr>
        <w:t>/pro</w:t>
      </w:r>
      <w:r w:rsidR="00B409B2">
        <w:rPr>
          <w:sz w:val="24"/>
          <w:szCs w:val="24"/>
        </w:rPr>
        <w:t>jektov</w:t>
      </w:r>
      <w:r w:rsidRPr="004237CC">
        <w:rPr>
          <w:sz w:val="24"/>
          <w:szCs w:val="24"/>
        </w:rPr>
        <w:t>, CBA, rôzne typy expertízy. Ich dopad na štátny rozpočet nie je možné v súčasnosti kvantifikovať, keďže predkladateľovi tohto materiálu nie sú známe všetky pro</w:t>
      </w:r>
      <w:r w:rsidR="00B409B2">
        <w:rPr>
          <w:sz w:val="24"/>
          <w:szCs w:val="24"/>
        </w:rPr>
        <w:t>gramy</w:t>
      </w:r>
      <w:r w:rsidRPr="004237CC">
        <w:rPr>
          <w:sz w:val="24"/>
          <w:szCs w:val="24"/>
        </w:rPr>
        <w:t>/pro</w:t>
      </w:r>
      <w:r w:rsidR="00B409B2">
        <w:rPr>
          <w:sz w:val="24"/>
          <w:szCs w:val="24"/>
        </w:rPr>
        <w:t>jekty</w:t>
      </w:r>
      <w:r w:rsidRPr="004237CC">
        <w:rPr>
          <w:sz w:val="24"/>
          <w:szCs w:val="24"/>
        </w:rPr>
        <w:t>, ktorých zaradenie do NIP SR príslušné rezorty navrhnú</w:t>
      </w:r>
      <w:r>
        <w:rPr>
          <w:sz w:val="24"/>
          <w:szCs w:val="24"/>
        </w:rPr>
        <w:t>,</w:t>
      </w:r>
      <w:r w:rsidRPr="004237CC">
        <w:rPr>
          <w:sz w:val="24"/>
          <w:szCs w:val="24"/>
        </w:rPr>
        <w:t xml:space="preserve"> ani stav prípravy týchto projektov. Je však možné predpokladať, že zavedenie štandardizovaných postupov pre tieto ex ante hodnotenia povedie k budúcnosti k úspore vynakladaných zdrojov.</w:t>
      </w:r>
    </w:p>
    <w:p w:rsidR="002B668C" w:rsidRPr="004237CC" w:rsidRDefault="002B668C" w:rsidP="00B52D3A">
      <w:pPr>
        <w:jc w:val="both"/>
        <w:rPr>
          <w:sz w:val="24"/>
          <w:szCs w:val="24"/>
        </w:rPr>
      </w:pPr>
    </w:p>
    <w:p w:rsidR="005434E6" w:rsidRPr="0082382B" w:rsidRDefault="00B33D2D" w:rsidP="00BE6501">
      <w:pPr>
        <w:pStyle w:val="Nadpis1"/>
        <w:rPr>
          <w:b/>
          <w:sz w:val="24"/>
          <w:szCs w:val="24"/>
        </w:rPr>
      </w:pPr>
      <w:r>
        <w:rPr>
          <w:b/>
          <w:sz w:val="24"/>
          <w:szCs w:val="24"/>
        </w:rPr>
        <w:t>V</w:t>
      </w:r>
      <w:r w:rsidR="009133AD">
        <w:rPr>
          <w:b/>
          <w:sz w:val="24"/>
          <w:szCs w:val="24"/>
        </w:rPr>
        <w:t>ýchodiskový</w:t>
      </w:r>
      <w:r w:rsidR="00151DB8" w:rsidRPr="0082382B">
        <w:rPr>
          <w:b/>
          <w:sz w:val="24"/>
          <w:szCs w:val="24"/>
        </w:rPr>
        <w:t xml:space="preserve"> </w:t>
      </w:r>
      <w:r w:rsidR="005434E6" w:rsidRPr="0082382B">
        <w:rPr>
          <w:b/>
          <w:sz w:val="24"/>
          <w:szCs w:val="24"/>
        </w:rPr>
        <w:t>stav</w:t>
      </w:r>
    </w:p>
    <w:p w:rsidR="00585C9E" w:rsidRPr="004237CC" w:rsidRDefault="002C3ED2" w:rsidP="00765379">
      <w:pPr>
        <w:jc w:val="both"/>
        <w:rPr>
          <w:sz w:val="24"/>
          <w:szCs w:val="24"/>
        </w:rPr>
      </w:pPr>
      <w:r w:rsidRPr="004237CC">
        <w:rPr>
          <w:sz w:val="24"/>
          <w:szCs w:val="24"/>
        </w:rPr>
        <w:t>Spojené kráľovstvo</w:t>
      </w:r>
      <w:r w:rsidR="00BF5BD7" w:rsidRPr="004237CC">
        <w:rPr>
          <w:sz w:val="24"/>
          <w:szCs w:val="24"/>
        </w:rPr>
        <w:t xml:space="preserve">, </w:t>
      </w:r>
      <w:r w:rsidR="00151DB8" w:rsidRPr="004237CC">
        <w:rPr>
          <w:sz w:val="24"/>
          <w:szCs w:val="24"/>
        </w:rPr>
        <w:t>Fínsko</w:t>
      </w:r>
      <w:r w:rsidR="00BF5BD7" w:rsidRPr="004237CC">
        <w:rPr>
          <w:sz w:val="24"/>
          <w:szCs w:val="24"/>
        </w:rPr>
        <w:t xml:space="preserve"> či Austrália </w:t>
      </w:r>
      <w:r w:rsidR="001A0AA7" w:rsidRPr="004237CC">
        <w:rPr>
          <w:sz w:val="24"/>
          <w:szCs w:val="24"/>
        </w:rPr>
        <w:t xml:space="preserve">patria medzi štáty, </w:t>
      </w:r>
      <w:r w:rsidR="00765379" w:rsidRPr="004237CC">
        <w:rPr>
          <w:sz w:val="24"/>
          <w:szCs w:val="24"/>
        </w:rPr>
        <w:t xml:space="preserve">v ktorých rozhodovanie o kľúčovej infraštruktúre </w:t>
      </w:r>
      <w:r w:rsidR="009133AD">
        <w:rPr>
          <w:sz w:val="24"/>
          <w:szCs w:val="24"/>
        </w:rPr>
        <w:t xml:space="preserve">vychádza z poznania </w:t>
      </w:r>
      <w:r w:rsidR="006D5449">
        <w:rPr>
          <w:sz w:val="24"/>
          <w:szCs w:val="24"/>
        </w:rPr>
        <w:t>dlhodobých potrieb krajiny.</w:t>
      </w:r>
      <w:r w:rsidR="006D5449" w:rsidRPr="004237CC" w:rsidDel="006D5449">
        <w:rPr>
          <w:sz w:val="24"/>
          <w:szCs w:val="24"/>
        </w:rPr>
        <w:t xml:space="preserve"> </w:t>
      </w:r>
      <w:r w:rsidR="00765379" w:rsidRPr="004237CC">
        <w:rPr>
          <w:sz w:val="24"/>
          <w:szCs w:val="24"/>
        </w:rPr>
        <w:t>Ide spravidla o</w:t>
      </w:r>
      <w:r w:rsidR="009133AD">
        <w:rPr>
          <w:sz w:val="24"/>
          <w:szCs w:val="24"/>
        </w:rPr>
        <w:t> </w:t>
      </w:r>
      <w:r w:rsidR="00765379" w:rsidRPr="004237CC">
        <w:rPr>
          <w:sz w:val="24"/>
          <w:szCs w:val="24"/>
        </w:rPr>
        <w:t>krajiny</w:t>
      </w:r>
      <w:r w:rsidR="009133AD">
        <w:rPr>
          <w:sz w:val="24"/>
          <w:szCs w:val="24"/>
        </w:rPr>
        <w:t xml:space="preserve">, v ktorých má strategické riadenie na úrovni štátu dlhoročnú tradíciu. </w:t>
      </w:r>
      <w:r w:rsidR="00875507" w:rsidRPr="004237CC">
        <w:rPr>
          <w:sz w:val="24"/>
          <w:szCs w:val="24"/>
        </w:rPr>
        <w:t xml:space="preserve">Intervenčnú </w:t>
      </w:r>
      <w:r w:rsidR="00E045A3" w:rsidRPr="004237CC">
        <w:rPr>
          <w:sz w:val="24"/>
          <w:szCs w:val="24"/>
        </w:rPr>
        <w:t xml:space="preserve">logiku </w:t>
      </w:r>
      <w:r w:rsidR="004951B0" w:rsidRPr="004237CC">
        <w:rPr>
          <w:sz w:val="24"/>
          <w:szCs w:val="24"/>
        </w:rPr>
        <w:t>strategického riadenia</w:t>
      </w:r>
      <w:r w:rsidR="009133AD">
        <w:rPr>
          <w:sz w:val="24"/>
          <w:szCs w:val="24"/>
        </w:rPr>
        <w:t xml:space="preserve"> v týchto krajinách, ktorú </w:t>
      </w:r>
      <w:r w:rsidR="006D5449" w:rsidRPr="006D5449">
        <w:rPr>
          <w:sz w:val="24"/>
          <w:szCs w:val="24"/>
        </w:rPr>
        <w:t>má</w:t>
      </w:r>
      <w:r w:rsidR="009133AD">
        <w:rPr>
          <w:sz w:val="24"/>
          <w:szCs w:val="24"/>
        </w:rPr>
        <w:t xml:space="preserve"> ambíciu tento materiál zaviesť v podmienkach </w:t>
      </w:r>
      <w:r w:rsidR="006D5449" w:rsidRPr="006D5449">
        <w:rPr>
          <w:sz w:val="24"/>
          <w:szCs w:val="24"/>
        </w:rPr>
        <w:t>SR</w:t>
      </w:r>
      <w:r w:rsidR="009133AD">
        <w:rPr>
          <w:sz w:val="24"/>
          <w:szCs w:val="24"/>
        </w:rPr>
        <w:t xml:space="preserve">, </w:t>
      </w:r>
      <w:r w:rsidR="00875507" w:rsidRPr="004237CC">
        <w:rPr>
          <w:sz w:val="24"/>
          <w:szCs w:val="24"/>
        </w:rPr>
        <w:t xml:space="preserve">ilustruje </w:t>
      </w:r>
      <w:r w:rsidR="004951B0" w:rsidRPr="004237CC">
        <w:rPr>
          <w:sz w:val="24"/>
          <w:szCs w:val="24"/>
        </w:rPr>
        <w:t>obr.</w:t>
      </w:r>
      <w:r w:rsidR="00C87826" w:rsidRPr="004237CC">
        <w:rPr>
          <w:sz w:val="24"/>
          <w:szCs w:val="24"/>
        </w:rPr>
        <w:t xml:space="preserve"> </w:t>
      </w:r>
      <w:r w:rsidR="00797326">
        <w:rPr>
          <w:sz w:val="24"/>
          <w:szCs w:val="24"/>
        </w:rPr>
        <w:t xml:space="preserve">č. </w:t>
      </w:r>
      <w:r w:rsidR="00C87826" w:rsidRPr="004237CC">
        <w:rPr>
          <w:sz w:val="24"/>
          <w:szCs w:val="24"/>
        </w:rPr>
        <w:t xml:space="preserve">1. </w:t>
      </w:r>
    </w:p>
    <w:p w:rsidR="00124A32" w:rsidRPr="004237CC" w:rsidRDefault="000966A1" w:rsidP="00BE6501">
      <w:pPr>
        <w:pStyle w:val="Odsekzoznamu"/>
        <w:ind w:left="284"/>
        <w:jc w:val="both"/>
        <w:rPr>
          <w:sz w:val="24"/>
          <w:szCs w:val="24"/>
        </w:rPr>
      </w:pPr>
      <w:r w:rsidRPr="000966A1">
        <w:rPr>
          <w:noProof/>
          <w:sz w:val="24"/>
          <w:szCs w:val="24"/>
          <w:lang w:eastAsia="sk-SK"/>
        </w:rPr>
        <w:drawing>
          <wp:inline distT="0" distB="0" distL="0" distR="0">
            <wp:extent cx="5190490" cy="2543810"/>
            <wp:effectExtent l="57150" t="19050" r="67310" b="66040"/>
            <wp:docPr id="1"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D0739" w:rsidRPr="004237CC" w:rsidRDefault="00F61CC7" w:rsidP="00BE6501">
      <w:pPr>
        <w:pStyle w:val="Odsekzoznamu"/>
        <w:rPr>
          <w:i/>
          <w:iCs/>
          <w:color w:val="404040" w:themeColor="text1" w:themeTint="BF"/>
          <w:sz w:val="24"/>
          <w:szCs w:val="24"/>
        </w:rPr>
      </w:pPr>
      <w:r w:rsidRPr="004237CC">
        <w:rPr>
          <w:rStyle w:val="Jemnzvraznenie"/>
          <w:sz w:val="24"/>
          <w:szCs w:val="24"/>
        </w:rPr>
        <w:t>Obr</w:t>
      </w:r>
      <w:r w:rsidR="004951B0" w:rsidRPr="004237CC">
        <w:rPr>
          <w:rStyle w:val="Jemnzvraznenie"/>
          <w:sz w:val="24"/>
          <w:szCs w:val="24"/>
        </w:rPr>
        <w:t>.</w:t>
      </w:r>
      <w:r w:rsidRPr="004237CC">
        <w:rPr>
          <w:rStyle w:val="Jemnzvraznenie"/>
          <w:sz w:val="24"/>
          <w:szCs w:val="24"/>
        </w:rPr>
        <w:t xml:space="preserve"> </w:t>
      </w:r>
      <w:r w:rsidR="00875507" w:rsidRPr="004237CC">
        <w:rPr>
          <w:rStyle w:val="Jemnzvraznenie"/>
          <w:sz w:val="24"/>
          <w:szCs w:val="24"/>
        </w:rPr>
        <w:t>1</w:t>
      </w:r>
      <w:r w:rsidRPr="004237CC">
        <w:rPr>
          <w:rStyle w:val="Jemnzvraznenie"/>
          <w:sz w:val="24"/>
          <w:szCs w:val="24"/>
        </w:rPr>
        <w:t xml:space="preserve">: </w:t>
      </w:r>
      <w:r w:rsidR="00F27319" w:rsidRPr="004237CC">
        <w:rPr>
          <w:rStyle w:val="Jemnzvraznenie"/>
          <w:sz w:val="24"/>
          <w:szCs w:val="24"/>
        </w:rPr>
        <w:t>Intervenčná pyramída</w:t>
      </w:r>
      <w:r w:rsidRPr="004237CC">
        <w:rPr>
          <w:rStyle w:val="Jemnzvraznenie"/>
          <w:sz w:val="24"/>
          <w:szCs w:val="24"/>
        </w:rPr>
        <w:t xml:space="preserve"> </w:t>
      </w:r>
      <w:r w:rsidR="00BE6501" w:rsidRPr="004237CC">
        <w:rPr>
          <w:rStyle w:val="Jemnzvraznenie"/>
          <w:sz w:val="24"/>
          <w:szCs w:val="24"/>
        </w:rPr>
        <w:t>strategického riadenia</w:t>
      </w:r>
    </w:p>
    <w:p w:rsidR="00BF5BD7" w:rsidRPr="004237CC" w:rsidRDefault="00E045A3" w:rsidP="00E045A3">
      <w:pPr>
        <w:jc w:val="both"/>
        <w:rPr>
          <w:sz w:val="24"/>
          <w:szCs w:val="24"/>
        </w:rPr>
      </w:pPr>
      <w:r w:rsidRPr="004237CC">
        <w:rPr>
          <w:sz w:val="24"/>
          <w:szCs w:val="24"/>
        </w:rPr>
        <w:lastRenderedPageBreak/>
        <w:t xml:space="preserve">V podmienkach Slovenskej republiky je vyššie uvedená pyramída neúplná. </w:t>
      </w:r>
      <w:r w:rsidR="001C7394">
        <w:rPr>
          <w:sz w:val="24"/>
          <w:szCs w:val="24"/>
        </w:rPr>
        <w:t>Agenda</w:t>
      </w:r>
      <w:r w:rsidR="00145410">
        <w:rPr>
          <w:sz w:val="24"/>
          <w:szCs w:val="24"/>
        </w:rPr>
        <w:t xml:space="preserve"> 2030 nie je reflektovaná v žiadnom relevantnom strategickom dokumente. </w:t>
      </w:r>
      <w:r w:rsidR="009133AD">
        <w:rPr>
          <w:sz w:val="24"/>
          <w:szCs w:val="24"/>
        </w:rPr>
        <w:t>N</w:t>
      </w:r>
      <w:r w:rsidR="00BF5BD7" w:rsidRPr="004237CC">
        <w:rPr>
          <w:sz w:val="24"/>
          <w:szCs w:val="24"/>
        </w:rPr>
        <w:t>eexist</w:t>
      </w:r>
      <w:r w:rsidR="004951B0" w:rsidRPr="004237CC">
        <w:rPr>
          <w:sz w:val="24"/>
          <w:szCs w:val="24"/>
        </w:rPr>
        <w:t>uje</w:t>
      </w:r>
      <w:r w:rsidR="00E6408B" w:rsidRPr="004237CC">
        <w:rPr>
          <w:sz w:val="24"/>
          <w:szCs w:val="24"/>
        </w:rPr>
        <w:t xml:space="preserve"> </w:t>
      </w:r>
      <w:r w:rsidR="009133AD">
        <w:rPr>
          <w:sz w:val="24"/>
          <w:szCs w:val="24"/>
        </w:rPr>
        <w:t xml:space="preserve">ani </w:t>
      </w:r>
      <w:r w:rsidR="000D4CC0">
        <w:rPr>
          <w:sz w:val="24"/>
          <w:szCs w:val="24"/>
        </w:rPr>
        <w:t xml:space="preserve">dlhodobá </w:t>
      </w:r>
      <w:r w:rsidR="00E6408B" w:rsidRPr="00A7205E">
        <w:rPr>
          <w:sz w:val="24"/>
          <w:szCs w:val="24"/>
        </w:rPr>
        <w:t>stratégi</w:t>
      </w:r>
      <w:r w:rsidR="004951B0" w:rsidRPr="00A7205E">
        <w:rPr>
          <w:sz w:val="24"/>
          <w:szCs w:val="24"/>
        </w:rPr>
        <w:t>a</w:t>
      </w:r>
      <w:r w:rsidR="00E6408B" w:rsidRPr="00A7205E">
        <w:rPr>
          <w:sz w:val="24"/>
          <w:szCs w:val="24"/>
        </w:rPr>
        <w:t xml:space="preserve"> hospodárskej politiky,</w:t>
      </w:r>
      <w:r w:rsidR="00E6408B" w:rsidRPr="004237CC">
        <w:rPr>
          <w:sz w:val="24"/>
          <w:szCs w:val="24"/>
        </w:rPr>
        <w:t xml:space="preserve"> ktorá by spol</w:t>
      </w:r>
      <w:r w:rsidR="00BF5BD7" w:rsidRPr="004237CC">
        <w:rPr>
          <w:sz w:val="24"/>
          <w:szCs w:val="24"/>
        </w:rPr>
        <w:t xml:space="preserve">očne </w:t>
      </w:r>
      <w:r w:rsidR="00E6408B" w:rsidRPr="004237CC">
        <w:rPr>
          <w:sz w:val="24"/>
          <w:szCs w:val="24"/>
        </w:rPr>
        <w:t xml:space="preserve">so stratégiou zamestnanosti a stratégiou </w:t>
      </w:r>
      <w:r w:rsidR="00BF5BD7" w:rsidRPr="004237CC">
        <w:rPr>
          <w:sz w:val="24"/>
          <w:szCs w:val="24"/>
        </w:rPr>
        <w:t>finančnej politiky</w:t>
      </w:r>
      <w:r w:rsidR="009133AD">
        <w:rPr>
          <w:sz w:val="24"/>
          <w:szCs w:val="24"/>
        </w:rPr>
        <w:t xml:space="preserve">, </w:t>
      </w:r>
      <w:r w:rsidR="00BF5BD7" w:rsidRPr="004237CC">
        <w:rPr>
          <w:sz w:val="24"/>
          <w:szCs w:val="24"/>
        </w:rPr>
        <w:t>vytváral</w:t>
      </w:r>
      <w:r w:rsidR="009133AD">
        <w:rPr>
          <w:sz w:val="24"/>
          <w:szCs w:val="24"/>
        </w:rPr>
        <w:t>i</w:t>
      </w:r>
      <w:r w:rsidR="00BF5BD7" w:rsidRPr="004237CC">
        <w:rPr>
          <w:sz w:val="24"/>
          <w:szCs w:val="24"/>
        </w:rPr>
        <w:t xml:space="preserve"> </w:t>
      </w:r>
      <w:r w:rsidR="00E6408B" w:rsidRPr="004237CC">
        <w:rPr>
          <w:sz w:val="24"/>
          <w:szCs w:val="24"/>
        </w:rPr>
        <w:t>rámec potreb</w:t>
      </w:r>
      <w:r w:rsidR="00BF5BD7" w:rsidRPr="004237CC">
        <w:rPr>
          <w:sz w:val="24"/>
          <w:szCs w:val="24"/>
        </w:rPr>
        <w:t>ný na prioritizáciu investícií na národnej úrovni</w:t>
      </w:r>
      <w:r w:rsidRPr="004237CC">
        <w:rPr>
          <w:sz w:val="24"/>
          <w:szCs w:val="24"/>
        </w:rPr>
        <w:t xml:space="preserve">. Ani vysoký počet odvetvových a prierezových stratégií, ktoré vláda </w:t>
      </w:r>
      <w:r w:rsidR="00E46AF0" w:rsidRPr="004237CC">
        <w:rPr>
          <w:sz w:val="24"/>
          <w:szCs w:val="24"/>
        </w:rPr>
        <w:t>od roku 2001</w:t>
      </w:r>
      <w:r w:rsidR="00E46AF0" w:rsidRPr="004237CC">
        <w:rPr>
          <w:rStyle w:val="Odkaznapoznmkupodiarou"/>
          <w:sz w:val="24"/>
          <w:szCs w:val="24"/>
        </w:rPr>
        <w:footnoteReference w:id="1"/>
      </w:r>
      <w:r w:rsidR="00E46AF0" w:rsidRPr="004237CC">
        <w:rPr>
          <w:sz w:val="24"/>
          <w:szCs w:val="24"/>
        </w:rPr>
        <w:t xml:space="preserve"> schválila, </w:t>
      </w:r>
      <w:r w:rsidRPr="004237CC">
        <w:rPr>
          <w:sz w:val="24"/>
          <w:szCs w:val="24"/>
        </w:rPr>
        <w:t>neumožňuje</w:t>
      </w:r>
      <w:r w:rsidR="00BC1171">
        <w:rPr>
          <w:sz w:val="24"/>
          <w:szCs w:val="24"/>
        </w:rPr>
        <w:t>,</w:t>
      </w:r>
      <w:r w:rsidRPr="004237CC">
        <w:rPr>
          <w:sz w:val="24"/>
          <w:szCs w:val="24"/>
        </w:rPr>
        <w:t xml:space="preserve"> </w:t>
      </w:r>
      <w:r w:rsidR="00E46AF0" w:rsidRPr="004237CC">
        <w:rPr>
          <w:sz w:val="24"/>
          <w:szCs w:val="24"/>
        </w:rPr>
        <w:t>s ohľadom na ich často slabú previazanosť</w:t>
      </w:r>
      <w:r w:rsidR="00BC1171">
        <w:rPr>
          <w:sz w:val="24"/>
          <w:szCs w:val="24"/>
        </w:rPr>
        <w:t>,</w:t>
      </w:r>
      <w:r w:rsidR="00E46AF0" w:rsidRPr="004237CC">
        <w:rPr>
          <w:sz w:val="24"/>
          <w:szCs w:val="24"/>
        </w:rPr>
        <w:t xml:space="preserve"> </w:t>
      </w:r>
      <w:r w:rsidRPr="004237CC">
        <w:rPr>
          <w:sz w:val="24"/>
          <w:szCs w:val="24"/>
        </w:rPr>
        <w:t xml:space="preserve">jasne </w:t>
      </w:r>
      <w:r w:rsidR="00E46AF0" w:rsidRPr="004237CC">
        <w:rPr>
          <w:sz w:val="24"/>
          <w:szCs w:val="24"/>
        </w:rPr>
        <w:t>vytýčiť rozvojovú trajektóriu slovensk</w:t>
      </w:r>
      <w:r w:rsidR="000D4CC0">
        <w:rPr>
          <w:sz w:val="24"/>
          <w:szCs w:val="24"/>
        </w:rPr>
        <w:t>ej spoločnosti</w:t>
      </w:r>
      <w:r w:rsidR="00E46AF0" w:rsidRPr="004237CC">
        <w:rPr>
          <w:sz w:val="24"/>
          <w:szCs w:val="24"/>
        </w:rPr>
        <w:t xml:space="preserve">. </w:t>
      </w:r>
      <w:r w:rsidRPr="004237CC">
        <w:rPr>
          <w:sz w:val="24"/>
          <w:szCs w:val="24"/>
        </w:rPr>
        <w:t xml:space="preserve">V nasledovnej časti dokumentu sú </w:t>
      </w:r>
      <w:r w:rsidR="000D4CC0">
        <w:rPr>
          <w:sz w:val="24"/>
          <w:szCs w:val="24"/>
        </w:rPr>
        <w:t>sumarizované hlavné</w:t>
      </w:r>
      <w:r w:rsidR="00A7205E">
        <w:rPr>
          <w:sz w:val="24"/>
          <w:szCs w:val="24"/>
        </w:rPr>
        <w:t xml:space="preserve"> </w:t>
      </w:r>
      <w:r w:rsidR="000D4CC0">
        <w:rPr>
          <w:sz w:val="24"/>
          <w:szCs w:val="24"/>
        </w:rPr>
        <w:t>n</w:t>
      </w:r>
      <w:r w:rsidR="00E46AF0" w:rsidRPr="004237CC">
        <w:rPr>
          <w:sz w:val="24"/>
          <w:szCs w:val="24"/>
        </w:rPr>
        <w:t>edostatk</w:t>
      </w:r>
      <w:r w:rsidR="000D4CC0">
        <w:rPr>
          <w:sz w:val="24"/>
          <w:szCs w:val="24"/>
        </w:rPr>
        <w:t>y</w:t>
      </w:r>
      <w:r w:rsidR="00B05E9B">
        <w:rPr>
          <w:sz w:val="24"/>
          <w:szCs w:val="24"/>
        </w:rPr>
        <w:t xml:space="preserve"> súčasného stavu</w:t>
      </w:r>
      <w:r w:rsidR="00E46AF0" w:rsidRPr="004237CC">
        <w:rPr>
          <w:sz w:val="24"/>
          <w:szCs w:val="24"/>
        </w:rPr>
        <w:t xml:space="preserve">, pretože bez ich </w:t>
      </w:r>
      <w:r w:rsidRPr="004237CC">
        <w:rPr>
          <w:sz w:val="24"/>
          <w:szCs w:val="24"/>
        </w:rPr>
        <w:t>otvoreného pomenovania</w:t>
      </w:r>
      <w:r w:rsidR="00E46AF0" w:rsidRPr="004237CC">
        <w:rPr>
          <w:sz w:val="24"/>
          <w:szCs w:val="24"/>
        </w:rPr>
        <w:t xml:space="preserve"> by nebolo možné odôvodniť potrebu realizácie opatrení, ktoré cestovná mapa k NIP SR </w:t>
      </w:r>
      <w:r w:rsidR="009133AD">
        <w:rPr>
          <w:sz w:val="24"/>
          <w:szCs w:val="24"/>
        </w:rPr>
        <w:t xml:space="preserve">navrhuje. </w:t>
      </w:r>
    </w:p>
    <w:p w:rsidR="0023729D" w:rsidRPr="004237CC" w:rsidRDefault="004E1957" w:rsidP="00DF76DC">
      <w:pPr>
        <w:jc w:val="both"/>
        <w:rPr>
          <w:b/>
          <w:sz w:val="24"/>
          <w:szCs w:val="24"/>
        </w:rPr>
      </w:pPr>
      <w:r>
        <w:rPr>
          <w:b/>
          <w:sz w:val="24"/>
          <w:szCs w:val="24"/>
          <w:u w:val="single"/>
        </w:rPr>
        <w:t xml:space="preserve">Absencia dlhodobého národného rámca </w:t>
      </w:r>
      <w:r w:rsidR="001C7394">
        <w:rPr>
          <w:b/>
          <w:sz w:val="24"/>
          <w:szCs w:val="24"/>
          <w:u w:val="single"/>
        </w:rPr>
        <w:t xml:space="preserve">implementácie Agendy </w:t>
      </w:r>
      <w:r w:rsidR="004A289A">
        <w:rPr>
          <w:b/>
          <w:sz w:val="24"/>
          <w:szCs w:val="24"/>
          <w:u w:val="single"/>
        </w:rPr>
        <w:t>2030</w:t>
      </w:r>
      <w:r w:rsidR="00EA060D" w:rsidRPr="004237CC">
        <w:rPr>
          <w:b/>
          <w:sz w:val="24"/>
          <w:szCs w:val="24"/>
          <w:u w:val="single"/>
        </w:rPr>
        <w:t>.</w:t>
      </w:r>
      <w:r w:rsidR="00EA060D" w:rsidRPr="004237CC">
        <w:rPr>
          <w:sz w:val="24"/>
          <w:szCs w:val="24"/>
        </w:rPr>
        <w:t xml:space="preserve"> </w:t>
      </w:r>
      <w:r w:rsidR="00CC3CD8" w:rsidRPr="004237CC">
        <w:rPr>
          <w:sz w:val="24"/>
          <w:szCs w:val="24"/>
        </w:rPr>
        <w:t>Strategické riadenie</w:t>
      </w:r>
      <w:r w:rsidR="00875507" w:rsidRPr="004237CC">
        <w:rPr>
          <w:sz w:val="24"/>
          <w:szCs w:val="24"/>
        </w:rPr>
        <w:t xml:space="preserve"> a plánovanie</w:t>
      </w:r>
      <w:r w:rsidR="00CC3CD8" w:rsidRPr="004237CC">
        <w:rPr>
          <w:sz w:val="24"/>
          <w:szCs w:val="24"/>
        </w:rPr>
        <w:t xml:space="preserve"> vytvára potrebnú rovnováhu medzi zdrojmi a cieľmi národného hospodárstva. </w:t>
      </w:r>
      <w:r w:rsidR="006902A1" w:rsidRPr="000D4CC0">
        <w:rPr>
          <w:sz w:val="24"/>
          <w:szCs w:val="24"/>
        </w:rPr>
        <w:t>V </w:t>
      </w:r>
      <w:r w:rsidR="0079582E" w:rsidRPr="000D4CC0">
        <w:rPr>
          <w:sz w:val="24"/>
          <w:szCs w:val="24"/>
        </w:rPr>
        <w:t>Slovensk</w:t>
      </w:r>
      <w:r w:rsidR="006902A1" w:rsidRPr="000D4CC0">
        <w:rPr>
          <w:sz w:val="24"/>
          <w:szCs w:val="24"/>
        </w:rPr>
        <w:t xml:space="preserve">ej republike sa </w:t>
      </w:r>
      <w:r w:rsidR="00875507" w:rsidRPr="000D4CC0">
        <w:rPr>
          <w:sz w:val="24"/>
          <w:szCs w:val="24"/>
        </w:rPr>
        <w:t xml:space="preserve">strategické riadenie </w:t>
      </w:r>
      <w:r w:rsidR="00B4046F" w:rsidRPr="000D4CC0">
        <w:rPr>
          <w:sz w:val="24"/>
          <w:szCs w:val="24"/>
        </w:rPr>
        <w:t xml:space="preserve">z nadrezortnej úrovne uplatňuje len v obmedzenom rozsahu, pričom </w:t>
      </w:r>
      <w:r w:rsidR="00BB06FB" w:rsidRPr="00704116">
        <w:rPr>
          <w:sz w:val="24"/>
          <w:szCs w:val="24"/>
        </w:rPr>
        <w:t xml:space="preserve">stále </w:t>
      </w:r>
      <w:r w:rsidR="00B4046F" w:rsidRPr="00704116">
        <w:rPr>
          <w:sz w:val="24"/>
          <w:szCs w:val="24"/>
        </w:rPr>
        <w:t xml:space="preserve">prevláda </w:t>
      </w:r>
      <w:r w:rsidR="00CC3CD8" w:rsidRPr="00B71C45">
        <w:rPr>
          <w:sz w:val="24"/>
          <w:szCs w:val="24"/>
        </w:rPr>
        <w:t>postoj</w:t>
      </w:r>
      <w:r w:rsidR="00B4046F" w:rsidRPr="00B71C45">
        <w:rPr>
          <w:sz w:val="24"/>
          <w:szCs w:val="24"/>
        </w:rPr>
        <w:t xml:space="preserve"> založený na pohľade</w:t>
      </w:r>
      <w:r w:rsidR="002C717B" w:rsidRPr="00B71C45">
        <w:rPr>
          <w:sz w:val="24"/>
          <w:szCs w:val="24"/>
        </w:rPr>
        <w:t xml:space="preserve"> a prístupe</w:t>
      </w:r>
      <w:r w:rsidR="009F2A21" w:rsidRPr="00B71C45">
        <w:rPr>
          <w:sz w:val="24"/>
          <w:szCs w:val="24"/>
        </w:rPr>
        <w:t xml:space="preserve"> </w:t>
      </w:r>
      <w:r w:rsidR="00B4046F" w:rsidRPr="00B71C45">
        <w:rPr>
          <w:sz w:val="24"/>
          <w:szCs w:val="24"/>
        </w:rPr>
        <w:t xml:space="preserve">z úrovne </w:t>
      </w:r>
      <w:r w:rsidR="00CB19B1" w:rsidRPr="00B71C45">
        <w:rPr>
          <w:sz w:val="24"/>
          <w:szCs w:val="24"/>
        </w:rPr>
        <w:t>jednotlivých rezortov</w:t>
      </w:r>
      <w:r w:rsidR="00CB19B1" w:rsidRPr="004E1957">
        <w:rPr>
          <w:sz w:val="24"/>
          <w:szCs w:val="24"/>
        </w:rPr>
        <w:t xml:space="preserve">. </w:t>
      </w:r>
      <w:r w:rsidR="00CF3BE0" w:rsidRPr="004E1957">
        <w:rPr>
          <w:sz w:val="24"/>
          <w:szCs w:val="24"/>
        </w:rPr>
        <w:t>Vláda SR v zmysle uznesenia vlády SR č.</w:t>
      </w:r>
      <w:r w:rsidR="00216656" w:rsidRPr="004E1957">
        <w:rPr>
          <w:sz w:val="24"/>
          <w:szCs w:val="24"/>
        </w:rPr>
        <w:t xml:space="preserve"> 906/2006</w:t>
      </w:r>
      <w:r w:rsidR="00CF3BE0" w:rsidRPr="004E1957">
        <w:rPr>
          <w:sz w:val="24"/>
          <w:szCs w:val="24"/>
        </w:rPr>
        <w:t xml:space="preserve"> </w:t>
      </w:r>
      <w:r w:rsidR="00526378" w:rsidRPr="004E1957">
        <w:rPr>
          <w:sz w:val="24"/>
          <w:szCs w:val="24"/>
        </w:rPr>
        <w:t xml:space="preserve">zo dňa 25.októbra 2006 </w:t>
      </w:r>
      <w:r w:rsidR="00CF3BE0" w:rsidRPr="004E1957">
        <w:rPr>
          <w:sz w:val="24"/>
          <w:szCs w:val="24"/>
        </w:rPr>
        <w:t>poverila Slovenskú akadémiu vied prípravou Dlhodobej vízie rozvoja slovenskej spoločnosti.</w:t>
      </w:r>
      <w:r w:rsidR="00216656" w:rsidRPr="004E1957">
        <w:rPr>
          <w:sz w:val="24"/>
          <w:szCs w:val="24"/>
        </w:rPr>
        <w:t xml:space="preserve"> </w:t>
      </w:r>
      <w:r w:rsidR="002D3130" w:rsidRPr="004E1957">
        <w:rPr>
          <w:sz w:val="24"/>
          <w:szCs w:val="24"/>
        </w:rPr>
        <w:t>N</w:t>
      </w:r>
      <w:r w:rsidR="002D3130" w:rsidRPr="004237CC">
        <w:rPr>
          <w:sz w:val="24"/>
          <w:szCs w:val="24"/>
        </w:rPr>
        <w:t xml:space="preserve">a ňu nadväzujúcu </w:t>
      </w:r>
      <w:r w:rsidR="002D3130" w:rsidRPr="004237CC">
        <w:rPr>
          <w:i/>
          <w:sz w:val="24"/>
          <w:szCs w:val="24"/>
        </w:rPr>
        <w:t xml:space="preserve">Stratégiu rozvoja </w:t>
      </w:r>
      <w:r w:rsidR="00797326">
        <w:rPr>
          <w:i/>
          <w:sz w:val="24"/>
          <w:szCs w:val="24"/>
        </w:rPr>
        <w:t xml:space="preserve">slovenskej </w:t>
      </w:r>
      <w:r w:rsidR="002D3130" w:rsidRPr="004237CC">
        <w:rPr>
          <w:i/>
          <w:sz w:val="24"/>
          <w:szCs w:val="24"/>
        </w:rPr>
        <w:t xml:space="preserve">spoločnosti </w:t>
      </w:r>
      <w:r w:rsidR="002D3130" w:rsidRPr="004237CC">
        <w:rPr>
          <w:sz w:val="24"/>
          <w:szCs w:val="24"/>
        </w:rPr>
        <w:t xml:space="preserve">vzala vláda na vedomie v roku 2010. </w:t>
      </w:r>
      <w:r>
        <w:rPr>
          <w:sz w:val="24"/>
          <w:szCs w:val="24"/>
        </w:rPr>
        <w:t>V čase vzniku týchto dokumentov nebolo možné anticipovať a preto ani reflektovať pož</w:t>
      </w:r>
      <w:r w:rsidR="001C7394">
        <w:rPr>
          <w:sz w:val="24"/>
          <w:szCs w:val="24"/>
        </w:rPr>
        <w:t xml:space="preserve">iadavky Agendy </w:t>
      </w:r>
      <w:r>
        <w:rPr>
          <w:sz w:val="24"/>
          <w:szCs w:val="24"/>
        </w:rPr>
        <w:t>2030 prijatej v roku 2015. Navyše, v</w:t>
      </w:r>
      <w:r w:rsidR="00875507" w:rsidRPr="004237CC">
        <w:rPr>
          <w:sz w:val="24"/>
          <w:szCs w:val="24"/>
        </w:rPr>
        <w:t xml:space="preserve">äčšina odvetvových a prierezových stratégií, ktoré vznikli po roku 2010, neobsahuje žiadne referencie ani na jeden z vyššie uvedených dokumentov. </w:t>
      </w:r>
    </w:p>
    <w:p w:rsidR="00EA060D" w:rsidRPr="004237CC" w:rsidRDefault="00EA060D" w:rsidP="00EA060D">
      <w:pPr>
        <w:jc w:val="both"/>
        <w:rPr>
          <w:sz w:val="24"/>
          <w:szCs w:val="24"/>
        </w:rPr>
      </w:pPr>
      <w:r w:rsidRPr="004237CC">
        <w:rPr>
          <w:b/>
          <w:sz w:val="24"/>
          <w:szCs w:val="24"/>
          <w:u w:val="single"/>
        </w:rPr>
        <w:t>Rezortný verzus nadrezortný prístup.</w:t>
      </w:r>
      <w:r w:rsidRPr="004237CC">
        <w:rPr>
          <w:sz w:val="24"/>
          <w:szCs w:val="24"/>
        </w:rPr>
        <w:t xml:space="preserve"> </w:t>
      </w:r>
      <w:r w:rsidR="002C717B" w:rsidRPr="004237CC">
        <w:rPr>
          <w:sz w:val="24"/>
          <w:szCs w:val="24"/>
        </w:rPr>
        <w:t xml:space="preserve">Naliehavosť riešenia celospoločenských problémov vedie k tvorbe </w:t>
      </w:r>
      <w:r w:rsidR="002C717B" w:rsidRPr="00C63423">
        <w:rPr>
          <w:b/>
          <w:sz w:val="24"/>
          <w:szCs w:val="24"/>
        </w:rPr>
        <w:t>parciálnych stratégií, ktoré</w:t>
      </w:r>
      <w:r w:rsidR="00B53D55" w:rsidRPr="00C63423">
        <w:rPr>
          <w:b/>
          <w:sz w:val="24"/>
          <w:szCs w:val="24"/>
        </w:rPr>
        <w:t xml:space="preserve"> sú často </w:t>
      </w:r>
      <w:r w:rsidR="002C717B" w:rsidRPr="00C63423">
        <w:rPr>
          <w:b/>
          <w:sz w:val="24"/>
          <w:szCs w:val="24"/>
        </w:rPr>
        <w:t xml:space="preserve">vzájomne </w:t>
      </w:r>
      <w:r w:rsidR="002E1B84" w:rsidRPr="00C63423">
        <w:rPr>
          <w:b/>
          <w:sz w:val="24"/>
          <w:szCs w:val="24"/>
        </w:rPr>
        <w:t>nepreviazané a ani sa nedopĺňajú.</w:t>
      </w:r>
      <w:r w:rsidR="002E1B84" w:rsidRPr="004237CC">
        <w:rPr>
          <w:sz w:val="24"/>
          <w:szCs w:val="24"/>
        </w:rPr>
        <w:t xml:space="preserve"> </w:t>
      </w:r>
      <w:r w:rsidR="005D7D0A" w:rsidRPr="004237CC">
        <w:rPr>
          <w:sz w:val="24"/>
          <w:szCs w:val="24"/>
        </w:rPr>
        <w:t>Tento názor zastávajú aj medzinárodné inštitúcie vrátane OECD</w:t>
      </w:r>
      <w:r w:rsidR="003E3BB7">
        <w:rPr>
          <w:rStyle w:val="Odkaznapoznmkupodiarou"/>
          <w:sz w:val="24"/>
          <w:szCs w:val="24"/>
        </w:rPr>
        <w:footnoteReference w:id="2"/>
      </w:r>
      <w:r w:rsidR="005D7D0A" w:rsidRPr="004237CC">
        <w:rPr>
          <w:sz w:val="24"/>
          <w:szCs w:val="24"/>
        </w:rPr>
        <w:t xml:space="preserve">, ktoré dlhodobo akcentujú </w:t>
      </w:r>
      <w:r w:rsidR="00B53D55" w:rsidRPr="004237CC">
        <w:rPr>
          <w:sz w:val="24"/>
          <w:szCs w:val="24"/>
        </w:rPr>
        <w:t xml:space="preserve">potrebu zlepšiť strategické plánovanie </w:t>
      </w:r>
      <w:r w:rsidR="005D7D0A" w:rsidRPr="004237CC">
        <w:rPr>
          <w:sz w:val="24"/>
          <w:szCs w:val="24"/>
        </w:rPr>
        <w:t>na úrovni štátu.</w:t>
      </w:r>
      <w:r w:rsidR="00704116">
        <w:rPr>
          <w:sz w:val="24"/>
          <w:szCs w:val="24"/>
        </w:rPr>
        <w:t xml:space="preserve"> </w:t>
      </w:r>
      <w:r w:rsidR="009133AD">
        <w:rPr>
          <w:sz w:val="24"/>
          <w:szCs w:val="24"/>
        </w:rPr>
        <w:t>V súčasnosti</w:t>
      </w:r>
      <w:r w:rsidRPr="004237CC">
        <w:rPr>
          <w:sz w:val="24"/>
          <w:szCs w:val="24"/>
        </w:rPr>
        <w:t xml:space="preserve"> </w:t>
      </w:r>
      <w:r w:rsidR="00B71C45" w:rsidRPr="004237CC">
        <w:rPr>
          <w:sz w:val="24"/>
          <w:szCs w:val="24"/>
        </w:rPr>
        <w:t xml:space="preserve">sme </w:t>
      </w:r>
      <w:r w:rsidRPr="004237CC">
        <w:rPr>
          <w:sz w:val="24"/>
          <w:szCs w:val="24"/>
        </w:rPr>
        <w:t>napríklad</w:t>
      </w:r>
      <w:r w:rsidR="009133AD">
        <w:rPr>
          <w:sz w:val="24"/>
          <w:szCs w:val="24"/>
        </w:rPr>
        <w:t xml:space="preserve"> </w:t>
      </w:r>
      <w:r w:rsidRPr="004237CC">
        <w:rPr>
          <w:sz w:val="24"/>
          <w:szCs w:val="24"/>
        </w:rPr>
        <w:t>svedkami prípravy troch strategických dokumentov, pričom každý z</w:t>
      </w:r>
      <w:r w:rsidR="00D362B2" w:rsidRPr="004237CC">
        <w:rPr>
          <w:sz w:val="24"/>
          <w:szCs w:val="24"/>
        </w:rPr>
        <w:t> </w:t>
      </w:r>
      <w:r w:rsidRPr="004237CC">
        <w:rPr>
          <w:sz w:val="24"/>
          <w:szCs w:val="24"/>
        </w:rPr>
        <w:t>nich</w:t>
      </w:r>
      <w:r w:rsidR="00D362B2" w:rsidRPr="004237CC">
        <w:rPr>
          <w:sz w:val="24"/>
          <w:szCs w:val="24"/>
        </w:rPr>
        <w:t xml:space="preserve"> môže zásadným spôsobom </w:t>
      </w:r>
      <w:r w:rsidRPr="004237CC">
        <w:rPr>
          <w:sz w:val="24"/>
          <w:szCs w:val="24"/>
        </w:rPr>
        <w:t>ovplyvn</w:t>
      </w:r>
      <w:r w:rsidR="00D362B2" w:rsidRPr="004237CC">
        <w:rPr>
          <w:sz w:val="24"/>
          <w:szCs w:val="24"/>
        </w:rPr>
        <w:t>iť</w:t>
      </w:r>
      <w:r w:rsidRPr="004237CC">
        <w:rPr>
          <w:sz w:val="24"/>
          <w:szCs w:val="24"/>
        </w:rPr>
        <w:t xml:space="preserve"> rozvojovú trajektóriu slovenského hospodárstva a</w:t>
      </w:r>
      <w:r w:rsidR="00D362B2" w:rsidRPr="004237CC">
        <w:rPr>
          <w:sz w:val="24"/>
          <w:szCs w:val="24"/>
        </w:rPr>
        <w:t xml:space="preserve"> aj </w:t>
      </w:r>
      <w:r w:rsidRPr="004237CC">
        <w:rPr>
          <w:sz w:val="24"/>
          <w:szCs w:val="24"/>
        </w:rPr>
        <w:t xml:space="preserve">celej spoločnosti. Ministerstvo hospodárstva SR </w:t>
      </w:r>
      <w:r w:rsidR="00222948">
        <w:rPr>
          <w:sz w:val="24"/>
          <w:szCs w:val="24"/>
        </w:rPr>
        <w:t xml:space="preserve">pripravuje </w:t>
      </w:r>
      <w:r w:rsidRPr="004237CC">
        <w:rPr>
          <w:sz w:val="24"/>
          <w:szCs w:val="24"/>
        </w:rPr>
        <w:t>Stratégi</w:t>
      </w:r>
      <w:r w:rsidR="00222948">
        <w:rPr>
          <w:sz w:val="24"/>
          <w:szCs w:val="24"/>
        </w:rPr>
        <w:t>u</w:t>
      </w:r>
      <w:r w:rsidRPr="004237CC">
        <w:rPr>
          <w:sz w:val="24"/>
          <w:szCs w:val="24"/>
        </w:rPr>
        <w:t xml:space="preserve"> hospodárskej politiky do roku 2026</w:t>
      </w:r>
      <w:r w:rsidR="00222948">
        <w:rPr>
          <w:sz w:val="24"/>
          <w:szCs w:val="24"/>
        </w:rPr>
        <w:t>,</w:t>
      </w:r>
      <w:r w:rsidRPr="004237CC">
        <w:rPr>
          <w:sz w:val="24"/>
          <w:szCs w:val="24"/>
        </w:rPr>
        <w:t xml:space="preserve"> Ministerstvo životného prostredia SR je gestorom Stratégie nízkouhlíkového hospodárstva a</w:t>
      </w:r>
      <w:r w:rsidR="00B71C45">
        <w:rPr>
          <w:sz w:val="24"/>
          <w:szCs w:val="24"/>
        </w:rPr>
        <w:t> </w:t>
      </w:r>
      <w:r w:rsidR="005346B0">
        <w:rPr>
          <w:sz w:val="24"/>
          <w:szCs w:val="24"/>
        </w:rPr>
        <w:t xml:space="preserve"> </w:t>
      </w:r>
      <w:r w:rsidR="00B71C45">
        <w:rPr>
          <w:sz w:val="24"/>
          <w:szCs w:val="24"/>
        </w:rPr>
        <w:t>Ú</w:t>
      </w:r>
      <w:r w:rsidR="00731B25">
        <w:rPr>
          <w:sz w:val="24"/>
          <w:szCs w:val="24"/>
        </w:rPr>
        <w:t xml:space="preserve">PPVII </w:t>
      </w:r>
      <w:r w:rsidRPr="004237CC">
        <w:rPr>
          <w:sz w:val="24"/>
          <w:szCs w:val="24"/>
        </w:rPr>
        <w:t xml:space="preserve">má vypracovať Stratégiu udržateľného rozvoja. </w:t>
      </w:r>
      <w:r w:rsidR="00B7112E">
        <w:rPr>
          <w:sz w:val="24"/>
          <w:szCs w:val="24"/>
        </w:rPr>
        <w:t>Systémovou spoluprácou a v súčinnosti všetkých zainteresovaných strán je potrebné vytvoriť priestor pre koordinovaný prístup pre vytvorenie inštitucionálneho rámca verejných stratégií, do procesu ktorého bude zapojený či už Úrad vlády SR alebo Úrad podpredsedu vlády SR pre investície a informatizáciu.</w:t>
      </w:r>
    </w:p>
    <w:p w:rsidR="00471350" w:rsidRPr="004237CC" w:rsidRDefault="00EA060D" w:rsidP="00D362B2">
      <w:pPr>
        <w:jc w:val="both"/>
        <w:rPr>
          <w:sz w:val="24"/>
          <w:szCs w:val="24"/>
        </w:rPr>
      </w:pPr>
      <w:r w:rsidRPr="004237CC">
        <w:rPr>
          <w:b/>
          <w:sz w:val="24"/>
          <w:szCs w:val="24"/>
          <w:u w:val="single"/>
        </w:rPr>
        <w:t>Absencia stra</w:t>
      </w:r>
      <w:r w:rsidR="00750742" w:rsidRPr="004237CC">
        <w:rPr>
          <w:b/>
          <w:sz w:val="24"/>
          <w:szCs w:val="24"/>
          <w:u w:val="single"/>
        </w:rPr>
        <w:t>tegického rámca pre prioritizáciu</w:t>
      </w:r>
      <w:r w:rsidRPr="004237CC">
        <w:rPr>
          <w:b/>
          <w:sz w:val="24"/>
          <w:szCs w:val="24"/>
          <w:u w:val="single"/>
        </w:rPr>
        <w:t xml:space="preserve"> investícií.</w:t>
      </w:r>
      <w:r w:rsidRPr="004237CC">
        <w:rPr>
          <w:sz w:val="24"/>
          <w:szCs w:val="24"/>
        </w:rPr>
        <w:t xml:space="preserve"> </w:t>
      </w:r>
      <w:r w:rsidR="00750742" w:rsidRPr="004237CC">
        <w:rPr>
          <w:sz w:val="24"/>
          <w:szCs w:val="24"/>
        </w:rPr>
        <w:t xml:space="preserve">V niektorých odvetviach je </w:t>
      </w:r>
      <w:r w:rsidR="005D7D0A" w:rsidRPr="004237CC">
        <w:rPr>
          <w:sz w:val="24"/>
          <w:szCs w:val="24"/>
        </w:rPr>
        <w:t>problémom</w:t>
      </w:r>
      <w:r w:rsidR="0023729D" w:rsidRPr="004237CC">
        <w:rPr>
          <w:sz w:val="24"/>
          <w:szCs w:val="24"/>
        </w:rPr>
        <w:t xml:space="preserve"> </w:t>
      </w:r>
      <w:r w:rsidR="00750742" w:rsidRPr="004237CC">
        <w:rPr>
          <w:sz w:val="24"/>
          <w:szCs w:val="24"/>
        </w:rPr>
        <w:t xml:space="preserve">aj </w:t>
      </w:r>
      <w:r w:rsidR="00B53D55" w:rsidRPr="004237CC">
        <w:rPr>
          <w:sz w:val="24"/>
          <w:szCs w:val="24"/>
        </w:rPr>
        <w:t>absencia strategického rámca</w:t>
      </w:r>
      <w:r w:rsidR="0023729D" w:rsidRPr="004237CC">
        <w:rPr>
          <w:sz w:val="24"/>
          <w:szCs w:val="24"/>
        </w:rPr>
        <w:t xml:space="preserve">, </w:t>
      </w:r>
      <w:r w:rsidR="00B53D55" w:rsidRPr="004237CC">
        <w:rPr>
          <w:sz w:val="24"/>
          <w:szCs w:val="24"/>
        </w:rPr>
        <w:t xml:space="preserve">ktorý by umožňoval prioritizáciu investícií. </w:t>
      </w:r>
      <w:r w:rsidR="00571563" w:rsidRPr="004237CC">
        <w:rPr>
          <w:sz w:val="24"/>
          <w:szCs w:val="24"/>
        </w:rPr>
        <w:t xml:space="preserve">Od roku 2001 vláda </w:t>
      </w:r>
      <w:r w:rsidR="00797326">
        <w:rPr>
          <w:sz w:val="24"/>
          <w:szCs w:val="24"/>
        </w:rPr>
        <w:t xml:space="preserve">SR </w:t>
      </w:r>
      <w:r w:rsidR="00571563" w:rsidRPr="004237CC">
        <w:rPr>
          <w:sz w:val="24"/>
          <w:szCs w:val="24"/>
        </w:rPr>
        <w:t xml:space="preserve">prijala viac ako štyridsať odvetvových a prierezových stratégií a ďalšie sú v procese prípravy. Aj napriek uvedenému počtu strategických dokumentov Ministerstvo financií Slovenskej republiky v už zverejnenej </w:t>
      </w:r>
      <w:r w:rsidR="00A349EA">
        <w:rPr>
          <w:sz w:val="24"/>
          <w:szCs w:val="24"/>
        </w:rPr>
        <w:t>záverečnej</w:t>
      </w:r>
      <w:r w:rsidR="00A349EA" w:rsidRPr="004237CC">
        <w:rPr>
          <w:sz w:val="24"/>
          <w:szCs w:val="24"/>
        </w:rPr>
        <w:t xml:space="preserve"> </w:t>
      </w:r>
      <w:r w:rsidR="00571563" w:rsidRPr="004237CC">
        <w:rPr>
          <w:sz w:val="24"/>
          <w:szCs w:val="24"/>
        </w:rPr>
        <w:t xml:space="preserve">správe o revízii výdavkov na informatizáciu konštatuje, že </w:t>
      </w:r>
      <w:r w:rsidR="00571563" w:rsidRPr="004237CC">
        <w:rPr>
          <w:i/>
          <w:sz w:val="24"/>
          <w:szCs w:val="24"/>
        </w:rPr>
        <w:t xml:space="preserve">„budovanie dlhodobej infraštruktúry vyžaduje strategický </w:t>
      </w:r>
      <w:r w:rsidR="00571563" w:rsidRPr="004237CC">
        <w:rPr>
          <w:i/>
          <w:sz w:val="24"/>
          <w:szCs w:val="24"/>
        </w:rPr>
        <w:lastRenderedPageBreak/>
        <w:t>rámec, ktorý identifikuje prioritné oblasti investícií, definuje vzťahy a priority možných intervencií“.</w:t>
      </w:r>
      <w:r w:rsidR="00571563" w:rsidRPr="004237CC">
        <w:rPr>
          <w:sz w:val="24"/>
          <w:szCs w:val="24"/>
        </w:rPr>
        <w:t xml:space="preserve"> </w:t>
      </w:r>
      <w:r w:rsidR="0023729D" w:rsidRPr="004237CC">
        <w:rPr>
          <w:sz w:val="24"/>
          <w:szCs w:val="24"/>
        </w:rPr>
        <w:t xml:space="preserve">Zatiaľ </w:t>
      </w:r>
      <w:r w:rsidR="00571563" w:rsidRPr="004237CC">
        <w:rPr>
          <w:sz w:val="24"/>
          <w:szCs w:val="24"/>
        </w:rPr>
        <w:t>čo v oblasti informatizácie sa tento nedostatok odstránil prijatím „Národnej koncepcie informatizácie verejnej správy</w:t>
      </w:r>
      <w:r w:rsidR="008975A7">
        <w:rPr>
          <w:sz w:val="24"/>
          <w:szCs w:val="24"/>
        </w:rPr>
        <w:t xml:space="preserve">“ vládou Slovenskej republiky, </w:t>
      </w:r>
      <w:r w:rsidR="00571563" w:rsidRPr="004237CC">
        <w:rPr>
          <w:sz w:val="24"/>
          <w:szCs w:val="24"/>
        </w:rPr>
        <w:t xml:space="preserve">pre </w:t>
      </w:r>
      <w:r w:rsidR="0023729D" w:rsidRPr="004237CC">
        <w:rPr>
          <w:sz w:val="24"/>
          <w:szCs w:val="24"/>
        </w:rPr>
        <w:t xml:space="preserve">odvetvie dopravy </w:t>
      </w:r>
      <w:r w:rsidR="00571563" w:rsidRPr="004237CC">
        <w:rPr>
          <w:sz w:val="24"/>
          <w:szCs w:val="24"/>
        </w:rPr>
        <w:t>bude záväzný „Strategický plán rozvoja doprav</w:t>
      </w:r>
      <w:r w:rsidR="003E43AE">
        <w:rPr>
          <w:sz w:val="24"/>
          <w:szCs w:val="24"/>
        </w:rPr>
        <w:t xml:space="preserve">y SR </w:t>
      </w:r>
      <w:r w:rsidR="00571563" w:rsidRPr="004237CC">
        <w:rPr>
          <w:sz w:val="24"/>
          <w:szCs w:val="24"/>
        </w:rPr>
        <w:t xml:space="preserve">do roku </w:t>
      </w:r>
      <w:r w:rsidR="003E43AE" w:rsidRPr="004237CC">
        <w:rPr>
          <w:sz w:val="24"/>
          <w:szCs w:val="24"/>
        </w:rPr>
        <w:t>20</w:t>
      </w:r>
      <w:r w:rsidR="003E43AE">
        <w:rPr>
          <w:sz w:val="24"/>
          <w:szCs w:val="24"/>
        </w:rPr>
        <w:t>3</w:t>
      </w:r>
      <w:r w:rsidR="003E43AE" w:rsidRPr="004237CC">
        <w:rPr>
          <w:sz w:val="24"/>
          <w:szCs w:val="24"/>
        </w:rPr>
        <w:t>0</w:t>
      </w:r>
      <w:r w:rsidR="00571563" w:rsidRPr="004237CC">
        <w:rPr>
          <w:sz w:val="24"/>
          <w:szCs w:val="24"/>
        </w:rPr>
        <w:t>“</w:t>
      </w:r>
      <w:r w:rsidR="008975A7">
        <w:rPr>
          <w:sz w:val="24"/>
          <w:szCs w:val="24"/>
        </w:rPr>
        <w:t xml:space="preserve"> a pri podpore výskumu a inovácií „Stratégia inteligentnej špecializácie“</w:t>
      </w:r>
      <w:r w:rsidR="00571563" w:rsidRPr="004237CC">
        <w:rPr>
          <w:sz w:val="24"/>
          <w:szCs w:val="24"/>
        </w:rPr>
        <w:t xml:space="preserve">, v iných odvetviach absencia strategického rámca pre </w:t>
      </w:r>
      <w:r w:rsidR="0023729D" w:rsidRPr="004237CC">
        <w:rPr>
          <w:sz w:val="24"/>
          <w:szCs w:val="24"/>
        </w:rPr>
        <w:t xml:space="preserve">prioritizáciu </w:t>
      </w:r>
      <w:r w:rsidR="00571563" w:rsidRPr="004237CC">
        <w:rPr>
          <w:sz w:val="24"/>
          <w:szCs w:val="24"/>
        </w:rPr>
        <w:t>investíci</w:t>
      </w:r>
      <w:r w:rsidR="00750742" w:rsidRPr="004237CC">
        <w:rPr>
          <w:sz w:val="24"/>
          <w:szCs w:val="24"/>
        </w:rPr>
        <w:t>í</w:t>
      </w:r>
      <w:r w:rsidR="00571563" w:rsidRPr="004237CC">
        <w:rPr>
          <w:sz w:val="24"/>
          <w:szCs w:val="24"/>
        </w:rPr>
        <w:t xml:space="preserve"> pretrváva. </w:t>
      </w:r>
    </w:p>
    <w:p w:rsidR="004A75B7" w:rsidRPr="00150F03" w:rsidRDefault="00150F03" w:rsidP="004A75B7">
      <w:pPr>
        <w:jc w:val="both"/>
        <w:rPr>
          <w:sz w:val="24"/>
          <w:szCs w:val="24"/>
        </w:rPr>
      </w:pPr>
      <w:r>
        <w:rPr>
          <w:b/>
          <w:sz w:val="24"/>
          <w:szCs w:val="24"/>
          <w:u w:val="single"/>
        </w:rPr>
        <w:t xml:space="preserve">Výber a pripravenosť </w:t>
      </w:r>
      <w:r w:rsidR="00F3381C" w:rsidRPr="004237CC">
        <w:rPr>
          <w:b/>
          <w:sz w:val="24"/>
          <w:szCs w:val="24"/>
          <w:u w:val="single"/>
        </w:rPr>
        <w:t>projektov</w:t>
      </w:r>
      <w:r w:rsidR="007D4928" w:rsidRPr="004237CC">
        <w:rPr>
          <w:b/>
          <w:sz w:val="24"/>
          <w:szCs w:val="24"/>
          <w:u w:val="single"/>
        </w:rPr>
        <w:t>.</w:t>
      </w:r>
      <w:r w:rsidR="007D4928" w:rsidRPr="004237CC">
        <w:rPr>
          <w:b/>
          <w:sz w:val="24"/>
          <w:szCs w:val="24"/>
        </w:rPr>
        <w:t xml:space="preserve"> </w:t>
      </w:r>
      <w:r w:rsidR="00471350" w:rsidRPr="004237CC">
        <w:rPr>
          <w:sz w:val="24"/>
          <w:szCs w:val="24"/>
        </w:rPr>
        <w:t xml:space="preserve">Aj v tých odvetviach, pre ktoré existuje strategický rámec s definovanými cieľmi, sa proces </w:t>
      </w:r>
      <w:r w:rsidR="00F3381C" w:rsidRPr="004237CC">
        <w:rPr>
          <w:sz w:val="24"/>
          <w:szCs w:val="24"/>
        </w:rPr>
        <w:t xml:space="preserve">výberu </w:t>
      </w:r>
      <w:r w:rsidR="00471350" w:rsidRPr="004237CC">
        <w:rPr>
          <w:sz w:val="24"/>
          <w:szCs w:val="24"/>
        </w:rPr>
        <w:t xml:space="preserve">konkrétnych infraštruktúrnych </w:t>
      </w:r>
      <w:r w:rsidR="00B409B2" w:rsidRPr="004237CC">
        <w:rPr>
          <w:sz w:val="24"/>
          <w:szCs w:val="24"/>
        </w:rPr>
        <w:t>pro</w:t>
      </w:r>
      <w:r w:rsidR="00B409B2">
        <w:rPr>
          <w:sz w:val="24"/>
          <w:szCs w:val="24"/>
        </w:rPr>
        <w:t>gramov</w:t>
      </w:r>
      <w:r w:rsidR="00471350" w:rsidRPr="004237CC">
        <w:rPr>
          <w:sz w:val="24"/>
          <w:szCs w:val="24"/>
        </w:rPr>
        <w:t>/pro</w:t>
      </w:r>
      <w:r w:rsidR="00B409B2">
        <w:rPr>
          <w:sz w:val="24"/>
          <w:szCs w:val="24"/>
        </w:rPr>
        <w:t>jektov</w:t>
      </w:r>
      <w:r w:rsidR="00471350" w:rsidRPr="004237CC">
        <w:rPr>
          <w:sz w:val="24"/>
          <w:szCs w:val="24"/>
        </w:rPr>
        <w:t xml:space="preserve"> </w:t>
      </w:r>
      <w:r w:rsidR="00FF4766">
        <w:rPr>
          <w:sz w:val="24"/>
          <w:szCs w:val="24"/>
        </w:rPr>
        <w:t xml:space="preserve">nie vždy opiera </w:t>
      </w:r>
      <w:r w:rsidR="00471350" w:rsidRPr="004237CC">
        <w:rPr>
          <w:sz w:val="24"/>
          <w:szCs w:val="24"/>
        </w:rPr>
        <w:t>o</w:t>
      </w:r>
      <w:r w:rsidR="00F3381C" w:rsidRPr="004237CC">
        <w:rPr>
          <w:sz w:val="24"/>
          <w:szCs w:val="24"/>
        </w:rPr>
        <w:t> </w:t>
      </w:r>
      <w:r w:rsidR="00471350" w:rsidRPr="004237CC">
        <w:rPr>
          <w:sz w:val="24"/>
          <w:szCs w:val="24"/>
        </w:rPr>
        <w:t>preukázanie</w:t>
      </w:r>
      <w:r w:rsidR="00F3381C" w:rsidRPr="004237CC">
        <w:rPr>
          <w:sz w:val="24"/>
          <w:szCs w:val="24"/>
        </w:rPr>
        <w:t xml:space="preserve"> </w:t>
      </w:r>
      <w:r w:rsidR="00471350" w:rsidRPr="004237CC">
        <w:rPr>
          <w:sz w:val="24"/>
          <w:szCs w:val="24"/>
        </w:rPr>
        <w:t xml:space="preserve">ich príspevku </w:t>
      </w:r>
      <w:r w:rsidR="00750742" w:rsidRPr="004237CC">
        <w:rPr>
          <w:sz w:val="24"/>
          <w:szCs w:val="24"/>
        </w:rPr>
        <w:t xml:space="preserve">k naplneniu </w:t>
      </w:r>
      <w:r w:rsidR="00471350" w:rsidRPr="004237CC">
        <w:rPr>
          <w:sz w:val="24"/>
          <w:szCs w:val="24"/>
        </w:rPr>
        <w:t xml:space="preserve">sledovaných cieľov. </w:t>
      </w:r>
      <w:r w:rsidR="007D4928" w:rsidRPr="004237CC">
        <w:rPr>
          <w:sz w:val="24"/>
          <w:szCs w:val="24"/>
        </w:rPr>
        <w:t>Systémové nedostatky vykazuje aj monitorovanie pokroku od</w:t>
      </w:r>
      <w:r w:rsidR="00F3381C" w:rsidRPr="004237CC">
        <w:rPr>
          <w:sz w:val="24"/>
          <w:szCs w:val="24"/>
        </w:rPr>
        <w:t xml:space="preserve"> prvotnej úvahy o potrebe novej infrašt</w:t>
      </w:r>
      <w:r w:rsidR="00F3381C" w:rsidRPr="00A7398F">
        <w:rPr>
          <w:sz w:val="24"/>
          <w:szCs w:val="24"/>
        </w:rPr>
        <w:t>ruktúry</w:t>
      </w:r>
      <w:r w:rsidR="001F3365" w:rsidRPr="00A7398F">
        <w:rPr>
          <w:sz w:val="24"/>
          <w:szCs w:val="24"/>
        </w:rPr>
        <w:t xml:space="preserve"> </w:t>
      </w:r>
      <w:r w:rsidR="007D4928" w:rsidRPr="00A7398F">
        <w:rPr>
          <w:sz w:val="24"/>
          <w:szCs w:val="24"/>
        </w:rPr>
        <w:t xml:space="preserve">až </w:t>
      </w:r>
      <w:r w:rsidR="001F3365" w:rsidRPr="00A7398F">
        <w:rPr>
          <w:sz w:val="24"/>
          <w:szCs w:val="24"/>
        </w:rPr>
        <w:t>po rozhodnutie o jej realizácii</w:t>
      </w:r>
      <w:r w:rsidR="004B7388" w:rsidRPr="00A7398F">
        <w:rPr>
          <w:sz w:val="24"/>
          <w:szCs w:val="24"/>
        </w:rPr>
        <w:t xml:space="preserve"> a to aj z dôvodu významnej absencie systémového prvku plnenia ex ante k</w:t>
      </w:r>
      <w:r w:rsidR="00A7398F">
        <w:rPr>
          <w:sz w:val="24"/>
          <w:szCs w:val="24"/>
        </w:rPr>
        <w:t>ondicionalít</w:t>
      </w:r>
      <w:r w:rsidR="004B7388" w:rsidRPr="00A7398F">
        <w:rPr>
          <w:sz w:val="24"/>
          <w:szCs w:val="24"/>
        </w:rPr>
        <w:t>, ktoré nútia odvetvia vytvárať dostatočné inštitucionálne rámce pre zvýšenie efektivity a schopnosti stanoviť priority rozvoja</w:t>
      </w:r>
      <w:r w:rsidR="001F3365" w:rsidRPr="00A7398F">
        <w:rPr>
          <w:sz w:val="24"/>
          <w:szCs w:val="24"/>
        </w:rPr>
        <w:t xml:space="preserve">. </w:t>
      </w:r>
      <w:r w:rsidR="00471350" w:rsidRPr="00A7398F">
        <w:rPr>
          <w:sz w:val="24"/>
          <w:szCs w:val="24"/>
        </w:rPr>
        <w:t xml:space="preserve">Návrhy na niektoré </w:t>
      </w:r>
      <w:r w:rsidR="007D4928" w:rsidRPr="00A7398F">
        <w:rPr>
          <w:sz w:val="24"/>
          <w:szCs w:val="24"/>
        </w:rPr>
        <w:t>investičné projek</w:t>
      </w:r>
      <w:r w:rsidR="007D4928" w:rsidRPr="004237CC">
        <w:rPr>
          <w:sz w:val="24"/>
          <w:szCs w:val="24"/>
        </w:rPr>
        <w:t xml:space="preserve">ty </w:t>
      </w:r>
      <w:r w:rsidR="00471350" w:rsidRPr="004237CC">
        <w:rPr>
          <w:sz w:val="24"/>
          <w:szCs w:val="24"/>
        </w:rPr>
        <w:t>zostávajú</w:t>
      </w:r>
      <w:r w:rsidR="007D4928" w:rsidRPr="004237CC">
        <w:rPr>
          <w:sz w:val="24"/>
          <w:szCs w:val="24"/>
        </w:rPr>
        <w:t xml:space="preserve"> </w:t>
      </w:r>
      <w:r w:rsidR="00471350" w:rsidRPr="004237CC">
        <w:rPr>
          <w:sz w:val="24"/>
          <w:szCs w:val="24"/>
        </w:rPr>
        <w:t xml:space="preserve">v rovine </w:t>
      </w:r>
      <w:r w:rsidR="007D4928" w:rsidRPr="004237CC">
        <w:rPr>
          <w:sz w:val="24"/>
          <w:szCs w:val="24"/>
        </w:rPr>
        <w:t xml:space="preserve">deklarácií či sporadických odkazov vo </w:t>
      </w:r>
      <w:r w:rsidR="00471350" w:rsidRPr="004237CC">
        <w:rPr>
          <w:sz w:val="24"/>
          <w:szCs w:val="24"/>
        </w:rPr>
        <w:t xml:space="preserve">vládnych </w:t>
      </w:r>
      <w:r w:rsidR="007D4928" w:rsidRPr="004237CC">
        <w:rPr>
          <w:sz w:val="24"/>
          <w:szCs w:val="24"/>
        </w:rPr>
        <w:t xml:space="preserve">vyhláseniach </w:t>
      </w:r>
      <w:r w:rsidR="00471350" w:rsidRPr="004237CC">
        <w:rPr>
          <w:sz w:val="24"/>
          <w:szCs w:val="24"/>
        </w:rPr>
        <w:t xml:space="preserve">bez toho, aby </w:t>
      </w:r>
      <w:r w:rsidR="007D4928" w:rsidRPr="004237CC">
        <w:rPr>
          <w:sz w:val="24"/>
          <w:szCs w:val="24"/>
        </w:rPr>
        <w:t>príslušný rezort inicioval napríklad vypraco</w:t>
      </w:r>
      <w:r w:rsidR="00F3381C" w:rsidRPr="004237CC">
        <w:rPr>
          <w:sz w:val="24"/>
          <w:szCs w:val="24"/>
        </w:rPr>
        <w:t xml:space="preserve">vanie štúdie uskutočniteľnosti. Na iné nedostatky súvisiace s hodnotením ekonomickej výhodnosti poukazuje vo svojich materiáloch Ministerstvo financií Slovenskej republiky. </w:t>
      </w:r>
      <w:r w:rsidR="00EF3AEC">
        <w:rPr>
          <w:sz w:val="24"/>
          <w:szCs w:val="24"/>
        </w:rPr>
        <w:t xml:space="preserve">Určenie </w:t>
      </w:r>
      <w:r w:rsidR="00F3381C" w:rsidRPr="004237CC">
        <w:rPr>
          <w:sz w:val="24"/>
          <w:szCs w:val="24"/>
        </w:rPr>
        <w:t>jasných kritérií pre ex ante hodnotenie projektov, ich konzistentné uplatňovanie</w:t>
      </w:r>
      <w:r w:rsidR="00083B11">
        <w:rPr>
          <w:sz w:val="24"/>
          <w:szCs w:val="24"/>
        </w:rPr>
        <w:t>,</w:t>
      </w:r>
      <w:r w:rsidR="00F3381C" w:rsidRPr="004237CC">
        <w:rPr>
          <w:sz w:val="24"/>
          <w:szCs w:val="24"/>
        </w:rPr>
        <w:t xml:space="preserve"> ako aj inštitucionalizácia vzťahov medzi subjektmi zapojenými do tohto procesu</w:t>
      </w:r>
      <w:r w:rsidR="006F7645">
        <w:rPr>
          <w:sz w:val="24"/>
          <w:szCs w:val="24"/>
        </w:rPr>
        <w:t>,</w:t>
      </w:r>
      <w:r w:rsidR="00F3381C" w:rsidRPr="004237CC">
        <w:rPr>
          <w:sz w:val="24"/>
          <w:szCs w:val="24"/>
        </w:rPr>
        <w:t xml:space="preserve"> sú základným predpokladom skvalitnenia výberu projektov a ich následného zaradenia do NIP SR. </w:t>
      </w:r>
      <w:r w:rsidR="001F3365" w:rsidRPr="004237CC">
        <w:rPr>
          <w:sz w:val="24"/>
          <w:szCs w:val="24"/>
        </w:rPr>
        <w:t xml:space="preserve">Dôraz na výber projektov je dôležitý aj v kontexte vysokého podielu </w:t>
      </w:r>
      <w:r w:rsidR="00B4635F">
        <w:rPr>
          <w:sz w:val="24"/>
          <w:szCs w:val="24"/>
        </w:rPr>
        <w:t>E</w:t>
      </w:r>
      <w:r w:rsidR="00797326">
        <w:rPr>
          <w:sz w:val="24"/>
          <w:szCs w:val="24"/>
        </w:rPr>
        <w:t>urópskych štrukturálnych a investičných fondov (ďalej len „</w:t>
      </w:r>
      <w:r w:rsidR="001F3365" w:rsidRPr="004237CC">
        <w:rPr>
          <w:sz w:val="24"/>
          <w:szCs w:val="24"/>
        </w:rPr>
        <w:t>EŠIF</w:t>
      </w:r>
      <w:r w:rsidR="00797326">
        <w:rPr>
          <w:sz w:val="24"/>
          <w:szCs w:val="24"/>
        </w:rPr>
        <w:t>“)</w:t>
      </w:r>
      <w:r w:rsidR="001F3365" w:rsidRPr="004237CC">
        <w:rPr>
          <w:sz w:val="24"/>
          <w:szCs w:val="24"/>
        </w:rPr>
        <w:t xml:space="preserve"> na verejných investíciách a silnejúceho tlaku na ich výsledkovú orientáciu. </w:t>
      </w:r>
      <w:r w:rsidR="004A75B7" w:rsidRPr="004237CC">
        <w:rPr>
          <w:sz w:val="24"/>
          <w:szCs w:val="24"/>
        </w:rPr>
        <w:t xml:space="preserve">Slabá pripravenosť projektovej prípravy sa naplno prejavila pri tvorbe zásobníka </w:t>
      </w:r>
      <w:r w:rsidR="00912E43">
        <w:rPr>
          <w:sz w:val="24"/>
          <w:szCs w:val="24"/>
        </w:rPr>
        <w:t xml:space="preserve">(zoznamu) </w:t>
      </w:r>
      <w:r w:rsidR="004A75B7" w:rsidRPr="004237CC">
        <w:rPr>
          <w:sz w:val="24"/>
          <w:szCs w:val="24"/>
        </w:rPr>
        <w:t>projektov pre Európsky fond strategických in</w:t>
      </w:r>
      <w:r>
        <w:rPr>
          <w:sz w:val="24"/>
          <w:szCs w:val="24"/>
        </w:rPr>
        <w:t xml:space="preserve">vestícií (v ďalšom len „EFSI“) ako súčasti </w:t>
      </w:r>
      <w:r w:rsidR="004A75B7" w:rsidRPr="004237CC">
        <w:rPr>
          <w:sz w:val="24"/>
          <w:szCs w:val="24"/>
        </w:rPr>
        <w:t xml:space="preserve">tzv. </w:t>
      </w:r>
      <w:r w:rsidR="009423F3">
        <w:rPr>
          <w:sz w:val="24"/>
          <w:szCs w:val="24"/>
        </w:rPr>
        <w:t>Investičného plánu pre Európu</w:t>
      </w:r>
      <w:r w:rsidR="004A75B7" w:rsidRPr="004237CC">
        <w:rPr>
          <w:sz w:val="24"/>
          <w:szCs w:val="24"/>
        </w:rPr>
        <w:t>.</w:t>
      </w:r>
      <w:r w:rsidR="007D1397">
        <w:rPr>
          <w:rStyle w:val="Odkaznapoznmkupodiarou"/>
          <w:sz w:val="24"/>
          <w:szCs w:val="24"/>
        </w:rPr>
        <w:footnoteReference w:id="3"/>
      </w:r>
      <w:r w:rsidR="004A75B7" w:rsidRPr="004237CC">
        <w:rPr>
          <w:sz w:val="24"/>
          <w:szCs w:val="24"/>
        </w:rPr>
        <w:t xml:space="preserve"> Jednou z podmienok získania zdrojov </w:t>
      </w:r>
      <w:r w:rsidR="00797326">
        <w:rPr>
          <w:sz w:val="24"/>
          <w:szCs w:val="24"/>
        </w:rPr>
        <w:t xml:space="preserve">z </w:t>
      </w:r>
      <w:r w:rsidR="004A75B7" w:rsidRPr="004237CC">
        <w:rPr>
          <w:sz w:val="24"/>
          <w:szCs w:val="24"/>
        </w:rPr>
        <w:t xml:space="preserve">EFSI </w:t>
      </w:r>
      <w:r w:rsidR="00B43E09">
        <w:rPr>
          <w:sz w:val="24"/>
          <w:szCs w:val="24"/>
        </w:rPr>
        <w:t>je</w:t>
      </w:r>
      <w:r w:rsidR="004A75B7" w:rsidRPr="004237CC">
        <w:rPr>
          <w:sz w:val="24"/>
          <w:szCs w:val="24"/>
        </w:rPr>
        <w:t xml:space="preserve">, aby sa realizácia projektu začala najneskôr do konca roka 2017. Skúsenosti ukazujú, že príprava veľkých infraštruktúrnych projektov trvá spravidla päť až desať rokov (stavebné konanie, výkupy pozemkov, </w:t>
      </w:r>
      <w:r w:rsidR="00797326">
        <w:rPr>
          <w:sz w:val="24"/>
          <w:szCs w:val="24"/>
        </w:rPr>
        <w:t>posudzovanie vplyvov</w:t>
      </w:r>
      <w:r w:rsidR="004A75B7" w:rsidRPr="004237CC">
        <w:rPr>
          <w:sz w:val="24"/>
          <w:szCs w:val="24"/>
        </w:rPr>
        <w:t xml:space="preserve"> na životné prostredie, posudzovanie alternatív a pod.). V súčasnosti je v indikatívnom zásobníku projektov SR pre EFSI 125 projektov v ce</w:t>
      </w:r>
      <w:r>
        <w:rPr>
          <w:sz w:val="24"/>
          <w:szCs w:val="24"/>
        </w:rPr>
        <w:t xml:space="preserve">lkovej výške 28,95 miliardy eur, pričom realizácia len veľmi malého percenta z nich by mohla začať v roku 2017. </w:t>
      </w:r>
      <w:r w:rsidR="004A75B7" w:rsidRPr="004237CC">
        <w:rPr>
          <w:sz w:val="24"/>
          <w:szCs w:val="24"/>
        </w:rPr>
        <w:t xml:space="preserve">K 30. </w:t>
      </w:r>
      <w:r>
        <w:rPr>
          <w:sz w:val="24"/>
          <w:szCs w:val="24"/>
        </w:rPr>
        <w:t xml:space="preserve">októbru </w:t>
      </w:r>
      <w:r w:rsidR="004A75B7" w:rsidRPr="004237CC">
        <w:rPr>
          <w:sz w:val="24"/>
          <w:szCs w:val="24"/>
        </w:rPr>
        <w:t xml:space="preserve">2016 bol z EFSI pre SR schválený len jeden projekt, t.j. diaľničný obchvat Bratislavy D4, na ktorý poskytla Európska investičná banka úver vo výške 426 miliónov eur. </w:t>
      </w:r>
    </w:p>
    <w:p w:rsidR="001F3365" w:rsidRDefault="001F3365" w:rsidP="00D362B2">
      <w:pPr>
        <w:jc w:val="both"/>
        <w:rPr>
          <w:b/>
          <w:sz w:val="24"/>
          <w:szCs w:val="24"/>
        </w:rPr>
      </w:pPr>
    </w:p>
    <w:p w:rsidR="00835016" w:rsidRPr="0082382B" w:rsidRDefault="00835016" w:rsidP="00D362B2">
      <w:pPr>
        <w:jc w:val="both"/>
        <w:rPr>
          <w:b/>
          <w:sz w:val="24"/>
          <w:szCs w:val="24"/>
        </w:rPr>
      </w:pPr>
    </w:p>
    <w:p w:rsidR="00D362B2" w:rsidRPr="0082382B" w:rsidRDefault="003B7FCE" w:rsidP="00BE6501">
      <w:pPr>
        <w:pStyle w:val="Nadpis1"/>
        <w:rPr>
          <w:b/>
          <w:sz w:val="24"/>
          <w:szCs w:val="24"/>
        </w:rPr>
      </w:pPr>
      <w:r w:rsidRPr="0082382B">
        <w:rPr>
          <w:b/>
          <w:sz w:val="24"/>
          <w:szCs w:val="24"/>
        </w:rPr>
        <w:lastRenderedPageBreak/>
        <w:t xml:space="preserve">Cestovná mapa k Národnému infraštruktúrnemu plánu Slovenskej republiky na </w:t>
      </w:r>
      <w:r w:rsidR="00610B16">
        <w:rPr>
          <w:b/>
          <w:sz w:val="24"/>
          <w:szCs w:val="24"/>
        </w:rPr>
        <w:t xml:space="preserve">roky </w:t>
      </w:r>
      <w:r w:rsidRPr="0082382B">
        <w:rPr>
          <w:b/>
          <w:sz w:val="24"/>
          <w:szCs w:val="24"/>
        </w:rPr>
        <w:t xml:space="preserve">2018 </w:t>
      </w:r>
      <w:r w:rsidR="009F2A21" w:rsidRPr="0082382B">
        <w:rPr>
          <w:b/>
          <w:sz w:val="24"/>
          <w:szCs w:val="24"/>
        </w:rPr>
        <w:t>–</w:t>
      </w:r>
      <w:r w:rsidRPr="0082382B">
        <w:rPr>
          <w:b/>
          <w:sz w:val="24"/>
          <w:szCs w:val="24"/>
        </w:rPr>
        <w:t xml:space="preserve"> 2030</w:t>
      </w:r>
    </w:p>
    <w:p w:rsidR="00297C5F" w:rsidRPr="001A17F2" w:rsidRDefault="001F3365" w:rsidP="001A17F2">
      <w:pPr>
        <w:jc w:val="both"/>
        <w:rPr>
          <w:rFonts w:ascii="Times New Roman" w:hAnsi="Times New Roman"/>
          <w:sz w:val="24"/>
          <w:szCs w:val="24"/>
        </w:rPr>
      </w:pPr>
      <w:r w:rsidRPr="00B035DC">
        <w:rPr>
          <w:sz w:val="24"/>
          <w:szCs w:val="24"/>
        </w:rPr>
        <w:t>Prvý</w:t>
      </w:r>
      <w:r w:rsidR="00C8286F" w:rsidRPr="00B035DC">
        <w:rPr>
          <w:sz w:val="24"/>
          <w:szCs w:val="24"/>
        </w:rPr>
        <w:t>, resp. pilotný,</w:t>
      </w:r>
      <w:r w:rsidRPr="00B035DC">
        <w:rPr>
          <w:sz w:val="24"/>
          <w:szCs w:val="24"/>
        </w:rPr>
        <w:t xml:space="preserve"> </w:t>
      </w:r>
      <w:r w:rsidR="007E1801" w:rsidRPr="00B035DC">
        <w:rPr>
          <w:sz w:val="24"/>
          <w:szCs w:val="24"/>
        </w:rPr>
        <w:t>Národný infraštruktúrny plán</w:t>
      </w:r>
      <w:r w:rsidR="00397D86" w:rsidRPr="00B035DC">
        <w:rPr>
          <w:sz w:val="24"/>
          <w:szCs w:val="24"/>
        </w:rPr>
        <w:t xml:space="preserve"> v podmienkach SR </w:t>
      </w:r>
      <w:r w:rsidRPr="00B035DC">
        <w:rPr>
          <w:sz w:val="24"/>
          <w:szCs w:val="24"/>
        </w:rPr>
        <w:t xml:space="preserve">nemôže s ohľadom na vyššie popísané obmedzenia </w:t>
      </w:r>
      <w:r w:rsidR="00397D86" w:rsidRPr="00B035DC">
        <w:rPr>
          <w:sz w:val="24"/>
          <w:szCs w:val="24"/>
        </w:rPr>
        <w:t xml:space="preserve">splniť všetky kritéria, ktoré kladú na tento dokument vyspelé štáty. Povedané inými slovami, </w:t>
      </w:r>
      <w:r w:rsidR="003D2ACB" w:rsidRPr="00B035DC">
        <w:rPr>
          <w:sz w:val="24"/>
          <w:szCs w:val="24"/>
        </w:rPr>
        <w:t>pilotný</w:t>
      </w:r>
      <w:r w:rsidR="00397D86" w:rsidRPr="00B035DC">
        <w:rPr>
          <w:sz w:val="24"/>
          <w:szCs w:val="24"/>
        </w:rPr>
        <w:t xml:space="preserve"> NIP SR nebude dokonalý, ale </w:t>
      </w:r>
      <w:r w:rsidR="00F15BE7" w:rsidRPr="00B035DC">
        <w:rPr>
          <w:sz w:val="24"/>
          <w:szCs w:val="24"/>
        </w:rPr>
        <w:t xml:space="preserve">je potrebné ho vytvoriť, aby </w:t>
      </w:r>
      <w:r w:rsidR="00150F03" w:rsidRPr="00B035DC">
        <w:rPr>
          <w:sz w:val="24"/>
          <w:szCs w:val="24"/>
        </w:rPr>
        <w:t xml:space="preserve">inštitucionalizoval </w:t>
      </w:r>
      <w:r w:rsidR="00F15BE7" w:rsidRPr="00B035DC">
        <w:rPr>
          <w:sz w:val="24"/>
          <w:szCs w:val="24"/>
        </w:rPr>
        <w:t xml:space="preserve">proces </w:t>
      </w:r>
      <w:r w:rsidR="00150F03" w:rsidRPr="00B035DC">
        <w:rPr>
          <w:sz w:val="24"/>
          <w:szCs w:val="24"/>
        </w:rPr>
        <w:t>strategického riadenia.</w:t>
      </w:r>
      <w:r w:rsidR="00F15BE7" w:rsidRPr="00B035DC">
        <w:rPr>
          <w:sz w:val="24"/>
          <w:szCs w:val="24"/>
        </w:rPr>
        <w:t xml:space="preserve"> </w:t>
      </w:r>
      <w:r w:rsidR="00B655B4" w:rsidRPr="00B035DC">
        <w:rPr>
          <w:sz w:val="24"/>
          <w:szCs w:val="24"/>
        </w:rPr>
        <w:t>Aj v samotn</w:t>
      </w:r>
      <w:r w:rsidR="005C3856" w:rsidRPr="00B035DC">
        <w:rPr>
          <w:sz w:val="24"/>
          <w:szCs w:val="24"/>
        </w:rPr>
        <w:t>om</w:t>
      </w:r>
      <w:r w:rsidR="00B655B4" w:rsidRPr="00B035DC">
        <w:rPr>
          <w:sz w:val="24"/>
          <w:szCs w:val="24"/>
        </w:rPr>
        <w:t xml:space="preserve"> </w:t>
      </w:r>
      <w:r w:rsidR="005C3856" w:rsidRPr="00B035DC">
        <w:rPr>
          <w:sz w:val="24"/>
          <w:szCs w:val="24"/>
        </w:rPr>
        <w:t xml:space="preserve">Spojenom kráľovstve </w:t>
      </w:r>
      <w:r w:rsidR="00B655B4" w:rsidRPr="00B035DC">
        <w:rPr>
          <w:sz w:val="24"/>
          <w:szCs w:val="24"/>
        </w:rPr>
        <w:t>prešiel p</w:t>
      </w:r>
      <w:r w:rsidR="005C3856" w:rsidRPr="00B035DC">
        <w:rPr>
          <w:sz w:val="24"/>
          <w:szCs w:val="24"/>
        </w:rPr>
        <w:t>ilotný</w:t>
      </w:r>
      <w:r w:rsidR="00B655B4" w:rsidRPr="00B035DC">
        <w:rPr>
          <w:sz w:val="24"/>
          <w:szCs w:val="24"/>
        </w:rPr>
        <w:t xml:space="preserve"> NIP z roku 2010 revíziou, ktorá následne viedla k zásadným zmenám v kompetenciách zainte</w:t>
      </w:r>
      <w:r w:rsidR="00397D86" w:rsidRPr="00B035DC">
        <w:rPr>
          <w:sz w:val="24"/>
          <w:szCs w:val="24"/>
        </w:rPr>
        <w:t xml:space="preserve">resovaných verejných inštitúcií (príklad </w:t>
      </w:r>
      <w:r w:rsidR="005C3856" w:rsidRPr="00B035DC">
        <w:rPr>
          <w:sz w:val="24"/>
          <w:szCs w:val="24"/>
        </w:rPr>
        <w:t xml:space="preserve">Spojeného kráľovstva </w:t>
      </w:r>
      <w:r w:rsidR="00397D86" w:rsidRPr="00B035DC">
        <w:rPr>
          <w:sz w:val="24"/>
          <w:szCs w:val="24"/>
        </w:rPr>
        <w:t>opisuje p</w:t>
      </w:r>
      <w:r w:rsidR="00B655B4" w:rsidRPr="00B035DC">
        <w:rPr>
          <w:sz w:val="24"/>
          <w:szCs w:val="24"/>
        </w:rPr>
        <w:t>ríloha č. 1 predkladaného materiálu</w:t>
      </w:r>
      <w:r w:rsidR="00397D86" w:rsidRPr="00B035DC">
        <w:rPr>
          <w:sz w:val="24"/>
          <w:szCs w:val="24"/>
        </w:rPr>
        <w:t>)</w:t>
      </w:r>
      <w:r w:rsidR="00B655B4" w:rsidRPr="00B035DC">
        <w:rPr>
          <w:sz w:val="24"/>
          <w:szCs w:val="24"/>
        </w:rPr>
        <w:t>.</w:t>
      </w:r>
      <w:r w:rsidR="00B655B4" w:rsidRPr="004237CC">
        <w:rPr>
          <w:sz w:val="24"/>
          <w:szCs w:val="24"/>
        </w:rPr>
        <w:t xml:space="preserve"> </w:t>
      </w:r>
      <w:r w:rsidR="001A17F2">
        <w:rPr>
          <w:rFonts w:ascii="Times New Roman" w:hAnsi="Times New Roman"/>
          <w:sz w:val="24"/>
          <w:szCs w:val="24"/>
        </w:rPr>
        <w:t>V </w:t>
      </w:r>
      <w:r w:rsidR="001A17F2" w:rsidRPr="00F471FE">
        <w:rPr>
          <w:rFonts w:ascii="Times New Roman" w:hAnsi="Times New Roman"/>
          <w:sz w:val="24"/>
          <w:szCs w:val="24"/>
        </w:rPr>
        <w:t>prípade</w:t>
      </w:r>
      <w:r w:rsidR="001A17F2">
        <w:rPr>
          <w:rFonts w:ascii="Times New Roman" w:hAnsi="Times New Roman"/>
          <w:sz w:val="24"/>
          <w:szCs w:val="24"/>
        </w:rPr>
        <w:t xml:space="preserve">, </w:t>
      </w:r>
      <w:r w:rsidR="001A17F2" w:rsidRPr="00F471FE">
        <w:rPr>
          <w:rFonts w:ascii="Times New Roman" w:hAnsi="Times New Roman"/>
          <w:sz w:val="24"/>
          <w:szCs w:val="24"/>
        </w:rPr>
        <w:t>ak sa</w:t>
      </w:r>
      <w:r w:rsidR="001A17F2">
        <w:rPr>
          <w:rFonts w:ascii="Times New Roman" w:hAnsi="Times New Roman"/>
          <w:sz w:val="24"/>
          <w:szCs w:val="24"/>
        </w:rPr>
        <w:t xml:space="preserve"> napríklad </w:t>
      </w:r>
      <w:r w:rsidR="001A17F2" w:rsidRPr="00F471FE">
        <w:rPr>
          <w:rFonts w:ascii="Times New Roman" w:hAnsi="Times New Roman"/>
          <w:sz w:val="24"/>
          <w:szCs w:val="24"/>
        </w:rPr>
        <w:t xml:space="preserve">v priebehu </w:t>
      </w:r>
      <w:r w:rsidR="001A17F2">
        <w:rPr>
          <w:rFonts w:ascii="Times New Roman" w:hAnsi="Times New Roman"/>
          <w:sz w:val="24"/>
          <w:szCs w:val="24"/>
        </w:rPr>
        <w:t>i</w:t>
      </w:r>
      <w:r w:rsidR="001A17F2" w:rsidRPr="00F471FE">
        <w:rPr>
          <w:rFonts w:ascii="Times New Roman" w:hAnsi="Times New Roman"/>
          <w:sz w:val="24"/>
          <w:szCs w:val="24"/>
        </w:rPr>
        <w:t xml:space="preserve">mplementácie </w:t>
      </w:r>
      <w:r w:rsidR="001A17F2">
        <w:rPr>
          <w:rFonts w:ascii="Times New Roman" w:hAnsi="Times New Roman"/>
          <w:sz w:val="24"/>
          <w:szCs w:val="24"/>
        </w:rPr>
        <w:t>C</w:t>
      </w:r>
      <w:r w:rsidR="001A17F2" w:rsidRPr="00F471FE">
        <w:rPr>
          <w:rFonts w:ascii="Times New Roman" w:hAnsi="Times New Roman"/>
          <w:sz w:val="24"/>
          <w:szCs w:val="24"/>
        </w:rPr>
        <w:t>estovnej mapy k</w:t>
      </w:r>
      <w:r w:rsidR="001A17F2">
        <w:rPr>
          <w:rFonts w:ascii="Times New Roman" w:hAnsi="Times New Roman"/>
          <w:sz w:val="24"/>
          <w:szCs w:val="24"/>
        </w:rPr>
        <w:t> </w:t>
      </w:r>
      <w:r w:rsidR="001A17F2" w:rsidRPr="00F471FE">
        <w:rPr>
          <w:rFonts w:ascii="Times New Roman" w:hAnsi="Times New Roman"/>
          <w:sz w:val="24"/>
          <w:szCs w:val="24"/>
        </w:rPr>
        <w:t>NIP</w:t>
      </w:r>
      <w:r w:rsidR="001A17F2">
        <w:rPr>
          <w:rFonts w:ascii="Times New Roman" w:hAnsi="Times New Roman"/>
          <w:sz w:val="24"/>
          <w:szCs w:val="24"/>
        </w:rPr>
        <w:t xml:space="preserve"> SR</w:t>
      </w:r>
      <w:r w:rsidR="001A17F2" w:rsidRPr="00F471FE">
        <w:rPr>
          <w:rFonts w:ascii="Times New Roman" w:hAnsi="Times New Roman"/>
          <w:sz w:val="24"/>
          <w:szCs w:val="24"/>
        </w:rPr>
        <w:t xml:space="preserve"> preukáže potreba skrátiť časový horizont</w:t>
      </w:r>
      <w:r w:rsidR="001A17F2">
        <w:rPr>
          <w:rFonts w:ascii="Times New Roman" w:hAnsi="Times New Roman"/>
          <w:sz w:val="24"/>
          <w:szCs w:val="24"/>
        </w:rPr>
        <w:t xml:space="preserve"> NIP SR, bude tento revidovaný. </w:t>
      </w:r>
    </w:p>
    <w:p w:rsidR="00B655B4" w:rsidRPr="004237CC" w:rsidRDefault="00B655B4" w:rsidP="00F0422C">
      <w:pPr>
        <w:ind w:firstLine="360"/>
        <w:jc w:val="both"/>
        <w:rPr>
          <w:sz w:val="24"/>
          <w:szCs w:val="24"/>
        </w:rPr>
      </w:pPr>
      <w:r w:rsidRPr="004237CC">
        <w:rPr>
          <w:sz w:val="24"/>
          <w:szCs w:val="24"/>
        </w:rPr>
        <w:t>S cieľom vyplniť identifikované medzer</w:t>
      </w:r>
      <w:r w:rsidR="00835E8B">
        <w:rPr>
          <w:sz w:val="24"/>
          <w:szCs w:val="24"/>
        </w:rPr>
        <w:t>y</w:t>
      </w:r>
      <w:r w:rsidRPr="004237CC">
        <w:rPr>
          <w:sz w:val="24"/>
          <w:szCs w:val="24"/>
        </w:rPr>
        <w:t xml:space="preserve"> v intervenčnej pyramíde popísanej v predchádzajúcej časti dokumentu, navrhujeme</w:t>
      </w:r>
      <w:r w:rsidR="0046542E" w:rsidRPr="004237CC">
        <w:rPr>
          <w:sz w:val="24"/>
          <w:szCs w:val="24"/>
        </w:rPr>
        <w:t xml:space="preserve"> prijatie </w:t>
      </w:r>
      <w:r w:rsidR="00797326">
        <w:rPr>
          <w:sz w:val="24"/>
          <w:szCs w:val="24"/>
        </w:rPr>
        <w:t>nasledovných</w:t>
      </w:r>
      <w:r w:rsidR="0046542E" w:rsidRPr="004237CC">
        <w:rPr>
          <w:sz w:val="24"/>
          <w:szCs w:val="24"/>
        </w:rPr>
        <w:t xml:space="preserve"> systémových opatrení:</w:t>
      </w:r>
    </w:p>
    <w:p w:rsidR="00B655B4" w:rsidRPr="00610B16" w:rsidRDefault="00997635" w:rsidP="001C7394">
      <w:pPr>
        <w:pStyle w:val="Odsekzoznamu"/>
        <w:numPr>
          <w:ilvl w:val="0"/>
          <w:numId w:val="14"/>
        </w:numPr>
        <w:tabs>
          <w:tab w:val="left" w:pos="284"/>
        </w:tabs>
        <w:ind w:left="0" w:firstLine="0"/>
        <w:jc w:val="both"/>
        <w:rPr>
          <w:sz w:val="24"/>
          <w:szCs w:val="24"/>
        </w:rPr>
      </w:pPr>
      <w:r w:rsidRPr="001C7394">
        <w:rPr>
          <w:b/>
          <w:sz w:val="24"/>
          <w:szCs w:val="24"/>
        </w:rPr>
        <w:t xml:space="preserve">Návrh postupu </w:t>
      </w:r>
      <w:r w:rsidR="00602460">
        <w:rPr>
          <w:b/>
          <w:sz w:val="24"/>
          <w:szCs w:val="24"/>
        </w:rPr>
        <w:t xml:space="preserve">vnútroštátnej implementácie </w:t>
      </w:r>
      <w:r w:rsidR="003C2D92">
        <w:rPr>
          <w:b/>
          <w:sz w:val="24"/>
          <w:szCs w:val="24"/>
        </w:rPr>
        <w:t xml:space="preserve">Agendy </w:t>
      </w:r>
      <w:r w:rsidRPr="001C7394">
        <w:rPr>
          <w:b/>
          <w:sz w:val="24"/>
          <w:szCs w:val="24"/>
        </w:rPr>
        <w:t xml:space="preserve"> 2030</w:t>
      </w:r>
      <w:r w:rsidR="00602460">
        <w:rPr>
          <w:b/>
          <w:sz w:val="24"/>
          <w:szCs w:val="24"/>
        </w:rPr>
        <w:t xml:space="preserve"> </w:t>
      </w:r>
      <w:r w:rsidR="00602460">
        <w:rPr>
          <w:sz w:val="24"/>
          <w:szCs w:val="24"/>
        </w:rPr>
        <w:t>(v zmysle uznesenia</w:t>
      </w:r>
      <w:r w:rsidR="002A11F5">
        <w:rPr>
          <w:sz w:val="24"/>
          <w:szCs w:val="24"/>
        </w:rPr>
        <w:t xml:space="preserve"> č.</w:t>
      </w:r>
      <w:r w:rsidR="00602460">
        <w:rPr>
          <w:sz w:val="24"/>
          <w:szCs w:val="24"/>
        </w:rPr>
        <w:t xml:space="preserve"> 95 zo</w:t>
      </w:r>
      <w:r w:rsidR="002A11F5">
        <w:rPr>
          <w:sz w:val="24"/>
          <w:szCs w:val="24"/>
        </w:rPr>
        <w:t xml:space="preserve"> dňa 2. marca 2016 prijatého k V</w:t>
      </w:r>
      <w:r w:rsidR="00602460">
        <w:rPr>
          <w:sz w:val="24"/>
          <w:szCs w:val="24"/>
        </w:rPr>
        <w:t>ýchodiskám implementácie Agendy 2030 pre udržateľný rozvoj)</w:t>
      </w:r>
      <w:r w:rsidRPr="00997635">
        <w:rPr>
          <w:sz w:val="24"/>
          <w:szCs w:val="24"/>
        </w:rPr>
        <w:t>.</w:t>
      </w:r>
      <w:r w:rsidR="00602460">
        <w:rPr>
          <w:sz w:val="24"/>
          <w:szCs w:val="24"/>
        </w:rPr>
        <w:t xml:space="preserve"> </w:t>
      </w:r>
      <w:r w:rsidRPr="00997635">
        <w:rPr>
          <w:sz w:val="24"/>
          <w:szCs w:val="24"/>
        </w:rPr>
        <w:t xml:space="preserve">V septembri 2015 schválilo Valné zhromaždenie OSN novú rozvojovú agendu – Agendu 2030 pre udržateľný rozvoj. Agenda 2030 predstavuje 17 cieľov udržateľného rozvoja rozpracovaných do 169 súvisiacich čiastkových cieľov, ktorými by sa mala riadiť štrukturálna politická, ekonomická a sociálna premena jednotlivých štátov sveta v reakcii na hrozby, ktorým </w:t>
      </w:r>
      <w:r w:rsidR="001C7394">
        <w:rPr>
          <w:sz w:val="24"/>
          <w:szCs w:val="24"/>
        </w:rPr>
        <w:t xml:space="preserve">ľudstvo v súčasnosti čelí. </w:t>
      </w:r>
      <w:r w:rsidRPr="00997635">
        <w:rPr>
          <w:sz w:val="24"/>
          <w:szCs w:val="24"/>
        </w:rPr>
        <w:t xml:space="preserve">Doterajšie skúsenosti z jej implementácie v krajinách OECD ukazujú, že efektívnym spôsobom implementácie Agendy </w:t>
      </w:r>
      <w:r w:rsidR="00835016">
        <w:rPr>
          <w:sz w:val="24"/>
          <w:szCs w:val="24"/>
        </w:rPr>
        <w:t>2030 na národnej úrovni</w:t>
      </w:r>
      <w:r w:rsidR="00E25C64">
        <w:rPr>
          <w:sz w:val="24"/>
          <w:szCs w:val="24"/>
        </w:rPr>
        <w:t xml:space="preserve"> je</w:t>
      </w:r>
      <w:r w:rsidR="00835016">
        <w:rPr>
          <w:sz w:val="24"/>
          <w:szCs w:val="24"/>
        </w:rPr>
        <w:t xml:space="preserve"> jej</w:t>
      </w:r>
      <w:r w:rsidRPr="00997635">
        <w:rPr>
          <w:sz w:val="24"/>
          <w:szCs w:val="24"/>
        </w:rPr>
        <w:t xml:space="preserve"> integrácia do národnej rozvojovej stratégie, ktorá integruje a navzájom zosúladí verejné politiky zamerané na všetky tri dimenzie udržateľného rozvoja – ekonomickú, sociálnu a environmentálnu.</w:t>
      </w:r>
      <w:r w:rsidR="001C7394">
        <w:rPr>
          <w:sz w:val="24"/>
          <w:szCs w:val="24"/>
        </w:rPr>
        <w:t xml:space="preserve"> Agenda 2030 sa tak</w:t>
      </w:r>
      <w:r w:rsidR="002A11F5">
        <w:rPr>
          <w:sz w:val="24"/>
          <w:szCs w:val="24"/>
        </w:rPr>
        <w:t xml:space="preserve"> stane nástrojom „programovania</w:t>
      </w:r>
      <w:r w:rsidR="002A11F5" w:rsidRPr="002A11F5">
        <w:rPr>
          <w:color w:val="FFFFFF" w:themeColor="background1"/>
          <w:sz w:val="24"/>
          <w:szCs w:val="24"/>
        </w:rPr>
        <w:t>.</w:t>
      </w:r>
      <w:r w:rsidR="002A11F5">
        <w:rPr>
          <w:sz w:val="24"/>
          <w:szCs w:val="24"/>
        </w:rPr>
        <w:t>rozvoja“</w:t>
      </w:r>
      <w:r w:rsidR="002A11F5" w:rsidRPr="002A11F5">
        <w:rPr>
          <w:color w:val="FFFFFF" w:themeColor="background1"/>
          <w:sz w:val="24"/>
          <w:szCs w:val="24"/>
        </w:rPr>
        <w:t>.</w:t>
      </w:r>
      <w:r w:rsidR="001C7394">
        <w:rPr>
          <w:sz w:val="24"/>
          <w:szCs w:val="24"/>
        </w:rPr>
        <w:t>smerom</w:t>
      </w:r>
      <w:r w:rsidR="002A11F5">
        <w:rPr>
          <w:color w:val="FFFFFF" w:themeColor="background1"/>
          <w:sz w:val="24"/>
          <w:szCs w:val="24"/>
        </w:rPr>
        <w:t>.</w:t>
      </w:r>
      <w:r w:rsidR="001C7394">
        <w:rPr>
          <w:sz w:val="24"/>
          <w:szCs w:val="24"/>
        </w:rPr>
        <w:t>dovnútra</w:t>
      </w:r>
      <w:r w:rsidR="002A11F5">
        <w:rPr>
          <w:color w:val="FFFFFF" w:themeColor="background1"/>
          <w:sz w:val="24"/>
          <w:szCs w:val="24"/>
        </w:rPr>
        <w:t>.</w:t>
      </w:r>
      <w:r w:rsidR="001C7394">
        <w:rPr>
          <w:sz w:val="24"/>
          <w:szCs w:val="24"/>
        </w:rPr>
        <w:t>krajiny.</w:t>
      </w:r>
      <w:r w:rsidR="00D72E96" w:rsidRPr="00610B16">
        <w:rPr>
          <w:sz w:val="24"/>
          <w:szCs w:val="24"/>
        </w:rPr>
        <w:br/>
      </w:r>
    </w:p>
    <w:p w:rsidR="00297C5F" w:rsidRDefault="00E048B6" w:rsidP="00297C5F">
      <w:pPr>
        <w:pStyle w:val="Odsekzoznamu"/>
        <w:numPr>
          <w:ilvl w:val="0"/>
          <w:numId w:val="14"/>
        </w:numPr>
        <w:tabs>
          <w:tab w:val="left" w:pos="426"/>
        </w:tabs>
        <w:ind w:left="0" w:firstLine="0"/>
        <w:jc w:val="both"/>
        <w:rPr>
          <w:sz w:val="24"/>
          <w:szCs w:val="24"/>
        </w:rPr>
      </w:pPr>
      <w:r w:rsidRPr="0044518D">
        <w:rPr>
          <w:sz w:val="24"/>
          <w:szCs w:val="24"/>
        </w:rPr>
        <w:t xml:space="preserve">Keďže existujúce </w:t>
      </w:r>
      <w:r w:rsidR="00051CB6" w:rsidRPr="0044518D">
        <w:rPr>
          <w:sz w:val="24"/>
          <w:szCs w:val="24"/>
        </w:rPr>
        <w:t xml:space="preserve">odvetvové a prierezové stratégie </w:t>
      </w:r>
      <w:r w:rsidRPr="0044518D">
        <w:rPr>
          <w:sz w:val="24"/>
          <w:szCs w:val="24"/>
        </w:rPr>
        <w:t>vykazujú značné odlišnosti</w:t>
      </w:r>
      <w:r w:rsidR="00051CB6" w:rsidRPr="0044518D">
        <w:rPr>
          <w:sz w:val="24"/>
          <w:szCs w:val="24"/>
        </w:rPr>
        <w:t>, napríklad vo vzťahu k uplatnenej metodike, rozsahu a časovému</w:t>
      </w:r>
      <w:r w:rsidRPr="0044518D">
        <w:rPr>
          <w:sz w:val="24"/>
          <w:szCs w:val="24"/>
        </w:rPr>
        <w:t xml:space="preserve"> horizontu, </w:t>
      </w:r>
      <w:r w:rsidR="00051CB6" w:rsidRPr="0044518D">
        <w:rPr>
          <w:sz w:val="24"/>
          <w:szCs w:val="24"/>
        </w:rPr>
        <w:t xml:space="preserve">je potrebné vypracovať a do </w:t>
      </w:r>
      <w:r w:rsidR="00051CB6" w:rsidRPr="00B035DC">
        <w:rPr>
          <w:sz w:val="24"/>
          <w:szCs w:val="24"/>
        </w:rPr>
        <w:t xml:space="preserve">praxe </w:t>
      </w:r>
      <w:r w:rsidR="00051CB6" w:rsidRPr="00B035DC">
        <w:rPr>
          <w:b/>
          <w:sz w:val="24"/>
          <w:szCs w:val="24"/>
        </w:rPr>
        <w:t xml:space="preserve">zaviesť jednotnú metodiku </w:t>
      </w:r>
      <w:r w:rsidR="00911DE0">
        <w:rPr>
          <w:b/>
          <w:sz w:val="24"/>
          <w:szCs w:val="24"/>
        </w:rPr>
        <w:t xml:space="preserve">a inštitucionálny rámec tvorby verejných stratégií. </w:t>
      </w:r>
      <w:r w:rsidR="00051CB6" w:rsidRPr="0044518D">
        <w:rPr>
          <w:sz w:val="24"/>
          <w:szCs w:val="24"/>
        </w:rPr>
        <w:t xml:space="preserve">Tento prístup si zvolila aj Česká republika a vypracovanie príslušnej metodiky bolo hradené zo zdrojov operačného programu </w:t>
      </w:r>
      <w:r w:rsidR="006E7725">
        <w:rPr>
          <w:sz w:val="24"/>
          <w:szCs w:val="24"/>
        </w:rPr>
        <w:t>Ľudské zdroje a zamestnanosť</w:t>
      </w:r>
      <w:r w:rsidR="00051CB6" w:rsidRPr="0044518D">
        <w:rPr>
          <w:sz w:val="24"/>
          <w:szCs w:val="24"/>
        </w:rPr>
        <w:t xml:space="preserve">. </w:t>
      </w:r>
      <w:r w:rsidR="00EF3AEC">
        <w:rPr>
          <w:sz w:val="24"/>
          <w:szCs w:val="24"/>
        </w:rPr>
        <w:t xml:space="preserve">Jednotnou </w:t>
      </w:r>
      <w:r w:rsidR="00051CB6" w:rsidRPr="0044518D">
        <w:rPr>
          <w:sz w:val="24"/>
          <w:szCs w:val="24"/>
        </w:rPr>
        <w:t>metodikou sa bude v budúcnosti riadiť vypracovanie všetkých strategickýc</w:t>
      </w:r>
      <w:r w:rsidR="00B438E3" w:rsidRPr="0044518D">
        <w:rPr>
          <w:sz w:val="24"/>
          <w:szCs w:val="24"/>
        </w:rPr>
        <w:t>h dokumentov predložených vláde</w:t>
      </w:r>
      <w:r w:rsidR="00051CB6" w:rsidRPr="0044518D">
        <w:rPr>
          <w:sz w:val="24"/>
          <w:szCs w:val="24"/>
        </w:rPr>
        <w:t xml:space="preserve"> </w:t>
      </w:r>
      <w:r w:rsidR="00797326" w:rsidRPr="0044518D">
        <w:rPr>
          <w:sz w:val="24"/>
          <w:szCs w:val="24"/>
        </w:rPr>
        <w:t xml:space="preserve">SR </w:t>
      </w:r>
      <w:r w:rsidR="00051CB6" w:rsidRPr="0044518D">
        <w:rPr>
          <w:sz w:val="24"/>
          <w:szCs w:val="24"/>
        </w:rPr>
        <w:t>na schválenie</w:t>
      </w:r>
      <w:r w:rsidR="00EF3AEC">
        <w:rPr>
          <w:sz w:val="24"/>
          <w:szCs w:val="24"/>
        </w:rPr>
        <w:t xml:space="preserve"> s výnimkou stratégií a koncepcií vypracovaných v nadväznosti na plnenie ex-ante kondicionalít pre európske štrukturálne a investičné fondy v programovom období 2014-2020. </w:t>
      </w:r>
      <w:r w:rsidR="00B438E3" w:rsidRPr="0044518D">
        <w:rPr>
          <w:sz w:val="24"/>
          <w:szCs w:val="24"/>
        </w:rPr>
        <w:t xml:space="preserve">Pre všetky takto vypracované strategické dokumenty bude definovaný jasný spôsob financovania ich implementácie, </w:t>
      </w:r>
      <w:r w:rsidR="00BF512B" w:rsidRPr="0044518D">
        <w:rPr>
          <w:sz w:val="24"/>
          <w:szCs w:val="24"/>
        </w:rPr>
        <w:t xml:space="preserve">ktorý by sa mal následne </w:t>
      </w:r>
      <w:r w:rsidR="00B438E3" w:rsidRPr="0044518D">
        <w:rPr>
          <w:sz w:val="24"/>
          <w:szCs w:val="24"/>
        </w:rPr>
        <w:t>premiet</w:t>
      </w:r>
      <w:r w:rsidR="00BF512B" w:rsidRPr="0044518D">
        <w:rPr>
          <w:sz w:val="24"/>
          <w:szCs w:val="24"/>
        </w:rPr>
        <w:t>nuť</w:t>
      </w:r>
      <w:r w:rsidR="00B438E3" w:rsidRPr="0044518D">
        <w:rPr>
          <w:sz w:val="24"/>
          <w:szCs w:val="24"/>
        </w:rPr>
        <w:t xml:space="preserve"> do rozpočtu (štátneho rozpočtu, ostatných verejných rozpočtov, prípadne do rozpočtu príslušnej inštitúcie). Pridanou hodnotou</w:t>
      </w:r>
      <w:r w:rsidR="009F2A21" w:rsidRPr="0044518D">
        <w:rPr>
          <w:sz w:val="24"/>
          <w:szCs w:val="24"/>
        </w:rPr>
        <w:t xml:space="preserve"> </w:t>
      </w:r>
      <w:r w:rsidR="00051CB6" w:rsidRPr="0044518D">
        <w:rPr>
          <w:sz w:val="24"/>
          <w:szCs w:val="24"/>
        </w:rPr>
        <w:t>uplatňovania</w:t>
      </w:r>
      <w:r w:rsidR="00B438E3" w:rsidRPr="0044518D">
        <w:rPr>
          <w:sz w:val="24"/>
          <w:szCs w:val="24"/>
        </w:rPr>
        <w:t xml:space="preserve"> jednotnej metodiky </w:t>
      </w:r>
      <w:r w:rsidR="00051CB6" w:rsidRPr="0044518D">
        <w:rPr>
          <w:sz w:val="24"/>
          <w:szCs w:val="24"/>
        </w:rPr>
        <w:t xml:space="preserve">bude </w:t>
      </w:r>
      <w:r w:rsidR="00B438E3" w:rsidRPr="0044518D">
        <w:rPr>
          <w:sz w:val="24"/>
          <w:szCs w:val="24"/>
        </w:rPr>
        <w:t xml:space="preserve">najmä  </w:t>
      </w:r>
      <w:r w:rsidR="00051CB6" w:rsidRPr="0044518D">
        <w:rPr>
          <w:sz w:val="24"/>
          <w:szCs w:val="24"/>
        </w:rPr>
        <w:t>vzájomná previazanosť odvetvových a prierezových stratégií</w:t>
      </w:r>
      <w:r w:rsidR="00B438E3" w:rsidRPr="0044518D">
        <w:rPr>
          <w:sz w:val="24"/>
          <w:szCs w:val="24"/>
        </w:rPr>
        <w:t>, jasný finančný ráme</w:t>
      </w:r>
      <w:r w:rsidR="0044518D">
        <w:rPr>
          <w:sz w:val="24"/>
          <w:szCs w:val="24"/>
        </w:rPr>
        <w:t>c</w:t>
      </w:r>
      <w:r w:rsidR="00B438E3" w:rsidRPr="00297C5F">
        <w:rPr>
          <w:sz w:val="24"/>
          <w:szCs w:val="24"/>
        </w:rPr>
        <w:t xml:space="preserve"> a ich výsledková orientácia.</w:t>
      </w:r>
      <w:r w:rsidR="0044518D" w:rsidRPr="00297C5F">
        <w:rPr>
          <w:sz w:val="24"/>
          <w:szCs w:val="24"/>
        </w:rPr>
        <w:t xml:space="preserve"> </w:t>
      </w:r>
    </w:p>
    <w:p w:rsidR="00297C5F" w:rsidRDefault="00297C5F" w:rsidP="00297C5F">
      <w:pPr>
        <w:pStyle w:val="Odsekzoznamu"/>
        <w:ind w:left="360"/>
        <w:jc w:val="both"/>
        <w:rPr>
          <w:sz w:val="24"/>
          <w:szCs w:val="24"/>
        </w:rPr>
      </w:pPr>
    </w:p>
    <w:p w:rsidR="00AF5B29" w:rsidRPr="00911DE0" w:rsidRDefault="0079582E" w:rsidP="00F02460">
      <w:pPr>
        <w:pStyle w:val="Odsekzoznamu"/>
        <w:numPr>
          <w:ilvl w:val="0"/>
          <w:numId w:val="14"/>
        </w:numPr>
        <w:tabs>
          <w:tab w:val="left" w:pos="426"/>
        </w:tabs>
        <w:ind w:left="0" w:firstLine="0"/>
        <w:jc w:val="both"/>
        <w:rPr>
          <w:sz w:val="24"/>
          <w:szCs w:val="24"/>
        </w:rPr>
      </w:pPr>
      <w:r w:rsidRPr="00911DE0">
        <w:rPr>
          <w:sz w:val="24"/>
          <w:szCs w:val="24"/>
        </w:rPr>
        <w:lastRenderedPageBreak/>
        <w:t>Programové vyhlásenie vlády</w:t>
      </w:r>
      <w:r w:rsidR="00797326" w:rsidRPr="00911DE0">
        <w:rPr>
          <w:sz w:val="24"/>
          <w:szCs w:val="24"/>
        </w:rPr>
        <w:t xml:space="preserve"> SR</w:t>
      </w:r>
      <w:r w:rsidRPr="00911DE0">
        <w:rPr>
          <w:sz w:val="24"/>
          <w:szCs w:val="24"/>
        </w:rPr>
        <w:t xml:space="preserve"> obsahuje záväzok </w:t>
      </w:r>
      <w:r w:rsidRPr="00911DE0">
        <w:rPr>
          <w:i/>
          <w:sz w:val="24"/>
          <w:szCs w:val="24"/>
        </w:rPr>
        <w:t>„určiť základné kontúry perspektívneho smerovania hospodárstva v strednodobom a dlhodobom období prijatím stratégie hospodárskej politiky“.</w:t>
      </w:r>
      <w:r w:rsidR="00DD1585" w:rsidRPr="00911DE0">
        <w:rPr>
          <w:sz w:val="24"/>
          <w:szCs w:val="24"/>
        </w:rPr>
        <w:t xml:space="preserve"> Úlohu </w:t>
      </w:r>
      <w:r w:rsidR="00DD1585" w:rsidRPr="00911DE0">
        <w:rPr>
          <w:b/>
          <w:sz w:val="24"/>
          <w:szCs w:val="24"/>
        </w:rPr>
        <w:t xml:space="preserve">vypracovať </w:t>
      </w:r>
      <w:r w:rsidR="00966C6E" w:rsidRPr="00911DE0">
        <w:rPr>
          <w:b/>
          <w:sz w:val="24"/>
          <w:szCs w:val="24"/>
        </w:rPr>
        <w:t>„</w:t>
      </w:r>
      <w:r w:rsidR="002A7806" w:rsidRPr="00911DE0">
        <w:rPr>
          <w:b/>
          <w:sz w:val="24"/>
          <w:szCs w:val="24"/>
        </w:rPr>
        <w:t>Stratégiu hospodárskej politiky</w:t>
      </w:r>
      <w:r w:rsidR="00766C34" w:rsidRPr="00911DE0">
        <w:rPr>
          <w:b/>
          <w:sz w:val="24"/>
          <w:szCs w:val="24"/>
        </w:rPr>
        <w:t xml:space="preserve"> do roku 2026</w:t>
      </w:r>
      <w:r w:rsidR="00966C6E" w:rsidRPr="00911DE0">
        <w:rPr>
          <w:b/>
          <w:sz w:val="24"/>
          <w:szCs w:val="24"/>
        </w:rPr>
        <w:t>“</w:t>
      </w:r>
      <w:r w:rsidR="002A7806" w:rsidRPr="00911DE0">
        <w:rPr>
          <w:sz w:val="24"/>
          <w:szCs w:val="24"/>
        </w:rPr>
        <w:t xml:space="preserve"> a predložiť </w:t>
      </w:r>
      <w:r w:rsidR="004414CC" w:rsidRPr="00911DE0">
        <w:rPr>
          <w:sz w:val="24"/>
          <w:szCs w:val="24"/>
        </w:rPr>
        <w:t>ju</w:t>
      </w:r>
      <w:r w:rsidR="002A7806" w:rsidRPr="00911DE0">
        <w:rPr>
          <w:sz w:val="24"/>
          <w:szCs w:val="24"/>
        </w:rPr>
        <w:t xml:space="preserve"> na rokovanie vlády </w:t>
      </w:r>
      <w:r w:rsidR="00797326" w:rsidRPr="00911DE0">
        <w:rPr>
          <w:sz w:val="24"/>
          <w:szCs w:val="24"/>
        </w:rPr>
        <w:t xml:space="preserve">SR </w:t>
      </w:r>
      <w:r w:rsidR="00182ACC" w:rsidRPr="00911DE0">
        <w:rPr>
          <w:sz w:val="24"/>
          <w:szCs w:val="24"/>
        </w:rPr>
        <w:t>začalo plniť MH SR</w:t>
      </w:r>
      <w:r w:rsidRPr="00911DE0">
        <w:rPr>
          <w:sz w:val="24"/>
          <w:szCs w:val="24"/>
        </w:rPr>
        <w:t>.</w:t>
      </w:r>
      <w:r w:rsidR="002A7806" w:rsidRPr="00911DE0">
        <w:rPr>
          <w:sz w:val="24"/>
          <w:szCs w:val="24"/>
        </w:rPr>
        <w:t xml:space="preserve"> </w:t>
      </w:r>
      <w:r w:rsidR="007E6F6D" w:rsidRPr="00911DE0">
        <w:rPr>
          <w:sz w:val="24"/>
          <w:szCs w:val="24"/>
        </w:rPr>
        <w:t>Stratégia hospodárskej politiky</w:t>
      </w:r>
      <w:r w:rsidR="00D825FE" w:rsidRPr="00911DE0">
        <w:rPr>
          <w:sz w:val="24"/>
          <w:szCs w:val="24"/>
        </w:rPr>
        <w:t xml:space="preserve"> patrí k základným nadriadeným strategickým dokumentom štátu a z hľadiska svojej komplexnosti má jednoznačne </w:t>
      </w:r>
      <w:r w:rsidR="007E6F6D" w:rsidRPr="00911DE0">
        <w:rPr>
          <w:sz w:val="24"/>
          <w:szCs w:val="24"/>
        </w:rPr>
        <w:t xml:space="preserve">nadrezortný </w:t>
      </w:r>
      <w:r w:rsidR="00D825FE" w:rsidRPr="00911DE0">
        <w:rPr>
          <w:sz w:val="24"/>
          <w:szCs w:val="24"/>
        </w:rPr>
        <w:t>charakter</w:t>
      </w:r>
      <w:r w:rsidR="0044518D" w:rsidRPr="00911DE0">
        <w:rPr>
          <w:sz w:val="24"/>
          <w:szCs w:val="24"/>
        </w:rPr>
        <w:t>.</w:t>
      </w:r>
      <w:r w:rsidR="007E6F6D" w:rsidRPr="00911DE0">
        <w:rPr>
          <w:sz w:val="24"/>
          <w:szCs w:val="24"/>
        </w:rPr>
        <w:t xml:space="preserve"> </w:t>
      </w:r>
      <w:r w:rsidR="0044518D" w:rsidRPr="00911DE0">
        <w:rPr>
          <w:sz w:val="24"/>
          <w:szCs w:val="24"/>
        </w:rPr>
        <w:t xml:space="preserve">Zároveň, kompetenčný </w:t>
      </w:r>
      <w:r w:rsidR="00D825FE" w:rsidRPr="00911DE0">
        <w:rPr>
          <w:sz w:val="24"/>
          <w:szCs w:val="24"/>
        </w:rPr>
        <w:t xml:space="preserve">zákon ukladá zodpovednosť za </w:t>
      </w:r>
      <w:r w:rsidR="007E6F6D" w:rsidRPr="00911DE0">
        <w:rPr>
          <w:i/>
          <w:sz w:val="24"/>
          <w:szCs w:val="24"/>
        </w:rPr>
        <w:t>„koordináciu prípravy opatrení hospodárskej a sociálnej politiky“</w:t>
      </w:r>
      <w:r w:rsidR="007E6F6D" w:rsidRPr="00911DE0">
        <w:rPr>
          <w:sz w:val="24"/>
          <w:szCs w:val="24"/>
        </w:rPr>
        <w:t xml:space="preserve"> Úrad</w:t>
      </w:r>
      <w:r w:rsidR="00A97BF0" w:rsidRPr="00911DE0">
        <w:rPr>
          <w:sz w:val="24"/>
          <w:szCs w:val="24"/>
        </w:rPr>
        <w:t>u</w:t>
      </w:r>
      <w:r w:rsidR="007E6F6D" w:rsidRPr="00911DE0">
        <w:rPr>
          <w:sz w:val="24"/>
          <w:szCs w:val="24"/>
        </w:rPr>
        <w:t xml:space="preserve"> vlády Slovenskej republiky</w:t>
      </w:r>
      <w:r w:rsidR="00A97BF0" w:rsidRPr="00911DE0">
        <w:rPr>
          <w:sz w:val="24"/>
          <w:szCs w:val="24"/>
        </w:rPr>
        <w:t xml:space="preserve"> a za zabezpečenie </w:t>
      </w:r>
      <w:r w:rsidR="00A97BF0" w:rsidRPr="00911DE0">
        <w:rPr>
          <w:i/>
          <w:sz w:val="24"/>
          <w:szCs w:val="24"/>
        </w:rPr>
        <w:t xml:space="preserve">„strategického plánovania v oblasti investícií“ </w:t>
      </w:r>
      <w:r w:rsidR="00A97BF0" w:rsidRPr="00911DE0">
        <w:rPr>
          <w:sz w:val="24"/>
          <w:szCs w:val="24"/>
        </w:rPr>
        <w:t xml:space="preserve">Úradu podpredsedu vlády </w:t>
      </w:r>
      <w:r w:rsidR="00911DE0">
        <w:rPr>
          <w:sz w:val="24"/>
          <w:szCs w:val="24"/>
        </w:rPr>
        <w:t xml:space="preserve">Slovenskej republiky </w:t>
      </w:r>
      <w:r w:rsidR="003109D9" w:rsidRPr="00911DE0">
        <w:rPr>
          <w:sz w:val="24"/>
          <w:szCs w:val="24"/>
        </w:rPr>
        <w:t>pre</w:t>
      </w:r>
      <w:r w:rsidR="00A97BF0" w:rsidRPr="00911DE0">
        <w:rPr>
          <w:sz w:val="24"/>
          <w:szCs w:val="24"/>
        </w:rPr>
        <w:t xml:space="preserve"> investície a informatizáciu. </w:t>
      </w:r>
      <w:r w:rsidR="00766C34" w:rsidRPr="00911DE0">
        <w:rPr>
          <w:sz w:val="24"/>
          <w:szCs w:val="24"/>
        </w:rPr>
        <w:t>S cieľom dosiahnuť súlad stratégie so všeobecnou zásadou strategického plánovania, ktorou je identifikácia zdrojov potrebných na naplnenie definovaných cieľov, by uvedený dokument mal obsahovať aj finančný rámec</w:t>
      </w:r>
      <w:r w:rsidR="00966C6E" w:rsidRPr="00911DE0">
        <w:rPr>
          <w:sz w:val="24"/>
          <w:szCs w:val="24"/>
        </w:rPr>
        <w:t>,</w:t>
      </w:r>
      <w:r w:rsidR="00766C34" w:rsidRPr="00911DE0">
        <w:rPr>
          <w:sz w:val="24"/>
          <w:szCs w:val="24"/>
        </w:rPr>
        <w:t xml:space="preserve"> ako aj požiadavky na </w:t>
      </w:r>
      <w:r w:rsidR="00911DE0">
        <w:rPr>
          <w:sz w:val="24"/>
          <w:szCs w:val="24"/>
        </w:rPr>
        <w:t xml:space="preserve">ochranu životného prostredia a rozvoj </w:t>
      </w:r>
      <w:r w:rsidR="00766C34" w:rsidRPr="00911DE0">
        <w:rPr>
          <w:sz w:val="24"/>
          <w:szCs w:val="24"/>
        </w:rPr>
        <w:t>ľudsk</w:t>
      </w:r>
      <w:r w:rsidR="00911DE0">
        <w:rPr>
          <w:sz w:val="24"/>
          <w:szCs w:val="24"/>
        </w:rPr>
        <w:t xml:space="preserve">ého kapitálu. </w:t>
      </w:r>
      <w:r w:rsidR="00766C34" w:rsidRPr="00911DE0">
        <w:rPr>
          <w:sz w:val="24"/>
          <w:szCs w:val="24"/>
        </w:rPr>
        <w:t>Takto definovaný rozsah stratégie vedie k záveru, že n</w:t>
      </w:r>
      <w:r w:rsidR="001A5309" w:rsidRPr="00911DE0">
        <w:rPr>
          <w:sz w:val="24"/>
          <w:szCs w:val="24"/>
        </w:rPr>
        <w:t>a</w:t>
      </w:r>
      <w:r w:rsidR="00766C34" w:rsidRPr="00911DE0">
        <w:rPr>
          <w:sz w:val="24"/>
          <w:szCs w:val="24"/>
        </w:rPr>
        <w:t xml:space="preserve"> jej príprave by mali </w:t>
      </w:r>
      <w:r w:rsidR="00766C34" w:rsidRPr="00911DE0">
        <w:rPr>
          <w:b/>
          <w:sz w:val="24"/>
          <w:szCs w:val="24"/>
        </w:rPr>
        <w:t>spolupracovať Ú</w:t>
      </w:r>
      <w:r w:rsidR="001A5309" w:rsidRPr="00911DE0">
        <w:rPr>
          <w:b/>
          <w:sz w:val="24"/>
          <w:szCs w:val="24"/>
        </w:rPr>
        <w:t>rad vlády</w:t>
      </w:r>
      <w:r w:rsidR="00797326" w:rsidRPr="00911DE0">
        <w:rPr>
          <w:b/>
          <w:sz w:val="24"/>
          <w:szCs w:val="24"/>
        </w:rPr>
        <w:t xml:space="preserve"> </w:t>
      </w:r>
      <w:r w:rsidR="00911DE0">
        <w:rPr>
          <w:b/>
          <w:sz w:val="24"/>
          <w:szCs w:val="24"/>
        </w:rPr>
        <w:t xml:space="preserve">SR, </w:t>
      </w:r>
      <w:r w:rsidR="001A5309" w:rsidRPr="00911DE0">
        <w:rPr>
          <w:b/>
          <w:sz w:val="24"/>
          <w:szCs w:val="24"/>
        </w:rPr>
        <w:t xml:space="preserve">ÚPPVII, </w:t>
      </w:r>
      <w:r w:rsidR="00BF512B" w:rsidRPr="00911DE0">
        <w:rPr>
          <w:b/>
          <w:sz w:val="24"/>
          <w:szCs w:val="24"/>
        </w:rPr>
        <w:t xml:space="preserve">Ministerstvo financií SR, </w:t>
      </w:r>
      <w:r w:rsidR="001A5309" w:rsidRPr="00911DE0">
        <w:rPr>
          <w:b/>
          <w:sz w:val="24"/>
          <w:szCs w:val="24"/>
        </w:rPr>
        <w:t>Ministerstvo práce, sociálnych vecí a</w:t>
      </w:r>
      <w:r w:rsidR="00797326" w:rsidRPr="00911DE0">
        <w:rPr>
          <w:b/>
          <w:sz w:val="24"/>
          <w:szCs w:val="24"/>
        </w:rPr>
        <w:t> </w:t>
      </w:r>
      <w:r w:rsidR="001A5309" w:rsidRPr="00911DE0">
        <w:rPr>
          <w:b/>
          <w:sz w:val="24"/>
          <w:szCs w:val="24"/>
        </w:rPr>
        <w:t>rodiny</w:t>
      </w:r>
      <w:r w:rsidR="00797326" w:rsidRPr="00911DE0">
        <w:rPr>
          <w:b/>
          <w:sz w:val="24"/>
          <w:szCs w:val="24"/>
        </w:rPr>
        <w:t xml:space="preserve"> SR</w:t>
      </w:r>
      <w:r w:rsidR="001A5309" w:rsidRPr="00911DE0">
        <w:rPr>
          <w:b/>
          <w:sz w:val="24"/>
          <w:szCs w:val="24"/>
        </w:rPr>
        <w:t>, Ministerstvo školstva, vedy</w:t>
      </w:r>
      <w:r w:rsidR="003E2DD9" w:rsidRPr="00911DE0">
        <w:rPr>
          <w:b/>
          <w:sz w:val="24"/>
          <w:szCs w:val="24"/>
        </w:rPr>
        <w:t>,</w:t>
      </w:r>
      <w:r w:rsidR="001A5309" w:rsidRPr="00911DE0">
        <w:rPr>
          <w:b/>
          <w:sz w:val="24"/>
          <w:szCs w:val="24"/>
        </w:rPr>
        <w:t xml:space="preserve"> výskumu a</w:t>
      </w:r>
      <w:r w:rsidR="00797326" w:rsidRPr="00911DE0">
        <w:rPr>
          <w:b/>
          <w:sz w:val="24"/>
          <w:szCs w:val="24"/>
        </w:rPr>
        <w:t> </w:t>
      </w:r>
      <w:r w:rsidR="001A5309" w:rsidRPr="00911DE0">
        <w:rPr>
          <w:b/>
          <w:sz w:val="24"/>
          <w:szCs w:val="24"/>
        </w:rPr>
        <w:t>športu</w:t>
      </w:r>
      <w:r w:rsidR="00797326" w:rsidRPr="00911DE0">
        <w:rPr>
          <w:b/>
          <w:sz w:val="24"/>
          <w:szCs w:val="24"/>
        </w:rPr>
        <w:t xml:space="preserve"> SR</w:t>
      </w:r>
      <w:r w:rsidR="00835E8B" w:rsidRPr="00911DE0">
        <w:rPr>
          <w:b/>
          <w:sz w:val="24"/>
          <w:szCs w:val="24"/>
        </w:rPr>
        <w:t>,</w:t>
      </w:r>
      <w:r w:rsidR="00610B16" w:rsidRPr="00911DE0">
        <w:rPr>
          <w:b/>
          <w:sz w:val="24"/>
          <w:szCs w:val="24"/>
        </w:rPr>
        <w:t xml:space="preserve"> </w:t>
      </w:r>
      <w:r w:rsidR="0049069F" w:rsidRPr="00911DE0">
        <w:rPr>
          <w:b/>
          <w:sz w:val="24"/>
          <w:szCs w:val="24"/>
        </w:rPr>
        <w:t>Ministerstvo životného prostredia SR</w:t>
      </w:r>
      <w:r w:rsidR="00835E8B" w:rsidRPr="00911DE0">
        <w:rPr>
          <w:b/>
          <w:sz w:val="24"/>
          <w:szCs w:val="24"/>
        </w:rPr>
        <w:t xml:space="preserve"> a Ministerstvo dopravy, výstavby a regionálneho rozvoja SR</w:t>
      </w:r>
      <w:r w:rsidR="00766C34" w:rsidRPr="00911DE0">
        <w:rPr>
          <w:b/>
          <w:sz w:val="24"/>
          <w:szCs w:val="24"/>
        </w:rPr>
        <w:t>.</w:t>
      </w:r>
      <w:r w:rsidR="00766C34" w:rsidRPr="00911DE0">
        <w:rPr>
          <w:sz w:val="24"/>
          <w:szCs w:val="24"/>
        </w:rPr>
        <w:t xml:space="preserve"> </w:t>
      </w:r>
      <w:r w:rsidR="00A97BF0" w:rsidRPr="00911DE0">
        <w:rPr>
          <w:sz w:val="24"/>
          <w:szCs w:val="24"/>
        </w:rPr>
        <w:t xml:space="preserve">Je tiež potrebné prehodnotiť zvolený časový rámec a zvážiť </w:t>
      </w:r>
      <w:r w:rsidR="00766C34" w:rsidRPr="00911DE0">
        <w:rPr>
          <w:sz w:val="24"/>
          <w:szCs w:val="24"/>
        </w:rPr>
        <w:t xml:space="preserve"> </w:t>
      </w:r>
      <w:r w:rsidR="003109D9" w:rsidRPr="00911DE0">
        <w:rPr>
          <w:sz w:val="24"/>
          <w:szCs w:val="24"/>
        </w:rPr>
        <w:t xml:space="preserve">jeho </w:t>
      </w:r>
      <w:r w:rsidR="00966C6E" w:rsidRPr="00911DE0">
        <w:rPr>
          <w:sz w:val="24"/>
          <w:szCs w:val="24"/>
        </w:rPr>
        <w:t>predĺženie</w:t>
      </w:r>
      <w:r w:rsidR="003109D9" w:rsidRPr="00911DE0">
        <w:rPr>
          <w:sz w:val="24"/>
          <w:szCs w:val="24"/>
        </w:rPr>
        <w:t xml:space="preserve"> </w:t>
      </w:r>
      <w:r w:rsidR="00966C6E" w:rsidRPr="00911DE0">
        <w:rPr>
          <w:sz w:val="24"/>
          <w:szCs w:val="24"/>
        </w:rPr>
        <w:t xml:space="preserve"> do roku 2030</w:t>
      </w:r>
      <w:r w:rsidR="003109D9" w:rsidRPr="00911DE0">
        <w:rPr>
          <w:sz w:val="24"/>
          <w:szCs w:val="24"/>
        </w:rPr>
        <w:t xml:space="preserve"> (namiesto do roku 2026), čím sa </w:t>
      </w:r>
      <w:r w:rsidR="008975A7">
        <w:rPr>
          <w:sz w:val="24"/>
          <w:szCs w:val="24"/>
        </w:rPr>
        <w:t xml:space="preserve">zosúladí </w:t>
      </w:r>
      <w:r w:rsidR="003109D9" w:rsidRPr="00911DE0">
        <w:rPr>
          <w:sz w:val="24"/>
          <w:szCs w:val="24"/>
        </w:rPr>
        <w:t>s časo</w:t>
      </w:r>
      <w:r w:rsidR="001D1757">
        <w:rPr>
          <w:sz w:val="24"/>
          <w:szCs w:val="24"/>
        </w:rPr>
        <w:t xml:space="preserve">vým rámcom nadradenej Agendy </w:t>
      </w:r>
      <w:r w:rsidR="003109D9" w:rsidRPr="00911DE0">
        <w:rPr>
          <w:sz w:val="24"/>
          <w:szCs w:val="24"/>
        </w:rPr>
        <w:t xml:space="preserve"> 2030. </w:t>
      </w:r>
      <w:r w:rsidR="00966C6E" w:rsidRPr="00911DE0">
        <w:rPr>
          <w:sz w:val="24"/>
          <w:szCs w:val="24"/>
        </w:rPr>
        <w:t xml:space="preserve"> </w:t>
      </w:r>
    </w:p>
    <w:p w:rsidR="00FD439B" w:rsidRPr="00297C5F" w:rsidRDefault="00FD439B" w:rsidP="00FD439B">
      <w:pPr>
        <w:pStyle w:val="Odsekzoznamu"/>
        <w:ind w:left="0"/>
        <w:jc w:val="both"/>
        <w:rPr>
          <w:sz w:val="24"/>
          <w:szCs w:val="24"/>
        </w:rPr>
      </w:pPr>
    </w:p>
    <w:p w:rsidR="0046542E" w:rsidRPr="00911DE0" w:rsidRDefault="003109D9" w:rsidP="003109D9">
      <w:pPr>
        <w:pStyle w:val="Odsekzoznamu"/>
        <w:ind w:left="0"/>
        <w:jc w:val="both"/>
        <w:rPr>
          <w:sz w:val="24"/>
          <w:szCs w:val="24"/>
        </w:rPr>
      </w:pPr>
      <w:r w:rsidRPr="00911DE0">
        <w:rPr>
          <w:sz w:val="24"/>
          <w:szCs w:val="24"/>
        </w:rPr>
        <w:t xml:space="preserve">iv) </w:t>
      </w:r>
      <w:r w:rsidR="00C8213E" w:rsidRPr="00911DE0">
        <w:rPr>
          <w:rFonts w:ascii="Times New Roman" w:hAnsi="Times New Roman"/>
          <w:sz w:val="24"/>
          <w:szCs w:val="24"/>
        </w:rPr>
        <w:t xml:space="preserve">Vypracovanie </w:t>
      </w:r>
      <w:r w:rsidR="00C8213E" w:rsidRPr="00911DE0">
        <w:rPr>
          <w:rFonts w:ascii="Times New Roman" w:hAnsi="Times New Roman"/>
          <w:b/>
          <w:sz w:val="24"/>
          <w:szCs w:val="24"/>
        </w:rPr>
        <w:t>Zelenej knihy metodiky hodnotenia nákladov a prínosov</w:t>
      </w:r>
      <w:r w:rsidR="00C8213E" w:rsidRPr="00911DE0">
        <w:rPr>
          <w:rFonts w:ascii="Times New Roman" w:hAnsi="Times New Roman"/>
          <w:sz w:val="24"/>
          <w:szCs w:val="24"/>
        </w:rPr>
        <w:t xml:space="preserve">, s cieľom zjednotiť postupy pri hodnotení projektov. Zelená kniha </w:t>
      </w:r>
      <w:r w:rsidR="008975A7">
        <w:rPr>
          <w:rFonts w:ascii="Times New Roman" w:hAnsi="Times New Roman"/>
          <w:sz w:val="24"/>
          <w:szCs w:val="24"/>
        </w:rPr>
        <w:t xml:space="preserve">sa stane </w:t>
      </w:r>
      <w:r w:rsidR="00C8213E" w:rsidRPr="00911DE0">
        <w:rPr>
          <w:rFonts w:ascii="Times New Roman" w:hAnsi="Times New Roman"/>
          <w:sz w:val="24"/>
          <w:szCs w:val="24"/>
        </w:rPr>
        <w:t>záväzným, nadrezortným metodickým usmernením pre investorov a sp</w:t>
      </w:r>
      <w:r w:rsidR="008975A7">
        <w:rPr>
          <w:rFonts w:ascii="Times New Roman" w:hAnsi="Times New Roman"/>
          <w:sz w:val="24"/>
          <w:szCs w:val="24"/>
        </w:rPr>
        <w:t xml:space="preserve">racovateľov všetkých projektov </w:t>
      </w:r>
      <w:r w:rsidR="00C8213E" w:rsidRPr="00911DE0">
        <w:rPr>
          <w:rFonts w:ascii="Times New Roman" w:hAnsi="Times New Roman"/>
          <w:sz w:val="24"/>
          <w:szCs w:val="24"/>
        </w:rPr>
        <w:t xml:space="preserve">financovaných </w:t>
      </w:r>
      <w:r w:rsidR="008975A7">
        <w:rPr>
          <w:rFonts w:ascii="Times New Roman" w:hAnsi="Times New Roman"/>
          <w:sz w:val="24"/>
          <w:szCs w:val="24"/>
        </w:rPr>
        <w:br/>
      </w:r>
      <w:r w:rsidR="00C8213E" w:rsidRPr="00911DE0">
        <w:rPr>
          <w:rFonts w:ascii="Times New Roman" w:hAnsi="Times New Roman"/>
          <w:sz w:val="24"/>
          <w:szCs w:val="24"/>
        </w:rPr>
        <w:t xml:space="preserve">s účasťou verejných zdrojov. </w:t>
      </w:r>
      <w:r w:rsidR="008975A7">
        <w:rPr>
          <w:rFonts w:ascii="Times New Roman" w:hAnsi="Times New Roman"/>
          <w:sz w:val="24"/>
          <w:szCs w:val="24"/>
        </w:rPr>
        <w:t>Zelená kniha bude rámcom</w:t>
      </w:r>
      <w:r w:rsidR="00C8213E" w:rsidRPr="00911DE0">
        <w:rPr>
          <w:rFonts w:ascii="Times New Roman" w:hAnsi="Times New Roman"/>
          <w:sz w:val="24"/>
          <w:szCs w:val="24"/>
        </w:rPr>
        <w:t>, ktorý bude</w:t>
      </w:r>
      <w:r w:rsidR="008975A7">
        <w:rPr>
          <w:rFonts w:ascii="Times New Roman" w:hAnsi="Times New Roman"/>
          <w:sz w:val="24"/>
          <w:szCs w:val="24"/>
        </w:rPr>
        <w:t xml:space="preserve"> nadradený sektorovým metodikám, pričom bude </w:t>
      </w:r>
      <w:r w:rsidR="005920E7" w:rsidRPr="00911DE0">
        <w:rPr>
          <w:sz w:val="24"/>
          <w:szCs w:val="24"/>
        </w:rPr>
        <w:t>vychádzať z príručky Európskej komisi</w:t>
      </w:r>
      <w:r w:rsidRPr="00911DE0">
        <w:rPr>
          <w:sz w:val="24"/>
          <w:szCs w:val="24"/>
        </w:rPr>
        <w:t xml:space="preserve">e „Guide to Cost-Benefit Analysis of Investment Projects (Economic Appraisal Tool for Cohesion Policy 2014-2020).  </w:t>
      </w:r>
    </w:p>
    <w:sectPr w:rsidR="0046542E" w:rsidRPr="00911DE0" w:rsidSect="00F0422C">
      <w:footerReference w:type="default" r:id="rId13"/>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71" w:rsidRDefault="00502271" w:rsidP="002A7806">
      <w:pPr>
        <w:spacing w:after="0" w:line="240" w:lineRule="auto"/>
      </w:pPr>
      <w:r>
        <w:separator/>
      </w:r>
    </w:p>
  </w:endnote>
  <w:endnote w:type="continuationSeparator" w:id="0">
    <w:p w:rsidR="00502271" w:rsidRDefault="00502271" w:rsidP="002A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EE"/>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EE"/>
    <w:family w:val="swiss"/>
    <w:pitch w:val="variable"/>
    <w:sig w:usb0="E0002A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2C1" w:rsidRDefault="001C22C1" w:rsidP="00124A32">
    <w:pPr>
      <w:pStyle w:val="Pta"/>
      <w:jc w:val="right"/>
    </w:pPr>
    <w:r>
      <w:fldChar w:fldCharType="begin"/>
    </w:r>
    <w:r>
      <w:instrText>PAGE   \* MERGEFORMAT</w:instrText>
    </w:r>
    <w:r>
      <w:fldChar w:fldCharType="separate"/>
    </w:r>
    <w:r w:rsidR="00102DF9">
      <w:rPr>
        <w:noProof/>
      </w:rPr>
      <w:t>1</w:t>
    </w:r>
    <w:r>
      <w:fldChar w:fldCharType="end"/>
    </w:r>
    <w:r w:rsidR="004511EE">
      <w:t>/7</w:t>
    </w:r>
  </w:p>
  <w:p w:rsidR="001C22C1" w:rsidRDefault="001C22C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71" w:rsidRDefault="00502271" w:rsidP="002A7806">
      <w:pPr>
        <w:spacing w:after="0" w:line="240" w:lineRule="auto"/>
      </w:pPr>
      <w:r>
        <w:separator/>
      </w:r>
    </w:p>
  </w:footnote>
  <w:footnote w:type="continuationSeparator" w:id="0">
    <w:p w:rsidR="00502271" w:rsidRDefault="00502271" w:rsidP="002A7806">
      <w:pPr>
        <w:spacing w:after="0" w:line="240" w:lineRule="auto"/>
      </w:pPr>
      <w:r>
        <w:continuationSeparator/>
      </w:r>
    </w:p>
  </w:footnote>
  <w:footnote w:id="1">
    <w:p w:rsidR="00000000" w:rsidRDefault="00E46AF0">
      <w:pPr>
        <w:pStyle w:val="Textpoznmkypodiarou"/>
      </w:pPr>
      <w:r w:rsidRPr="00BE6501">
        <w:rPr>
          <w:rStyle w:val="Odkaznapoznmkupodiarou"/>
        </w:rPr>
        <w:footnoteRef/>
      </w:r>
      <w:r w:rsidRPr="00BE6501">
        <w:rPr>
          <w:sz w:val="18"/>
        </w:rPr>
        <w:t xml:space="preserve"> Tento rok korešponduje s rokom, v ktorom vláda SR prijala stále záväznú </w:t>
      </w:r>
      <w:r w:rsidR="00797326">
        <w:rPr>
          <w:sz w:val="18"/>
        </w:rPr>
        <w:t>Národnú s</w:t>
      </w:r>
      <w:r w:rsidRPr="00BE6501">
        <w:rPr>
          <w:sz w:val="18"/>
        </w:rPr>
        <w:t>tratégiu trvalo udržateľného rozvoja.</w:t>
      </w:r>
    </w:p>
  </w:footnote>
  <w:footnote w:id="2">
    <w:p w:rsidR="00000000" w:rsidRDefault="003E3BB7" w:rsidP="003E3BB7">
      <w:pPr>
        <w:pStyle w:val="Textpoznmkypodiarou"/>
      </w:pPr>
      <w:r w:rsidRPr="00C63423">
        <w:rPr>
          <w:rStyle w:val="Odkaznapoznmkupodiarou"/>
          <w:sz w:val="18"/>
          <w:szCs w:val="18"/>
        </w:rPr>
        <w:footnoteRef/>
      </w:r>
      <w:r w:rsidRPr="00C63423">
        <w:rPr>
          <w:sz w:val="18"/>
          <w:szCs w:val="18"/>
        </w:rPr>
        <w:t xml:space="preserve"> </w:t>
      </w:r>
      <w:r w:rsidR="00FF4766">
        <w:rPr>
          <w:sz w:val="18"/>
          <w:szCs w:val="18"/>
        </w:rPr>
        <w:t xml:space="preserve">Princíp nadrezortného riadenia ako prvku efektívnej verejnej správy aktívne presadzuje aj </w:t>
      </w:r>
      <w:r w:rsidRPr="00C63423">
        <w:rPr>
          <w:sz w:val="18"/>
          <w:szCs w:val="18"/>
        </w:rPr>
        <w:t xml:space="preserve">OECD </w:t>
      </w:r>
      <w:r w:rsidR="00FF4766">
        <w:rPr>
          <w:sz w:val="18"/>
          <w:szCs w:val="18"/>
        </w:rPr>
        <w:t xml:space="preserve">(viď závery </w:t>
      </w:r>
      <w:r w:rsidRPr="00C63423">
        <w:rPr>
          <w:sz w:val="18"/>
          <w:szCs w:val="18"/>
        </w:rPr>
        <w:t xml:space="preserve">54. zasadnutia Výboru pre verejnú správu </w:t>
      </w:r>
      <w:r w:rsidR="00FF4766">
        <w:rPr>
          <w:sz w:val="18"/>
          <w:szCs w:val="18"/>
        </w:rPr>
        <w:t xml:space="preserve">konanom </w:t>
      </w:r>
      <w:r w:rsidRPr="00C63423">
        <w:rPr>
          <w:sz w:val="18"/>
          <w:szCs w:val="18"/>
        </w:rPr>
        <w:t>14.-15. novembra 2016</w:t>
      </w:r>
      <w:r w:rsidR="00FF4766">
        <w:rPr>
          <w:sz w:val="18"/>
          <w:szCs w:val="18"/>
        </w:rPr>
        <w:t xml:space="preserve">). </w:t>
      </w:r>
    </w:p>
  </w:footnote>
  <w:footnote w:id="3">
    <w:p w:rsidR="00000000" w:rsidRDefault="007D1397">
      <w:pPr>
        <w:pStyle w:val="Textpoznmkypodiarou"/>
      </w:pPr>
      <w:r>
        <w:rPr>
          <w:rStyle w:val="Odkaznapoznmkupodiarou"/>
        </w:rPr>
        <w:footnoteRef/>
      </w:r>
      <w:r>
        <w:t xml:space="preserve"> Projekty financované za účasti EFSI musia spĺňať kritéria, ktoré na financovanie projektov kladie EIB. Od </w:t>
      </w:r>
      <w:r w:rsidR="00B035DC">
        <w:t xml:space="preserve">záruk z </w:t>
      </w:r>
      <w:r>
        <w:t>EFSI sa očakáva</w:t>
      </w:r>
      <w:r w:rsidR="00B035DC">
        <w:t xml:space="preserve">, že na financovaní projektov sa bude vyššou mierou podieľať aj súkromný kapitál. </w:t>
      </w:r>
      <w:r w:rsidR="009423F3">
        <w:t>Vláda SR vz</w:t>
      </w:r>
      <w:r w:rsidR="00B035DC">
        <w:t>a</w:t>
      </w:r>
      <w:r w:rsidR="009423F3">
        <w:t xml:space="preserve">la na vedomie „Informáciu o investičnom pláne pre Európu a postupe pre realizáciu investičných projektov v Slovenskej republike“ dňa 21. januára 2015.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ED4"/>
    <w:multiLevelType w:val="multilevel"/>
    <w:tmpl w:val="1052644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27B3C30"/>
    <w:multiLevelType w:val="multilevel"/>
    <w:tmpl w:val="9D229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457C2"/>
    <w:multiLevelType w:val="hybridMultilevel"/>
    <w:tmpl w:val="55E2301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16323321"/>
    <w:multiLevelType w:val="hybridMultilevel"/>
    <w:tmpl w:val="0F14F08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1D364E60"/>
    <w:multiLevelType w:val="hybridMultilevel"/>
    <w:tmpl w:val="A97C8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42270B0"/>
    <w:multiLevelType w:val="hybridMultilevel"/>
    <w:tmpl w:val="BA6094E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37380BCE"/>
    <w:multiLevelType w:val="hybridMultilevel"/>
    <w:tmpl w:val="FAB2114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377D71CD"/>
    <w:multiLevelType w:val="hybridMultilevel"/>
    <w:tmpl w:val="ABA0AAF6"/>
    <w:lvl w:ilvl="0" w:tplc="505C2954">
      <w:start w:val="1"/>
      <w:numFmt w:val="decimal"/>
      <w:pStyle w:val="Nadpis1"/>
      <w:lvlText w:val="%1."/>
      <w:lvlJc w:val="left"/>
      <w:pPr>
        <w:ind w:left="360" w:hanging="360"/>
      </w:pPr>
      <w:rPr>
        <w:rFonts w:cs="Times New Roman" w:hint="default"/>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423C3342"/>
    <w:multiLevelType w:val="hybridMultilevel"/>
    <w:tmpl w:val="24345762"/>
    <w:lvl w:ilvl="0" w:tplc="4E429BE4">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B5E0AC3"/>
    <w:multiLevelType w:val="hybridMultilevel"/>
    <w:tmpl w:val="FAB2114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E67511F"/>
    <w:multiLevelType w:val="hybridMultilevel"/>
    <w:tmpl w:val="65249A0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5F551340"/>
    <w:multiLevelType w:val="hybridMultilevel"/>
    <w:tmpl w:val="7316A04C"/>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hint="default"/>
      </w:rPr>
    </w:lvl>
    <w:lvl w:ilvl="2" w:tplc="041B0005">
      <w:start w:val="1"/>
      <w:numFmt w:val="bullet"/>
      <w:lvlText w:val=""/>
      <w:lvlJc w:val="left"/>
      <w:pPr>
        <w:ind w:left="1800" w:hanging="360"/>
      </w:pPr>
      <w:rPr>
        <w:rFonts w:ascii="Wingdings" w:hAnsi="Wingdings" w:hint="default"/>
      </w:rPr>
    </w:lvl>
    <w:lvl w:ilvl="3" w:tplc="041B0001">
      <w:start w:val="1"/>
      <w:numFmt w:val="bullet"/>
      <w:lvlText w:val=""/>
      <w:lvlJc w:val="left"/>
      <w:pPr>
        <w:ind w:left="2520" w:hanging="360"/>
      </w:pPr>
      <w:rPr>
        <w:rFonts w:ascii="Symbol" w:hAnsi="Symbol" w:hint="default"/>
      </w:rPr>
    </w:lvl>
    <w:lvl w:ilvl="4" w:tplc="041B0003">
      <w:start w:val="1"/>
      <w:numFmt w:val="bullet"/>
      <w:lvlText w:val="o"/>
      <w:lvlJc w:val="left"/>
      <w:pPr>
        <w:ind w:left="3240" w:hanging="360"/>
      </w:pPr>
      <w:rPr>
        <w:rFonts w:ascii="Courier New" w:hAnsi="Courier New" w:hint="default"/>
      </w:rPr>
    </w:lvl>
    <w:lvl w:ilvl="5" w:tplc="041B0005">
      <w:start w:val="1"/>
      <w:numFmt w:val="bullet"/>
      <w:lvlText w:val=""/>
      <w:lvlJc w:val="left"/>
      <w:pPr>
        <w:ind w:left="3960" w:hanging="360"/>
      </w:pPr>
      <w:rPr>
        <w:rFonts w:ascii="Wingdings" w:hAnsi="Wingdings" w:hint="default"/>
      </w:rPr>
    </w:lvl>
    <w:lvl w:ilvl="6" w:tplc="041B0001">
      <w:start w:val="1"/>
      <w:numFmt w:val="bullet"/>
      <w:lvlText w:val=""/>
      <w:lvlJc w:val="left"/>
      <w:pPr>
        <w:ind w:left="4680" w:hanging="360"/>
      </w:pPr>
      <w:rPr>
        <w:rFonts w:ascii="Symbol" w:hAnsi="Symbol" w:hint="default"/>
      </w:rPr>
    </w:lvl>
    <w:lvl w:ilvl="7" w:tplc="041B0003">
      <w:start w:val="1"/>
      <w:numFmt w:val="bullet"/>
      <w:lvlText w:val="o"/>
      <w:lvlJc w:val="left"/>
      <w:pPr>
        <w:ind w:left="5400" w:hanging="360"/>
      </w:pPr>
      <w:rPr>
        <w:rFonts w:ascii="Courier New" w:hAnsi="Courier New" w:hint="default"/>
      </w:rPr>
    </w:lvl>
    <w:lvl w:ilvl="8" w:tplc="041B0005">
      <w:start w:val="1"/>
      <w:numFmt w:val="bullet"/>
      <w:lvlText w:val=""/>
      <w:lvlJc w:val="left"/>
      <w:pPr>
        <w:ind w:left="6120" w:hanging="360"/>
      </w:pPr>
      <w:rPr>
        <w:rFonts w:ascii="Wingdings" w:hAnsi="Wingdings" w:hint="default"/>
      </w:rPr>
    </w:lvl>
  </w:abstractNum>
  <w:abstractNum w:abstractNumId="12" w15:restartNumberingAfterBreak="0">
    <w:nsid w:val="66D53D09"/>
    <w:multiLevelType w:val="hybridMultilevel"/>
    <w:tmpl w:val="56D22F7E"/>
    <w:lvl w:ilvl="0" w:tplc="FA563AA0">
      <w:start w:val="1"/>
      <w:numFmt w:val="lowerRoman"/>
      <w:lvlText w:val="%1)"/>
      <w:lvlJc w:val="left"/>
      <w:pPr>
        <w:ind w:left="1800" w:hanging="720"/>
      </w:pPr>
      <w:rPr>
        <w:rFonts w:cs="Times New Roman" w:hint="default"/>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13" w15:restartNumberingAfterBreak="0">
    <w:nsid w:val="67655D53"/>
    <w:multiLevelType w:val="hybridMultilevel"/>
    <w:tmpl w:val="FB64CE8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4" w15:restartNumberingAfterBreak="0">
    <w:nsid w:val="67D356DE"/>
    <w:multiLevelType w:val="hybridMultilevel"/>
    <w:tmpl w:val="DE48FB52"/>
    <w:lvl w:ilvl="0" w:tplc="CD1C31E0">
      <w:start w:val="1"/>
      <w:numFmt w:val="lowerRoman"/>
      <w:lvlText w:val="%1)"/>
      <w:lvlJc w:val="left"/>
      <w:pPr>
        <w:ind w:left="765" w:hanging="720"/>
      </w:pPr>
      <w:rPr>
        <w:rFonts w:cs="Times New Roman" w:hint="default"/>
      </w:rPr>
    </w:lvl>
    <w:lvl w:ilvl="1" w:tplc="041B0019" w:tentative="1">
      <w:start w:val="1"/>
      <w:numFmt w:val="lowerLetter"/>
      <w:lvlText w:val="%2."/>
      <w:lvlJc w:val="left"/>
      <w:pPr>
        <w:ind w:left="1125" w:hanging="360"/>
      </w:pPr>
      <w:rPr>
        <w:rFonts w:cs="Times New Roman"/>
      </w:rPr>
    </w:lvl>
    <w:lvl w:ilvl="2" w:tplc="041B001B" w:tentative="1">
      <w:start w:val="1"/>
      <w:numFmt w:val="lowerRoman"/>
      <w:lvlText w:val="%3."/>
      <w:lvlJc w:val="right"/>
      <w:pPr>
        <w:ind w:left="1845" w:hanging="180"/>
      </w:pPr>
      <w:rPr>
        <w:rFonts w:cs="Times New Roman"/>
      </w:rPr>
    </w:lvl>
    <w:lvl w:ilvl="3" w:tplc="041B000F" w:tentative="1">
      <w:start w:val="1"/>
      <w:numFmt w:val="decimal"/>
      <w:lvlText w:val="%4."/>
      <w:lvlJc w:val="left"/>
      <w:pPr>
        <w:ind w:left="2565" w:hanging="360"/>
      </w:pPr>
      <w:rPr>
        <w:rFonts w:cs="Times New Roman"/>
      </w:rPr>
    </w:lvl>
    <w:lvl w:ilvl="4" w:tplc="041B0019" w:tentative="1">
      <w:start w:val="1"/>
      <w:numFmt w:val="lowerLetter"/>
      <w:lvlText w:val="%5."/>
      <w:lvlJc w:val="left"/>
      <w:pPr>
        <w:ind w:left="3285" w:hanging="360"/>
      </w:pPr>
      <w:rPr>
        <w:rFonts w:cs="Times New Roman"/>
      </w:rPr>
    </w:lvl>
    <w:lvl w:ilvl="5" w:tplc="041B001B" w:tentative="1">
      <w:start w:val="1"/>
      <w:numFmt w:val="lowerRoman"/>
      <w:lvlText w:val="%6."/>
      <w:lvlJc w:val="right"/>
      <w:pPr>
        <w:ind w:left="4005" w:hanging="180"/>
      </w:pPr>
      <w:rPr>
        <w:rFonts w:cs="Times New Roman"/>
      </w:rPr>
    </w:lvl>
    <w:lvl w:ilvl="6" w:tplc="041B000F" w:tentative="1">
      <w:start w:val="1"/>
      <w:numFmt w:val="decimal"/>
      <w:lvlText w:val="%7."/>
      <w:lvlJc w:val="left"/>
      <w:pPr>
        <w:ind w:left="4725" w:hanging="360"/>
      </w:pPr>
      <w:rPr>
        <w:rFonts w:cs="Times New Roman"/>
      </w:rPr>
    </w:lvl>
    <w:lvl w:ilvl="7" w:tplc="041B0019" w:tentative="1">
      <w:start w:val="1"/>
      <w:numFmt w:val="lowerLetter"/>
      <w:lvlText w:val="%8."/>
      <w:lvlJc w:val="left"/>
      <w:pPr>
        <w:ind w:left="5445" w:hanging="360"/>
      </w:pPr>
      <w:rPr>
        <w:rFonts w:cs="Times New Roman"/>
      </w:rPr>
    </w:lvl>
    <w:lvl w:ilvl="8" w:tplc="041B001B" w:tentative="1">
      <w:start w:val="1"/>
      <w:numFmt w:val="lowerRoman"/>
      <w:lvlText w:val="%9."/>
      <w:lvlJc w:val="right"/>
      <w:pPr>
        <w:ind w:left="6165" w:hanging="180"/>
      </w:pPr>
      <w:rPr>
        <w:rFonts w:cs="Times New Roman"/>
      </w:rPr>
    </w:lvl>
  </w:abstractNum>
  <w:abstractNum w:abstractNumId="15" w15:restartNumberingAfterBreak="0">
    <w:nsid w:val="69EE257D"/>
    <w:multiLevelType w:val="hybridMultilevel"/>
    <w:tmpl w:val="C596A5C4"/>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6BEC0BB4"/>
    <w:multiLevelType w:val="hybridMultilevel"/>
    <w:tmpl w:val="E4C279B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70413094"/>
    <w:multiLevelType w:val="multilevel"/>
    <w:tmpl w:val="936AC476"/>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71825EB0"/>
    <w:multiLevelType w:val="hybridMultilevel"/>
    <w:tmpl w:val="A07890F6"/>
    <w:lvl w:ilvl="0" w:tplc="9F04F560">
      <w:start w:val="1"/>
      <w:numFmt w:val="bullet"/>
      <w:lvlText w:val="•"/>
      <w:lvlJc w:val="left"/>
      <w:pPr>
        <w:tabs>
          <w:tab w:val="num" w:pos="720"/>
        </w:tabs>
        <w:ind w:left="720" w:hanging="360"/>
      </w:pPr>
      <w:rPr>
        <w:rFonts w:ascii="Times New Roman" w:hAnsi="Times New Roman" w:hint="default"/>
      </w:rPr>
    </w:lvl>
    <w:lvl w:ilvl="1" w:tplc="EEA016E8" w:tentative="1">
      <w:start w:val="1"/>
      <w:numFmt w:val="bullet"/>
      <w:lvlText w:val="•"/>
      <w:lvlJc w:val="left"/>
      <w:pPr>
        <w:tabs>
          <w:tab w:val="num" w:pos="1440"/>
        </w:tabs>
        <w:ind w:left="1440" w:hanging="360"/>
      </w:pPr>
      <w:rPr>
        <w:rFonts w:ascii="Times New Roman" w:hAnsi="Times New Roman" w:hint="default"/>
      </w:rPr>
    </w:lvl>
    <w:lvl w:ilvl="2" w:tplc="3EE40D06" w:tentative="1">
      <w:start w:val="1"/>
      <w:numFmt w:val="bullet"/>
      <w:lvlText w:val="•"/>
      <w:lvlJc w:val="left"/>
      <w:pPr>
        <w:tabs>
          <w:tab w:val="num" w:pos="2160"/>
        </w:tabs>
        <w:ind w:left="2160" w:hanging="360"/>
      </w:pPr>
      <w:rPr>
        <w:rFonts w:ascii="Times New Roman" w:hAnsi="Times New Roman" w:hint="default"/>
      </w:rPr>
    </w:lvl>
    <w:lvl w:ilvl="3" w:tplc="07021A92" w:tentative="1">
      <w:start w:val="1"/>
      <w:numFmt w:val="bullet"/>
      <w:lvlText w:val="•"/>
      <w:lvlJc w:val="left"/>
      <w:pPr>
        <w:tabs>
          <w:tab w:val="num" w:pos="2880"/>
        </w:tabs>
        <w:ind w:left="2880" w:hanging="360"/>
      </w:pPr>
      <w:rPr>
        <w:rFonts w:ascii="Times New Roman" w:hAnsi="Times New Roman" w:hint="default"/>
      </w:rPr>
    </w:lvl>
    <w:lvl w:ilvl="4" w:tplc="920AF49C" w:tentative="1">
      <w:start w:val="1"/>
      <w:numFmt w:val="bullet"/>
      <w:lvlText w:val="•"/>
      <w:lvlJc w:val="left"/>
      <w:pPr>
        <w:tabs>
          <w:tab w:val="num" w:pos="3600"/>
        </w:tabs>
        <w:ind w:left="3600" w:hanging="360"/>
      </w:pPr>
      <w:rPr>
        <w:rFonts w:ascii="Times New Roman" w:hAnsi="Times New Roman" w:hint="default"/>
      </w:rPr>
    </w:lvl>
    <w:lvl w:ilvl="5" w:tplc="889C6E0C" w:tentative="1">
      <w:start w:val="1"/>
      <w:numFmt w:val="bullet"/>
      <w:lvlText w:val="•"/>
      <w:lvlJc w:val="left"/>
      <w:pPr>
        <w:tabs>
          <w:tab w:val="num" w:pos="4320"/>
        </w:tabs>
        <w:ind w:left="4320" w:hanging="360"/>
      </w:pPr>
      <w:rPr>
        <w:rFonts w:ascii="Times New Roman" w:hAnsi="Times New Roman" w:hint="default"/>
      </w:rPr>
    </w:lvl>
    <w:lvl w:ilvl="6" w:tplc="59C8C2D6" w:tentative="1">
      <w:start w:val="1"/>
      <w:numFmt w:val="bullet"/>
      <w:lvlText w:val="•"/>
      <w:lvlJc w:val="left"/>
      <w:pPr>
        <w:tabs>
          <w:tab w:val="num" w:pos="5040"/>
        </w:tabs>
        <w:ind w:left="5040" w:hanging="360"/>
      </w:pPr>
      <w:rPr>
        <w:rFonts w:ascii="Times New Roman" w:hAnsi="Times New Roman" w:hint="default"/>
      </w:rPr>
    </w:lvl>
    <w:lvl w:ilvl="7" w:tplc="02AE4D94" w:tentative="1">
      <w:start w:val="1"/>
      <w:numFmt w:val="bullet"/>
      <w:lvlText w:val="•"/>
      <w:lvlJc w:val="left"/>
      <w:pPr>
        <w:tabs>
          <w:tab w:val="num" w:pos="5760"/>
        </w:tabs>
        <w:ind w:left="5760" w:hanging="360"/>
      </w:pPr>
      <w:rPr>
        <w:rFonts w:ascii="Times New Roman" w:hAnsi="Times New Roman" w:hint="default"/>
      </w:rPr>
    </w:lvl>
    <w:lvl w:ilvl="8" w:tplc="AC0A6CD4"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79448ED"/>
    <w:multiLevelType w:val="hybridMultilevel"/>
    <w:tmpl w:val="4120C8DA"/>
    <w:lvl w:ilvl="0" w:tplc="CEA06514">
      <w:start w:val="1"/>
      <w:numFmt w:val="lowerRoman"/>
      <w:lvlText w:val="%1)"/>
      <w:lvlJc w:val="left"/>
      <w:pPr>
        <w:ind w:left="928" w:hanging="360"/>
      </w:pPr>
      <w:rPr>
        <w:rFonts w:asciiTheme="minorHAnsi" w:eastAsia="Times New Roman" w:hAnsiTheme="minorHAnsi" w:cs="Times New Roman"/>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9"/>
  </w:num>
  <w:num w:numId="5">
    <w:abstractNumId w:val="12"/>
  </w:num>
  <w:num w:numId="6">
    <w:abstractNumId w:val="6"/>
  </w:num>
  <w:num w:numId="7">
    <w:abstractNumId w:val="10"/>
  </w:num>
  <w:num w:numId="8">
    <w:abstractNumId w:val="14"/>
  </w:num>
  <w:num w:numId="9">
    <w:abstractNumId w:val="16"/>
  </w:num>
  <w:num w:numId="10">
    <w:abstractNumId w:val="0"/>
  </w:num>
  <w:num w:numId="11">
    <w:abstractNumId w:val="17"/>
  </w:num>
  <w:num w:numId="12">
    <w:abstractNumId w:val="4"/>
  </w:num>
  <w:num w:numId="13">
    <w:abstractNumId w:val="1"/>
  </w:num>
  <w:num w:numId="14">
    <w:abstractNumId w:val="19"/>
  </w:num>
  <w:num w:numId="15">
    <w:abstractNumId w:val="8"/>
  </w:num>
  <w:num w:numId="16">
    <w:abstractNumId w:val="11"/>
  </w:num>
  <w:num w:numId="17">
    <w:abstractNumId w:val="13"/>
  </w:num>
  <w:num w:numId="18">
    <w:abstractNumId w:val="7"/>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82"/>
    <w:rsid w:val="00000665"/>
    <w:rsid w:val="000006A7"/>
    <w:rsid w:val="00004CF3"/>
    <w:rsid w:val="000079AD"/>
    <w:rsid w:val="00040609"/>
    <w:rsid w:val="00051CB6"/>
    <w:rsid w:val="00051FA3"/>
    <w:rsid w:val="00054DC6"/>
    <w:rsid w:val="00057FDD"/>
    <w:rsid w:val="0006251F"/>
    <w:rsid w:val="00063A6F"/>
    <w:rsid w:val="000741B6"/>
    <w:rsid w:val="00075402"/>
    <w:rsid w:val="00083B11"/>
    <w:rsid w:val="00091346"/>
    <w:rsid w:val="000966A1"/>
    <w:rsid w:val="000B11B5"/>
    <w:rsid w:val="000B288D"/>
    <w:rsid w:val="000B403B"/>
    <w:rsid w:val="000C7F5A"/>
    <w:rsid w:val="000D4CC0"/>
    <w:rsid w:val="00102DF9"/>
    <w:rsid w:val="00105927"/>
    <w:rsid w:val="00120858"/>
    <w:rsid w:val="0012168E"/>
    <w:rsid w:val="00124A32"/>
    <w:rsid w:val="00144B42"/>
    <w:rsid w:val="00145410"/>
    <w:rsid w:val="00145E50"/>
    <w:rsid w:val="00150F03"/>
    <w:rsid w:val="00151DB8"/>
    <w:rsid w:val="00163A8A"/>
    <w:rsid w:val="0016564E"/>
    <w:rsid w:val="00180F71"/>
    <w:rsid w:val="00182ACC"/>
    <w:rsid w:val="001848B1"/>
    <w:rsid w:val="00187800"/>
    <w:rsid w:val="00187882"/>
    <w:rsid w:val="001965BD"/>
    <w:rsid w:val="001A0AA7"/>
    <w:rsid w:val="001A17F2"/>
    <w:rsid w:val="001A5309"/>
    <w:rsid w:val="001C22C1"/>
    <w:rsid w:val="001C6EB8"/>
    <w:rsid w:val="001C7394"/>
    <w:rsid w:val="001D1757"/>
    <w:rsid w:val="001E4032"/>
    <w:rsid w:val="001F0E44"/>
    <w:rsid w:val="001F3365"/>
    <w:rsid w:val="00201BCE"/>
    <w:rsid w:val="00205335"/>
    <w:rsid w:val="0020618F"/>
    <w:rsid w:val="00206891"/>
    <w:rsid w:val="00216656"/>
    <w:rsid w:val="00216A56"/>
    <w:rsid w:val="00221B50"/>
    <w:rsid w:val="00222948"/>
    <w:rsid w:val="002249C1"/>
    <w:rsid w:val="002323BE"/>
    <w:rsid w:val="0023729D"/>
    <w:rsid w:val="00241279"/>
    <w:rsid w:val="00242433"/>
    <w:rsid w:val="002456C5"/>
    <w:rsid w:val="00255D51"/>
    <w:rsid w:val="00277091"/>
    <w:rsid w:val="00277C89"/>
    <w:rsid w:val="00283CFC"/>
    <w:rsid w:val="00286A8C"/>
    <w:rsid w:val="00294616"/>
    <w:rsid w:val="00295689"/>
    <w:rsid w:val="00296578"/>
    <w:rsid w:val="00297C5F"/>
    <w:rsid w:val="002A11F5"/>
    <w:rsid w:val="002A5687"/>
    <w:rsid w:val="002A7806"/>
    <w:rsid w:val="002A7B9E"/>
    <w:rsid w:val="002B668C"/>
    <w:rsid w:val="002C27A8"/>
    <w:rsid w:val="002C3ED2"/>
    <w:rsid w:val="002C717B"/>
    <w:rsid w:val="002D3130"/>
    <w:rsid w:val="002D4CBD"/>
    <w:rsid w:val="002E1B84"/>
    <w:rsid w:val="002F270B"/>
    <w:rsid w:val="002F5420"/>
    <w:rsid w:val="002F7C1B"/>
    <w:rsid w:val="00307B58"/>
    <w:rsid w:val="003109D9"/>
    <w:rsid w:val="00321972"/>
    <w:rsid w:val="00321D8B"/>
    <w:rsid w:val="00324785"/>
    <w:rsid w:val="0032704C"/>
    <w:rsid w:val="0033257D"/>
    <w:rsid w:val="003473AB"/>
    <w:rsid w:val="00372496"/>
    <w:rsid w:val="00393012"/>
    <w:rsid w:val="00397C08"/>
    <w:rsid w:val="00397D86"/>
    <w:rsid w:val="003B2FD4"/>
    <w:rsid w:val="003B7FCE"/>
    <w:rsid w:val="003C2D92"/>
    <w:rsid w:val="003D2ACB"/>
    <w:rsid w:val="003E0D28"/>
    <w:rsid w:val="003E1736"/>
    <w:rsid w:val="003E2B4E"/>
    <w:rsid w:val="003E2DD9"/>
    <w:rsid w:val="003E3BB7"/>
    <w:rsid w:val="003E43AE"/>
    <w:rsid w:val="003F3F30"/>
    <w:rsid w:val="003F54D1"/>
    <w:rsid w:val="004205D3"/>
    <w:rsid w:val="00421793"/>
    <w:rsid w:val="004237CC"/>
    <w:rsid w:val="0042782C"/>
    <w:rsid w:val="00430854"/>
    <w:rsid w:val="004414CC"/>
    <w:rsid w:val="00442F60"/>
    <w:rsid w:val="0044518D"/>
    <w:rsid w:val="004456D7"/>
    <w:rsid w:val="004511EE"/>
    <w:rsid w:val="004535CE"/>
    <w:rsid w:val="0046542E"/>
    <w:rsid w:val="00471350"/>
    <w:rsid w:val="004861CA"/>
    <w:rsid w:val="00487BDE"/>
    <w:rsid w:val="0049069F"/>
    <w:rsid w:val="004951B0"/>
    <w:rsid w:val="004A211F"/>
    <w:rsid w:val="004A289A"/>
    <w:rsid w:val="004A4354"/>
    <w:rsid w:val="004A75B7"/>
    <w:rsid w:val="004B7388"/>
    <w:rsid w:val="004B7F51"/>
    <w:rsid w:val="004C1508"/>
    <w:rsid w:val="004C3D4C"/>
    <w:rsid w:val="004C60D3"/>
    <w:rsid w:val="004C663C"/>
    <w:rsid w:val="004C770A"/>
    <w:rsid w:val="004D324D"/>
    <w:rsid w:val="004D794F"/>
    <w:rsid w:val="004E1957"/>
    <w:rsid w:val="004F28D5"/>
    <w:rsid w:val="004F3A9F"/>
    <w:rsid w:val="00502271"/>
    <w:rsid w:val="00504838"/>
    <w:rsid w:val="00513C69"/>
    <w:rsid w:val="005254C5"/>
    <w:rsid w:val="00526378"/>
    <w:rsid w:val="00531B97"/>
    <w:rsid w:val="005346B0"/>
    <w:rsid w:val="005434E6"/>
    <w:rsid w:val="00571563"/>
    <w:rsid w:val="00585C9E"/>
    <w:rsid w:val="005920E7"/>
    <w:rsid w:val="005A3F5F"/>
    <w:rsid w:val="005B0CE0"/>
    <w:rsid w:val="005C3856"/>
    <w:rsid w:val="005C4A25"/>
    <w:rsid w:val="005C6ADA"/>
    <w:rsid w:val="005D7D0A"/>
    <w:rsid w:val="005E1E47"/>
    <w:rsid w:val="005F1F0B"/>
    <w:rsid w:val="00601F60"/>
    <w:rsid w:val="00602460"/>
    <w:rsid w:val="0060507D"/>
    <w:rsid w:val="006059EA"/>
    <w:rsid w:val="00606EC7"/>
    <w:rsid w:val="00610B16"/>
    <w:rsid w:val="00612268"/>
    <w:rsid w:val="006241FE"/>
    <w:rsid w:val="006244F6"/>
    <w:rsid w:val="00630A83"/>
    <w:rsid w:val="00631A9C"/>
    <w:rsid w:val="00642598"/>
    <w:rsid w:val="00655C2F"/>
    <w:rsid w:val="00671A53"/>
    <w:rsid w:val="006902A1"/>
    <w:rsid w:val="00696004"/>
    <w:rsid w:val="006A079F"/>
    <w:rsid w:val="006A2A08"/>
    <w:rsid w:val="006A6D67"/>
    <w:rsid w:val="006B378A"/>
    <w:rsid w:val="006C12AF"/>
    <w:rsid w:val="006C55FC"/>
    <w:rsid w:val="006D1594"/>
    <w:rsid w:val="006D5449"/>
    <w:rsid w:val="006D640C"/>
    <w:rsid w:val="006E1FA0"/>
    <w:rsid w:val="006E2938"/>
    <w:rsid w:val="006E7725"/>
    <w:rsid w:val="006F392F"/>
    <w:rsid w:val="006F4D6B"/>
    <w:rsid w:val="006F7645"/>
    <w:rsid w:val="00704116"/>
    <w:rsid w:val="00724C73"/>
    <w:rsid w:val="00726FAB"/>
    <w:rsid w:val="00731B25"/>
    <w:rsid w:val="0073552E"/>
    <w:rsid w:val="00750742"/>
    <w:rsid w:val="00752ECF"/>
    <w:rsid w:val="00752F40"/>
    <w:rsid w:val="00755EF7"/>
    <w:rsid w:val="007652DE"/>
    <w:rsid w:val="00765379"/>
    <w:rsid w:val="00766C34"/>
    <w:rsid w:val="0077414C"/>
    <w:rsid w:val="00777D02"/>
    <w:rsid w:val="00791A55"/>
    <w:rsid w:val="0079582E"/>
    <w:rsid w:val="00797326"/>
    <w:rsid w:val="007B3823"/>
    <w:rsid w:val="007D1397"/>
    <w:rsid w:val="007D4928"/>
    <w:rsid w:val="007E1801"/>
    <w:rsid w:val="007E6F6D"/>
    <w:rsid w:val="007F317E"/>
    <w:rsid w:val="0080796B"/>
    <w:rsid w:val="00822FC7"/>
    <w:rsid w:val="0082382B"/>
    <w:rsid w:val="008333D4"/>
    <w:rsid w:val="00835016"/>
    <w:rsid w:val="00835E8B"/>
    <w:rsid w:val="00840223"/>
    <w:rsid w:val="008471A6"/>
    <w:rsid w:val="00855463"/>
    <w:rsid w:val="0086327E"/>
    <w:rsid w:val="008728FE"/>
    <w:rsid w:val="00875507"/>
    <w:rsid w:val="008867D5"/>
    <w:rsid w:val="00891F4A"/>
    <w:rsid w:val="008975A7"/>
    <w:rsid w:val="008A2740"/>
    <w:rsid w:val="008C3093"/>
    <w:rsid w:val="008C7734"/>
    <w:rsid w:val="008E3781"/>
    <w:rsid w:val="008E3A08"/>
    <w:rsid w:val="008F5CEF"/>
    <w:rsid w:val="00900FDA"/>
    <w:rsid w:val="00906334"/>
    <w:rsid w:val="00911DE0"/>
    <w:rsid w:val="00912E43"/>
    <w:rsid w:val="009133AD"/>
    <w:rsid w:val="00913A92"/>
    <w:rsid w:val="0092754F"/>
    <w:rsid w:val="009308D8"/>
    <w:rsid w:val="009319D0"/>
    <w:rsid w:val="009423F3"/>
    <w:rsid w:val="00945288"/>
    <w:rsid w:val="00953D02"/>
    <w:rsid w:val="00965293"/>
    <w:rsid w:val="00966C6E"/>
    <w:rsid w:val="009738F2"/>
    <w:rsid w:val="00991624"/>
    <w:rsid w:val="00996818"/>
    <w:rsid w:val="00997635"/>
    <w:rsid w:val="009B262E"/>
    <w:rsid w:val="009C0402"/>
    <w:rsid w:val="009C2057"/>
    <w:rsid w:val="009C3882"/>
    <w:rsid w:val="009C72A6"/>
    <w:rsid w:val="009C7AFF"/>
    <w:rsid w:val="009D0739"/>
    <w:rsid w:val="009D44A9"/>
    <w:rsid w:val="009F17D3"/>
    <w:rsid w:val="009F22F2"/>
    <w:rsid w:val="009F2A21"/>
    <w:rsid w:val="00A139F8"/>
    <w:rsid w:val="00A16AE7"/>
    <w:rsid w:val="00A16E28"/>
    <w:rsid w:val="00A25944"/>
    <w:rsid w:val="00A349EA"/>
    <w:rsid w:val="00A44121"/>
    <w:rsid w:val="00A56713"/>
    <w:rsid w:val="00A7205E"/>
    <w:rsid w:val="00A7398F"/>
    <w:rsid w:val="00A85E59"/>
    <w:rsid w:val="00A97BF0"/>
    <w:rsid w:val="00AA1098"/>
    <w:rsid w:val="00AA1287"/>
    <w:rsid w:val="00AA6AFA"/>
    <w:rsid w:val="00AB1BA1"/>
    <w:rsid w:val="00AD5567"/>
    <w:rsid w:val="00AD608D"/>
    <w:rsid w:val="00AD6123"/>
    <w:rsid w:val="00AE3F88"/>
    <w:rsid w:val="00AF5B29"/>
    <w:rsid w:val="00B0029E"/>
    <w:rsid w:val="00B00C83"/>
    <w:rsid w:val="00B035DC"/>
    <w:rsid w:val="00B05E9B"/>
    <w:rsid w:val="00B113BF"/>
    <w:rsid w:val="00B13B68"/>
    <w:rsid w:val="00B17701"/>
    <w:rsid w:val="00B17C30"/>
    <w:rsid w:val="00B33D2D"/>
    <w:rsid w:val="00B4046F"/>
    <w:rsid w:val="00B409B2"/>
    <w:rsid w:val="00B438E3"/>
    <w:rsid w:val="00B43E09"/>
    <w:rsid w:val="00B4635F"/>
    <w:rsid w:val="00B52D3A"/>
    <w:rsid w:val="00B53D55"/>
    <w:rsid w:val="00B64F67"/>
    <w:rsid w:val="00B655B4"/>
    <w:rsid w:val="00B67082"/>
    <w:rsid w:val="00B7112E"/>
    <w:rsid w:val="00B71C45"/>
    <w:rsid w:val="00B77ED2"/>
    <w:rsid w:val="00B83C14"/>
    <w:rsid w:val="00B870E5"/>
    <w:rsid w:val="00B87CF9"/>
    <w:rsid w:val="00BA2A57"/>
    <w:rsid w:val="00BB06FB"/>
    <w:rsid w:val="00BC1171"/>
    <w:rsid w:val="00BD3EF8"/>
    <w:rsid w:val="00BE6501"/>
    <w:rsid w:val="00BF43FD"/>
    <w:rsid w:val="00BF512B"/>
    <w:rsid w:val="00BF5BD7"/>
    <w:rsid w:val="00C0493C"/>
    <w:rsid w:val="00C143C6"/>
    <w:rsid w:val="00C21114"/>
    <w:rsid w:val="00C2768E"/>
    <w:rsid w:val="00C35280"/>
    <w:rsid w:val="00C368EE"/>
    <w:rsid w:val="00C3709F"/>
    <w:rsid w:val="00C5613B"/>
    <w:rsid w:val="00C56F03"/>
    <w:rsid w:val="00C63423"/>
    <w:rsid w:val="00C63EE0"/>
    <w:rsid w:val="00C8213E"/>
    <w:rsid w:val="00C8286F"/>
    <w:rsid w:val="00C85D04"/>
    <w:rsid w:val="00C87826"/>
    <w:rsid w:val="00C87C25"/>
    <w:rsid w:val="00C91ACF"/>
    <w:rsid w:val="00CA3748"/>
    <w:rsid w:val="00CB19B1"/>
    <w:rsid w:val="00CC1CFD"/>
    <w:rsid w:val="00CC2FBF"/>
    <w:rsid w:val="00CC3CD8"/>
    <w:rsid w:val="00CC679F"/>
    <w:rsid w:val="00CE3262"/>
    <w:rsid w:val="00CF0450"/>
    <w:rsid w:val="00CF3BE0"/>
    <w:rsid w:val="00D12238"/>
    <w:rsid w:val="00D228C5"/>
    <w:rsid w:val="00D362B2"/>
    <w:rsid w:val="00D449BC"/>
    <w:rsid w:val="00D55AFF"/>
    <w:rsid w:val="00D6481A"/>
    <w:rsid w:val="00D70DFD"/>
    <w:rsid w:val="00D72E96"/>
    <w:rsid w:val="00D81315"/>
    <w:rsid w:val="00D825FE"/>
    <w:rsid w:val="00D937CB"/>
    <w:rsid w:val="00D96B18"/>
    <w:rsid w:val="00DA089D"/>
    <w:rsid w:val="00DC1292"/>
    <w:rsid w:val="00DC5A22"/>
    <w:rsid w:val="00DD1585"/>
    <w:rsid w:val="00DE05EB"/>
    <w:rsid w:val="00DF3B46"/>
    <w:rsid w:val="00DF76DC"/>
    <w:rsid w:val="00DF7E73"/>
    <w:rsid w:val="00E00F18"/>
    <w:rsid w:val="00E02C51"/>
    <w:rsid w:val="00E045A3"/>
    <w:rsid w:val="00E048B6"/>
    <w:rsid w:val="00E170DD"/>
    <w:rsid w:val="00E25C64"/>
    <w:rsid w:val="00E27ACC"/>
    <w:rsid w:val="00E4231A"/>
    <w:rsid w:val="00E4677C"/>
    <w:rsid w:val="00E46AF0"/>
    <w:rsid w:val="00E6408B"/>
    <w:rsid w:val="00E649B8"/>
    <w:rsid w:val="00E6714D"/>
    <w:rsid w:val="00E67FA8"/>
    <w:rsid w:val="00E8785A"/>
    <w:rsid w:val="00E91163"/>
    <w:rsid w:val="00E92325"/>
    <w:rsid w:val="00EA060D"/>
    <w:rsid w:val="00EA120A"/>
    <w:rsid w:val="00ED2766"/>
    <w:rsid w:val="00EF0B53"/>
    <w:rsid w:val="00EF3AEC"/>
    <w:rsid w:val="00EF708C"/>
    <w:rsid w:val="00F02460"/>
    <w:rsid w:val="00F0422C"/>
    <w:rsid w:val="00F11159"/>
    <w:rsid w:val="00F15BE7"/>
    <w:rsid w:val="00F2568B"/>
    <w:rsid w:val="00F27319"/>
    <w:rsid w:val="00F3381C"/>
    <w:rsid w:val="00F360B1"/>
    <w:rsid w:val="00F42E54"/>
    <w:rsid w:val="00F45B81"/>
    <w:rsid w:val="00F471FE"/>
    <w:rsid w:val="00F61CC7"/>
    <w:rsid w:val="00F624FE"/>
    <w:rsid w:val="00F73AB7"/>
    <w:rsid w:val="00F90D67"/>
    <w:rsid w:val="00F93901"/>
    <w:rsid w:val="00F9408B"/>
    <w:rsid w:val="00FB2CA8"/>
    <w:rsid w:val="00FD439B"/>
    <w:rsid w:val="00FD554A"/>
    <w:rsid w:val="00FF476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5C365D0-0C14-4FAB-B880-980941A0A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Pr>
      <w:rFonts w:cs="Times New Roman"/>
    </w:rPr>
  </w:style>
  <w:style w:type="paragraph" w:styleId="Nadpis1">
    <w:name w:val="heading 1"/>
    <w:basedOn w:val="Normlny"/>
    <w:next w:val="Normlny"/>
    <w:link w:val="Nadpis1Char"/>
    <w:uiPriority w:val="9"/>
    <w:qFormat/>
    <w:rsid w:val="00BE6501"/>
    <w:pPr>
      <w:keepNext/>
      <w:keepLines/>
      <w:numPr>
        <w:numId w:val="18"/>
      </w:numPr>
      <w:spacing w:before="240" w:after="0"/>
      <w:outlineLvl w:val="0"/>
    </w:pPr>
    <w:rPr>
      <w:rFonts w:ascii="Times New Roman" w:eastAsiaTheme="majorEastAsia" w:hAnsi="Times New Roman"/>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BE6501"/>
    <w:rPr>
      <w:rFonts w:ascii="Times New Roman" w:eastAsiaTheme="majorEastAsia" w:hAnsi="Times New Roman" w:cs="Times New Roman"/>
      <w:sz w:val="32"/>
      <w:szCs w:val="32"/>
    </w:rPr>
  </w:style>
  <w:style w:type="paragraph" w:styleId="Odsekzoznamu">
    <w:name w:val="List Paragraph"/>
    <w:basedOn w:val="Normlny"/>
    <w:uiPriority w:val="34"/>
    <w:qFormat/>
    <w:rsid w:val="00A25944"/>
    <w:pPr>
      <w:ind w:left="720"/>
      <w:contextualSpacing/>
    </w:pPr>
  </w:style>
  <w:style w:type="paragraph" w:styleId="Textpoznmkypodiarou">
    <w:name w:val="footnote text"/>
    <w:basedOn w:val="Normlny"/>
    <w:link w:val="TextpoznmkypodiarouChar"/>
    <w:uiPriority w:val="99"/>
    <w:semiHidden/>
    <w:unhideWhenUsed/>
    <w:rsid w:val="002A7806"/>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locked/>
    <w:rsid w:val="002A7806"/>
    <w:rPr>
      <w:rFonts w:cs="Times New Roman"/>
      <w:sz w:val="20"/>
      <w:szCs w:val="20"/>
    </w:rPr>
  </w:style>
  <w:style w:type="character" w:styleId="Odkaznapoznmkupodiarou">
    <w:name w:val="footnote reference"/>
    <w:basedOn w:val="Predvolenpsmoodseku"/>
    <w:uiPriority w:val="99"/>
    <w:semiHidden/>
    <w:unhideWhenUsed/>
    <w:rsid w:val="002A7806"/>
    <w:rPr>
      <w:rFonts w:cs="Times New Roman"/>
      <w:vertAlign w:val="superscript"/>
    </w:rPr>
  </w:style>
  <w:style w:type="paragraph" w:customStyle="1" w:styleId="Default">
    <w:name w:val="Default"/>
    <w:rsid w:val="00671A53"/>
    <w:pPr>
      <w:autoSpaceDE w:val="0"/>
      <w:autoSpaceDN w:val="0"/>
      <w:adjustRightInd w:val="0"/>
      <w:spacing w:after="0" w:line="240" w:lineRule="auto"/>
    </w:pPr>
    <w:rPr>
      <w:rFonts w:ascii="Georgia" w:hAnsi="Georgia" w:cs="Georgia"/>
      <w:color w:val="000000"/>
      <w:sz w:val="24"/>
      <w:szCs w:val="24"/>
    </w:rPr>
  </w:style>
  <w:style w:type="paragraph" w:styleId="Hlavika">
    <w:name w:val="header"/>
    <w:basedOn w:val="Normlny"/>
    <w:link w:val="HlavikaChar"/>
    <w:uiPriority w:val="99"/>
    <w:unhideWhenUsed/>
    <w:rsid w:val="00BA2A57"/>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BA2A57"/>
    <w:rPr>
      <w:rFonts w:cs="Times New Roman"/>
    </w:rPr>
  </w:style>
  <w:style w:type="paragraph" w:styleId="Pta">
    <w:name w:val="footer"/>
    <w:basedOn w:val="Normlny"/>
    <w:link w:val="PtaChar"/>
    <w:uiPriority w:val="99"/>
    <w:unhideWhenUsed/>
    <w:rsid w:val="00BA2A57"/>
    <w:pPr>
      <w:tabs>
        <w:tab w:val="center" w:pos="4536"/>
        <w:tab w:val="right" w:pos="9072"/>
      </w:tabs>
      <w:spacing w:after="0" w:line="240" w:lineRule="auto"/>
    </w:pPr>
  </w:style>
  <w:style w:type="character" w:customStyle="1" w:styleId="PtaChar">
    <w:name w:val="Päta Char"/>
    <w:basedOn w:val="Predvolenpsmoodseku"/>
    <w:link w:val="Pta"/>
    <w:uiPriority w:val="99"/>
    <w:locked/>
    <w:rsid w:val="00BA2A57"/>
    <w:rPr>
      <w:rFonts w:cs="Times New Roman"/>
    </w:rPr>
  </w:style>
  <w:style w:type="paragraph" w:styleId="Textbubliny">
    <w:name w:val="Balloon Text"/>
    <w:basedOn w:val="Normlny"/>
    <w:link w:val="TextbublinyChar"/>
    <w:uiPriority w:val="99"/>
    <w:semiHidden/>
    <w:unhideWhenUsed/>
    <w:rsid w:val="00631A9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631A9C"/>
    <w:rPr>
      <w:rFonts w:ascii="Tahoma" w:hAnsi="Tahoma" w:cs="Tahoma"/>
      <w:sz w:val="16"/>
      <w:szCs w:val="16"/>
    </w:rPr>
  </w:style>
  <w:style w:type="character" w:styleId="Jemnzvraznenie">
    <w:name w:val="Subtle Emphasis"/>
    <w:basedOn w:val="Predvolenpsmoodseku"/>
    <w:uiPriority w:val="19"/>
    <w:qFormat/>
    <w:rsid w:val="00124A32"/>
    <w:rPr>
      <w:rFonts w:cs="Times New Roman"/>
      <w:i/>
      <w:iCs/>
      <w:color w:val="404040" w:themeColor="text1" w:themeTint="BF"/>
    </w:rPr>
  </w:style>
  <w:style w:type="paragraph" w:styleId="Citcia">
    <w:name w:val="Quote"/>
    <w:basedOn w:val="Normlny"/>
    <w:next w:val="Normlny"/>
    <w:link w:val="CitciaChar"/>
    <w:uiPriority w:val="29"/>
    <w:qFormat/>
    <w:rsid w:val="00891F4A"/>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locked/>
    <w:rsid w:val="00891F4A"/>
    <w:rPr>
      <w:rFonts w:cs="Times New Roman"/>
      <w:i/>
      <w:iCs/>
      <w:color w:val="404040" w:themeColor="text1" w:themeTint="BF"/>
    </w:rPr>
  </w:style>
  <w:style w:type="paragraph" w:styleId="Normlnywebov">
    <w:name w:val="Normal (Web)"/>
    <w:basedOn w:val="Normlny"/>
    <w:uiPriority w:val="99"/>
    <w:semiHidden/>
    <w:unhideWhenUsed/>
    <w:rsid w:val="00487BDE"/>
    <w:pPr>
      <w:spacing w:before="100" w:beforeAutospacing="1" w:after="100" w:afterAutospacing="1" w:line="240" w:lineRule="auto"/>
    </w:pPr>
    <w:rPr>
      <w:rFonts w:ascii="Times New Roman" w:hAnsi="Times New Roman"/>
      <w:sz w:val="24"/>
      <w:szCs w:val="24"/>
      <w:lang w:eastAsia="sk-SK"/>
    </w:rPr>
  </w:style>
  <w:style w:type="character" w:styleId="Hypertextovprepojenie">
    <w:name w:val="Hyperlink"/>
    <w:basedOn w:val="Predvolenpsmoodseku"/>
    <w:uiPriority w:val="99"/>
    <w:semiHidden/>
    <w:unhideWhenUsed/>
    <w:rsid w:val="00487BDE"/>
    <w:rPr>
      <w:rFonts w:cs="Times New Roman"/>
      <w:color w:val="0000FF"/>
      <w:u w:val="single"/>
    </w:rPr>
  </w:style>
  <w:style w:type="paragraph" w:customStyle="1" w:styleId="last-child">
    <w:name w:val="last-child"/>
    <w:basedOn w:val="Normlny"/>
    <w:rsid w:val="00487BDE"/>
    <w:pPr>
      <w:spacing w:before="100" w:beforeAutospacing="1" w:after="100" w:afterAutospacing="1" w:line="240" w:lineRule="auto"/>
    </w:pPr>
    <w:rPr>
      <w:rFonts w:ascii="Times New Roman" w:hAnsi="Times New Roman"/>
      <w:sz w:val="24"/>
      <w:szCs w:val="24"/>
      <w:lang w:eastAsia="sk-SK"/>
    </w:rPr>
  </w:style>
  <w:style w:type="character" w:styleId="Odkaznakomentr">
    <w:name w:val="annotation reference"/>
    <w:basedOn w:val="Predvolenpsmoodseku"/>
    <w:uiPriority w:val="99"/>
    <w:semiHidden/>
    <w:unhideWhenUsed/>
    <w:rsid w:val="00216656"/>
    <w:rPr>
      <w:rFonts w:cs="Times New Roman"/>
      <w:sz w:val="16"/>
      <w:szCs w:val="16"/>
    </w:rPr>
  </w:style>
  <w:style w:type="paragraph" w:styleId="Textkomentra">
    <w:name w:val="annotation text"/>
    <w:basedOn w:val="Normlny"/>
    <w:link w:val="TextkomentraChar"/>
    <w:uiPriority w:val="99"/>
    <w:semiHidden/>
    <w:unhideWhenUsed/>
    <w:rsid w:val="00216656"/>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216656"/>
    <w:rPr>
      <w:rFonts w:cs="Times New Roman"/>
      <w:sz w:val="20"/>
      <w:szCs w:val="20"/>
    </w:rPr>
  </w:style>
  <w:style w:type="paragraph" w:styleId="Predmetkomentra">
    <w:name w:val="annotation subject"/>
    <w:basedOn w:val="Textkomentra"/>
    <w:next w:val="Textkomentra"/>
    <w:link w:val="PredmetkomentraChar"/>
    <w:uiPriority w:val="99"/>
    <w:semiHidden/>
    <w:unhideWhenUsed/>
    <w:rsid w:val="00216656"/>
    <w:rPr>
      <w:b/>
      <w:bCs/>
    </w:rPr>
  </w:style>
  <w:style w:type="character" w:customStyle="1" w:styleId="PredmetkomentraChar">
    <w:name w:val="Predmet komentára Char"/>
    <w:basedOn w:val="TextkomentraChar"/>
    <w:link w:val="Predmetkomentra"/>
    <w:uiPriority w:val="99"/>
    <w:semiHidden/>
    <w:locked/>
    <w:rsid w:val="00216656"/>
    <w:rPr>
      <w:rFonts w:cs="Times New Roman"/>
      <w:b/>
      <w:bCs/>
      <w:sz w:val="20"/>
      <w:szCs w:val="20"/>
    </w:rPr>
  </w:style>
  <w:style w:type="paragraph" w:styleId="Revzia">
    <w:name w:val="Revision"/>
    <w:hidden/>
    <w:uiPriority w:val="99"/>
    <w:semiHidden/>
    <w:rsid w:val="00216656"/>
    <w:pPr>
      <w:spacing w:after="0" w:line="240" w:lineRule="auto"/>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727789">
      <w:marLeft w:val="0"/>
      <w:marRight w:val="0"/>
      <w:marTop w:val="0"/>
      <w:marBottom w:val="0"/>
      <w:divBdr>
        <w:top w:val="none" w:sz="0" w:space="0" w:color="auto"/>
        <w:left w:val="none" w:sz="0" w:space="0" w:color="auto"/>
        <w:bottom w:val="none" w:sz="0" w:space="0" w:color="auto"/>
        <w:right w:val="none" w:sz="0" w:space="0" w:color="auto"/>
      </w:divBdr>
      <w:divsChild>
        <w:div w:id="1570727787">
          <w:marLeft w:val="547"/>
          <w:marRight w:val="0"/>
          <w:marTop w:val="0"/>
          <w:marBottom w:val="0"/>
          <w:divBdr>
            <w:top w:val="none" w:sz="0" w:space="0" w:color="auto"/>
            <w:left w:val="none" w:sz="0" w:space="0" w:color="auto"/>
            <w:bottom w:val="none" w:sz="0" w:space="0" w:color="auto"/>
            <w:right w:val="none" w:sz="0" w:space="0" w:color="auto"/>
          </w:divBdr>
        </w:div>
        <w:div w:id="1570727793">
          <w:marLeft w:val="547"/>
          <w:marRight w:val="0"/>
          <w:marTop w:val="0"/>
          <w:marBottom w:val="0"/>
          <w:divBdr>
            <w:top w:val="none" w:sz="0" w:space="0" w:color="auto"/>
            <w:left w:val="none" w:sz="0" w:space="0" w:color="auto"/>
            <w:bottom w:val="none" w:sz="0" w:space="0" w:color="auto"/>
            <w:right w:val="none" w:sz="0" w:space="0" w:color="auto"/>
          </w:divBdr>
        </w:div>
        <w:div w:id="1570727794">
          <w:marLeft w:val="547"/>
          <w:marRight w:val="0"/>
          <w:marTop w:val="0"/>
          <w:marBottom w:val="0"/>
          <w:divBdr>
            <w:top w:val="none" w:sz="0" w:space="0" w:color="auto"/>
            <w:left w:val="none" w:sz="0" w:space="0" w:color="auto"/>
            <w:bottom w:val="none" w:sz="0" w:space="0" w:color="auto"/>
            <w:right w:val="none" w:sz="0" w:space="0" w:color="auto"/>
          </w:divBdr>
        </w:div>
        <w:div w:id="1570727795">
          <w:marLeft w:val="547"/>
          <w:marRight w:val="0"/>
          <w:marTop w:val="0"/>
          <w:marBottom w:val="0"/>
          <w:divBdr>
            <w:top w:val="none" w:sz="0" w:space="0" w:color="auto"/>
            <w:left w:val="none" w:sz="0" w:space="0" w:color="auto"/>
            <w:bottom w:val="none" w:sz="0" w:space="0" w:color="auto"/>
            <w:right w:val="none" w:sz="0" w:space="0" w:color="auto"/>
          </w:divBdr>
        </w:div>
      </w:divsChild>
    </w:div>
    <w:div w:id="1570727797">
      <w:marLeft w:val="0"/>
      <w:marRight w:val="0"/>
      <w:marTop w:val="0"/>
      <w:marBottom w:val="0"/>
      <w:divBdr>
        <w:top w:val="none" w:sz="0" w:space="0" w:color="auto"/>
        <w:left w:val="none" w:sz="0" w:space="0" w:color="auto"/>
        <w:bottom w:val="none" w:sz="0" w:space="0" w:color="auto"/>
        <w:right w:val="none" w:sz="0" w:space="0" w:color="auto"/>
      </w:divBdr>
    </w:div>
    <w:div w:id="1570727798">
      <w:marLeft w:val="0"/>
      <w:marRight w:val="0"/>
      <w:marTop w:val="0"/>
      <w:marBottom w:val="0"/>
      <w:divBdr>
        <w:top w:val="none" w:sz="0" w:space="0" w:color="auto"/>
        <w:left w:val="none" w:sz="0" w:space="0" w:color="auto"/>
        <w:bottom w:val="none" w:sz="0" w:space="0" w:color="auto"/>
        <w:right w:val="none" w:sz="0" w:space="0" w:color="auto"/>
      </w:divBdr>
      <w:divsChild>
        <w:div w:id="1570727791">
          <w:marLeft w:val="0"/>
          <w:marRight w:val="0"/>
          <w:marTop w:val="0"/>
          <w:marBottom w:val="0"/>
          <w:divBdr>
            <w:top w:val="none" w:sz="0" w:space="0" w:color="auto"/>
            <w:left w:val="none" w:sz="0" w:space="0" w:color="auto"/>
            <w:bottom w:val="none" w:sz="0" w:space="0" w:color="auto"/>
            <w:right w:val="none" w:sz="0" w:space="0" w:color="auto"/>
          </w:divBdr>
          <w:divsChild>
            <w:div w:id="1570727796">
              <w:marLeft w:val="0"/>
              <w:marRight w:val="0"/>
              <w:marTop w:val="0"/>
              <w:marBottom w:val="0"/>
              <w:divBdr>
                <w:top w:val="none" w:sz="0" w:space="0" w:color="auto"/>
                <w:left w:val="none" w:sz="0" w:space="0" w:color="auto"/>
                <w:bottom w:val="none" w:sz="0" w:space="0" w:color="auto"/>
                <w:right w:val="none" w:sz="0" w:space="0" w:color="auto"/>
              </w:divBdr>
              <w:divsChild>
                <w:div w:id="1570727784">
                  <w:marLeft w:val="0"/>
                  <w:marRight w:val="0"/>
                  <w:marTop w:val="0"/>
                  <w:marBottom w:val="0"/>
                  <w:divBdr>
                    <w:top w:val="none" w:sz="0" w:space="0" w:color="auto"/>
                    <w:left w:val="none" w:sz="0" w:space="0" w:color="auto"/>
                    <w:bottom w:val="none" w:sz="0" w:space="0" w:color="auto"/>
                    <w:right w:val="none" w:sz="0" w:space="0" w:color="auto"/>
                  </w:divBdr>
                  <w:divsChild>
                    <w:div w:id="1570727799">
                      <w:marLeft w:val="0"/>
                      <w:marRight w:val="0"/>
                      <w:marTop w:val="0"/>
                      <w:marBottom w:val="0"/>
                      <w:divBdr>
                        <w:top w:val="none" w:sz="0" w:space="0" w:color="auto"/>
                        <w:left w:val="none" w:sz="0" w:space="0" w:color="auto"/>
                        <w:bottom w:val="none" w:sz="0" w:space="0" w:color="auto"/>
                        <w:right w:val="none" w:sz="0" w:space="0" w:color="auto"/>
                      </w:divBdr>
                      <w:divsChild>
                        <w:div w:id="1570727785">
                          <w:marLeft w:val="0"/>
                          <w:marRight w:val="0"/>
                          <w:marTop w:val="0"/>
                          <w:marBottom w:val="0"/>
                          <w:divBdr>
                            <w:top w:val="none" w:sz="0" w:space="0" w:color="auto"/>
                            <w:left w:val="none" w:sz="0" w:space="0" w:color="auto"/>
                            <w:bottom w:val="none" w:sz="0" w:space="0" w:color="auto"/>
                            <w:right w:val="none" w:sz="0" w:space="0" w:color="auto"/>
                          </w:divBdr>
                          <w:divsChild>
                            <w:div w:id="1570727788">
                              <w:marLeft w:val="0"/>
                              <w:marRight w:val="0"/>
                              <w:marTop w:val="0"/>
                              <w:marBottom w:val="0"/>
                              <w:divBdr>
                                <w:top w:val="none" w:sz="0" w:space="0" w:color="auto"/>
                                <w:left w:val="none" w:sz="0" w:space="0" w:color="auto"/>
                                <w:bottom w:val="none" w:sz="0" w:space="0" w:color="auto"/>
                                <w:right w:val="none" w:sz="0" w:space="0" w:color="auto"/>
                              </w:divBdr>
                              <w:divsChild>
                                <w:div w:id="1570727786">
                                  <w:marLeft w:val="720"/>
                                  <w:marRight w:val="720"/>
                                  <w:marTop w:val="100"/>
                                  <w:marBottom w:val="100"/>
                                  <w:divBdr>
                                    <w:top w:val="none" w:sz="0" w:space="0" w:color="auto"/>
                                    <w:left w:val="none" w:sz="0" w:space="0" w:color="auto"/>
                                    <w:bottom w:val="none" w:sz="0" w:space="0" w:color="auto"/>
                                    <w:right w:val="none" w:sz="0" w:space="0" w:color="auto"/>
                                  </w:divBdr>
                                </w:div>
                                <w:div w:id="1570727790">
                                  <w:marLeft w:val="720"/>
                                  <w:marRight w:val="720"/>
                                  <w:marTop w:val="100"/>
                                  <w:marBottom w:val="100"/>
                                  <w:divBdr>
                                    <w:top w:val="none" w:sz="0" w:space="0" w:color="auto"/>
                                    <w:left w:val="none" w:sz="0" w:space="0" w:color="auto"/>
                                    <w:bottom w:val="none" w:sz="0" w:space="0" w:color="auto"/>
                                    <w:right w:val="none" w:sz="0" w:space="0" w:color="auto"/>
                                  </w:divBdr>
                                </w:div>
                                <w:div w:id="1570727792">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2">
  <dgm:title val=""/>
  <dgm:desc val=""/>
  <dgm:catLst>
    <dgm:cat type="accent3" pri="11200"/>
  </dgm:catLst>
  <dgm:styleLbl name="node0">
    <dgm:fillClrLst meth="repeat">
      <a:schemeClr val="accent3"/>
    </dgm:fillClrLst>
    <dgm:linClrLst meth="repeat">
      <a:schemeClr val="lt1"/>
    </dgm:linClrLst>
    <dgm:effectClrLst/>
    <dgm:txLinClrLst/>
    <dgm:txFillClrLst/>
    <dgm:txEffectClrLst/>
  </dgm:styleLbl>
  <dgm:styleLbl name="node1">
    <dgm:fillClrLst meth="repeat">
      <a:schemeClr val="accent3"/>
    </dgm:fillClrLst>
    <dgm:linClrLst meth="repeat">
      <a:schemeClr val="lt1"/>
    </dgm:linClrLst>
    <dgm:effectClrLst/>
    <dgm:txLinClrLst/>
    <dgm:txFillClrLst/>
    <dgm:txEffectClrLst/>
  </dgm:styleLbl>
  <dgm:styleLbl name="alignNode1">
    <dgm:fillClrLst meth="repeat">
      <a:schemeClr val="accent3"/>
    </dgm:fillClrLst>
    <dgm:linClrLst meth="repeat">
      <a:schemeClr val="accent3"/>
    </dgm:linClrLst>
    <dgm:effectClrLst/>
    <dgm:txLinClrLst/>
    <dgm:txFillClrLst/>
    <dgm:txEffectClrLst/>
  </dgm:styleLbl>
  <dgm:styleLbl name="lnNode1">
    <dgm:fillClrLst meth="repeat">
      <a:schemeClr val="accent3"/>
    </dgm:fillClrLst>
    <dgm:linClrLst meth="repeat">
      <a:schemeClr val="lt1"/>
    </dgm:linClrLst>
    <dgm:effectClrLst/>
    <dgm:txLinClrLst/>
    <dgm:txFillClrLst/>
    <dgm:txEffectClrLst/>
  </dgm:styleLbl>
  <dgm:styleLbl name="vennNode1">
    <dgm:fillClrLst meth="repeat">
      <a:schemeClr val="accent3">
        <a:alpha val="50000"/>
      </a:schemeClr>
    </dgm:fillClrLst>
    <dgm:linClrLst meth="repeat">
      <a:schemeClr val="lt1"/>
    </dgm:linClrLst>
    <dgm:effectClrLst/>
    <dgm:txLinClrLst/>
    <dgm:txFillClrLst/>
    <dgm:txEffectClrLst/>
  </dgm:styleLbl>
  <dgm:styleLbl name="node2">
    <dgm:fillClrLst meth="repeat">
      <a:schemeClr val="accent3"/>
    </dgm:fillClrLst>
    <dgm:linClrLst meth="repeat">
      <a:schemeClr val="lt1"/>
    </dgm:linClrLst>
    <dgm:effectClrLst/>
    <dgm:txLinClrLst/>
    <dgm:txFillClrLst/>
    <dgm:txEffectClrLst/>
  </dgm:styleLbl>
  <dgm:styleLbl name="node3">
    <dgm:fillClrLst meth="repeat">
      <a:schemeClr val="accent3"/>
    </dgm:fillClrLst>
    <dgm:linClrLst meth="repeat">
      <a:schemeClr val="lt1"/>
    </dgm:linClrLst>
    <dgm:effectClrLst/>
    <dgm:txLinClrLst/>
    <dgm:txFillClrLst/>
    <dgm:txEffectClrLst/>
  </dgm:styleLbl>
  <dgm:styleLbl name="node4">
    <dgm:fillClrLst meth="repeat">
      <a:schemeClr val="accent3"/>
    </dgm:fillClrLst>
    <dgm:linClrLst meth="repeat">
      <a:schemeClr val="lt1"/>
    </dgm:linClrLst>
    <dgm:effectClrLst/>
    <dgm:txLinClrLst/>
    <dgm:txFillClrLst/>
    <dgm:txEffectClrLst/>
  </dgm:styleLbl>
  <dgm:styleLbl name="f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3">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dgm:linClrLst>
    <dgm:effectClrLst/>
    <dgm:txLinClrLst/>
    <dgm:txFillClrLst/>
    <dgm:txEffectClrLst/>
  </dgm:styleLbl>
  <dgm:styleLbl name="asst1">
    <dgm:fillClrLst meth="repeat">
      <a:schemeClr val="accent3"/>
    </dgm:fillClrLst>
    <dgm:linClrLst meth="repeat">
      <a:schemeClr val="lt1"/>
    </dgm:linClrLst>
    <dgm:effectClrLst/>
    <dgm:txLinClrLst/>
    <dgm:txFillClrLst/>
    <dgm:txEffectClrLst/>
  </dgm:styleLbl>
  <dgm:styleLbl name="asst2">
    <dgm:fillClrLst meth="repeat">
      <a:schemeClr val="accent3"/>
    </dgm:fillClrLst>
    <dgm:linClrLst meth="repeat">
      <a:schemeClr val="lt1"/>
    </dgm:linClrLst>
    <dgm:effectClrLst/>
    <dgm:txLinClrLst/>
    <dgm:txFillClrLst/>
    <dgm:txEffectClrLst/>
  </dgm:styleLbl>
  <dgm:styleLbl name="asst3">
    <dgm:fillClrLst meth="repeat">
      <a:schemeClr val="accent3"/>
    </dgm:fillClrLst>
    <dgm:linClrLst meth="repeat">
      <a:schemeClr val="lt1"/>
    </dgm:linClrLst>
    <dgm:effectClrLst/>
    <dgm:txLinClrLst/>
    <dgm:txFillClrLst/>
    <dgm:txEffectClrLst/>
  </dgm:styleLbl>
  <dgm:styleLbl name="asst4">
    <dgm:fillClrLst meth="repeat">
      <a:schemeClr val="accent3"/>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meth="repeat">
      <a:schemeClr val="lt1"/>
    </dgm:txFillClrLst>
    <dgm:txEffectClrLst/>
  </dgm:styleLbl>
  <dgm:styleLbl name="parChTrans2D2">
    <dgm:fillClrLst meth="repeat">
      <a:schemeClr val="accent3"/>
    </dgm:fillClrLst>
    <dgm:linClrLst meth="repeat">
      <a:schemeClr val="accent3"/>
    </dgm:linClrLst>
    <dgm:effectClrLst/>
    <dgm:txLinClrLst/>
    <dgm:txFillClrLst meth="repeat">
      <a:schemeClr val="lt1"/>
    </dgm:txFillClrLst>
    <dgm:txEffectClrLst/>
  </dgm:styleLbl>
  <dgm:styleLbl name="parChTrans2D3">
    <dgm:fillClrLst meth="repeat">
      <a:schemeClr val="accent3"/>
    </dgm:fillClrLst>
    <dgm:linClrLst meth="repeat">
      <a:schemeClr val="accent3"/>
    </dgm:linClrLst>
    <dgm:effectClrLst/>
    <dgm:txLinClrLst/>
    <dgm:txFillClrLst meth="repeat">
      <a:schemeClr val="lt1"/>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align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bgAccFollowNode1">
    <dgm:fillClrLst meth="repeat">
      <a:schemeClr val="accent3">
        <a:alpha val="90000"/>
        <a:tint val="40000"/>
      </a:schemeClr>
    </dgm:fillClrLst>
    <dgm:linClrLst meth="repeat">
      <a:schemeClr val="accent3">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D36B748-A52E-43B0-B06A-793F533CEF0C}" type="doc">
      <dgm:prSet loTypeId="urn:microsoft.com/office/officeart/2005/8/layout/pyramid3" loCatId="pyramid" qsTypeId="urn:microsoft.com/office/officeart/2005/8/quickstyle/simple4" qsCatId="simple" csTypeId="urn:microsoft.com/office/officeart/2005/8/colors/accent3_2" csCatId="accent3" phldr="1"/>
      <dgm:spPr/>
    </dgm:pt>
    <dgm:pt modelId="{E5A38E25-742E-4C56-A1C1-8628CA66E3AB}">
      <dgm:prSet phldrT="[Text]"/>
      <dgm:spPr>
        <a:xfrm rot="10800000">
          <a:off x="0" y="0"/>
          <a:ext cx="3528237" cy="509143"/>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Agenda OSN 2030 a </a:t>
          </a:r>
        </a:p>
        <a:p>
          <a:r>
            <a:rPr lang="sk-SK" dirty="0" smtClean="0">
              <a:solidFill>
                <a:sysClr val="windowText" lastClr="000000">
                  <a:hueOff val="0"/>
                  <a:satOff val="0"/>
                  <a:lumOff val="0"/>
                  <a:alphaOff val="0"/>
                </a:sysClr>
              </a:solidFill>
              <a:latin typeface="Times New Roman" panose="02020603050405020304"/>
              <a:ea typeface="+mn-ea"/>
              <a:cs typeface="+mn-cs"/>
            </a:rPr>
            <a:t>EÚ 2020</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7B6BC722-1C8E-42BE-B1AD-8CC297F64FA7}" type="parTrans" cxnId="{525F673D-1F1A-4A91-97C1-B9EB5D75F18E}">
      <dgm:prSet/>
      <dgm:spPr/>
      <dgm:t>
        <a:bodyPr/>
        <a:lstStyle/>
        <a:p>
          <a:endParaRPr lang="sk-SK"/>
        </a:p>
      </dgm:t>
    </dgm:pt>
    <dgm:pt modelId="{57C566FB-35C1-4691-84B1-44E4D2F5D6B1}" type="sibTrans" cxnId="{525F673D-1F1A-4A91-97C1-B9EB5D75F18E}">
      <dgm:prSet/>
      <dgm:spPr/>
      <dgm:t>
        <a:bodyPr/>
        <a:lstStyle/>
        <a:p>
          <a:endParaRPr lang="sk-SK"/>
        </a:p>
      </dgm:t>
    </dgm:pt>
    <dgm:pt modelId="{75EE56E7-9D2E-454B-B12C-0A4F35CFF7E7}">
      <dgm:prSet phldrT="[Text]"/>
      <dgm:spPr>
        <a:xfrm rot="10800000">
          <a:off x="1411295" y="2036571"/>
          <a:ext cx="705647" cy="509143"/>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NIP</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82C45E68-D2F9-45A5-B4C3-3CE37BAD0D3E}" type="parTrans" cxnId="{90B16B8E-7374-4E6B-98FA-4CFB990DF149}">
      <dgm:prSet/>
      <dgm:spPr/>
      <dgm:t>
        <a:bodyPr/>
        <a:lstStyle/>
        <a:p>
          <a:endParaRPr lang="sk-SK"/>
        </a:p>
      </dgm:t>
    </dgm:pt>
    <dgm:pt modelId="{FF4D4C0F-FCB9-42F1-B984-D16048D99B19}" type="sibTrans" cxnId="{90B16B8E-7374-4E6B-98FA-4CFB990DF149}">
      <dgm:prSet/>
      <dgm:spPr/>
      <dgm:t>
        <a:bodyPr/>
        <a:lstStyle/>
        <a:p>
          <a:endParaRPr lang="sk-SK"/>
        </a:p>
      </dgm:t>
    </dgm:pt>
    <dgm:pt modelId="{19C1D0B8-AB3B-4098-848B-29C610D0EB76}">
      <dgm:prSet phldrT="[Text]"/>
      <dgm:spPr>
        <a:xfrm rot="10800000">
          <a:off x="1058471" y="1527428"/>
          <a:ext cx="1411295" cy="509143"/>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Stratégie</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EAEA4712-3B15-4A85-946C-4A55D484CA0C}" type="parTrans" cxnId="{23E49829-BD23-44CB-9967-FFF479C81339}">
      <dgm:prSet/>
      <dgm:spPr/>
      <dgm:t>
        <a:bodyPr/>
        <a:lstStyle/>
        <a:p>
          <a:endParaRPr lang="sk-SK"/>
        </a:p>
      </dgm:t>
    </dgm:pt>
    <dgm:pt modelId="{D1A53357-D161-4194-B101-A9A9E7F7FF55}" type="sibTrans" cxnId="{23E49829-BD23-44CB-9967-FFF479C81339}">
      <dgm:prSet/>
      <dgm:spPr/>
      <dgm:t>
        <a:bodyPr/>
        <a:lstStyle/>
        <a:p>
          <a:endParaRPr lang="sk-SK"/>
        </a:p>
      </dgm:t>
    </dgm:pt>
    <dgm:pt modelId="{D2D37ED4-61D4-4548-B674-B7A6D5F569BE}">
      <dgm:prSet phldrT="[Text]"/>
      <dgm:spPr>
        <a:xfrm>
          <a:off x="2116942" y="1527428"/>
          <a:ext cx="3071642" cy="509143"/>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Odvetvové a prierezové stratégie</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EE09D1C9-B694-4E4C-BF4B-3136CC17E2E0}" type="parTrans" cxnId="{2728A5B2-FFD1-43B4-B290-48D43E8D54A0}">
      <dgm:prSet/>
      <dgm:spPr/>
      <dgm:t>
        <a:bodyPr/>
        <a:lstStyle/>
        <a:p>
          <a:endParaRPr lang="sk-SK"/>
        </a:p>
      </dgm:t>
    </dgm:pt>
    <dgm:pt modelId="{C3905D69-610C-473C-9354-D88385A09DBF}" type="sibTrans" cxnId="{2728A5B2-FFD1-43B4-B290-48D43E8D54A0}">
      <dgm:prSet/>
      <dgm:spPr/>
      <dgm:t>
        <a:bodyPr/>
        <a:lstStyle/>
        <a:p>
          <a:endParaRPr lang="sk-SK"/>
        </a:p>
      </dgm:t>
    </dgm:pt>
    <dgm:pt modelId="{DAEBCDA7-F916-47CC-A089-EFBB904A07F7}">
      <dgm:prSet phldrT="[Text]"/>
      <dgm:spPr>
        <a:xfrm rot="10800000">
          <a:off x="352823" y="509143"/>
          <a:ext cx="2822590" cy="509143"/>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Dlhodobá vízia rozvoja spoločnosti</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63CCF0CD-54FB-4FB2-9E6D-F256BB6597EF}" type="sibTrans" cxnId="{CD617984-1B9C-4751-8A8E-CEE599A9D345}">
      <dgm:prSet/>
      <dgm:spPr/>
      <dgm:t>
        <a:bodyPr/>
        <a:lstStyle/>
        <a:p>
          <a:endParaRPr lang="sk-SK"/>
        </a:p>
      </dgm:t>
    </dgm:pt>
    <dgm:pt modelId="{9939E569-DF53-4B18-8A6D-051FB533639A}" type="parTrans" cxnId="{CD617984-1B9C-4751-8A8E-CEE599A9D345}">
      <dgm:prSet/>
      <dgm:spPr/>
      <dgm:t>
        <a:bodyPr/>
        <a:lstStyle/>
        <a:p>
          <a:endParaRPr lang="sk-SK"/>
        </a:p>
      </dgm:t>
    </dgm:pt>
    <dgm:pt modelId="{06688125-8A7C-4814-BB75-480BB5490365}">
      <dgm:prSet phldrT="[Text]"/>
      <dgm:spPr>
        <a:xfrm>
          <a:off x="3175414" y="0"/>
          <a:ext cx="2013170" cy="509143"/>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Globálna / medzinárodná úroveň</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F79E8FB3-5695-48DF-81E5-A7DFFAF30432}" type="sibTrans" cxnId="{BBC74C51-91E9-4C48-8BD8-BA11C66856AA}">
      <dgm:prSet/>
      <dgm:spPr/>
      <dgm:t>
        <a:bodyPr/>
        <a:lstStyle/>
        <a:p>
          <a:endParaRPr lang="sk-SK"/>
        </a:p>
      </dgm:t>
    </dgm:pt>
    <dgm:pt modelId="{5611B8E9-CC0B-4B13-A0C1-BBFE815F5183}" type="parTrans" cxnId="{BBC74C51-91E9-4C48-8BD8-BA11C66856AA}">
      <dgm:prSet/>
      <dgm:spPr/>
      <dgm:t>
        <a:bodyPr/>
        <a:lstStyle/>
        <a:p>
          <a:endParaRPr lang="sk-SK"/>
        </a:p>
      </dgm:t>
    </dgm:pt>
    <dgm:pt modelId="{1FBA0537-A000-4CA3-B47B-9AD39A90FD2B}">
      <dgm:prSet phldrT="[Text]"/>
      <dgm:spPr>
        <a:xfrm>
          <a:off x="1764118" y="2036571"/>
          <a:ext cx="3424466" cy="509143"/>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Priority dobudovania strategickej infraštruktúry</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8F503B7B-8D4F-4A72-B9C0-09D8A6AD64B7}" type="parTrans" cxnId="{43CD61B1-2148-443C-AED4-4AACDEED09A4}">
      <dgm:prSet/>
      <dgm:spPr/>
      <dgm:t>
        <a:bodyPr/>
        <a:lstStyle/>
        <a:p>
          <a:endParaRPr lang="sk-SK"/>
        </a:p>
      </dgm:t>
    </dgm:pt>
    <dgm:pt modelId="{F42CD22E-4A46-4381-A488-35508C0F51F9}" type="sibTrans" cxnId="{43CD61B1-2148-443C-AED4-4AACDEED09A4}">
      <dgm:prSet/>
      <dgm:spPr/>
      <dgm:t>
        <a:bodyPr/>
        <a:lstStyle/>
        <a:p>
          <a:endParaRPr lang="sk-SK"/>
        </a:p>
      </dgm:t>
    </dgm:pt>
    <dgm:pt modelId="{B0649C84-F9CA-47F7-AFBD-A868F36AAFB0}">
      <dgm:prSet phldrT="[Text]"/>
      <dgm:spPr>
        <a:xfrm rot="10800000">
          <a:off x="705647" y="1018286"/>
          <a:ext cx="2116942" cy="509143"/>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Stratégia rozvoja spoločnosti</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DE4C9E45-01A5-4AE1-94A6-331B4F2D868D}" type="parTrans" cxnId="{3FA1BB9B-67C9-47A8-A2FA-4129B10DAD54}">
      <dgm:prSet/>
      <dgm:spPr/>
      <dgm:t>
        <a:bodyPr/>
        <a:lstStyle/>
        <a:p>
          <a:endParaRPr lang="sk-SK"/>
        </a:p>
      </dgm:t>
    </dgm:pt>
    <dgm:pt modelId="{305BE6BE-D887-4C5E-92E6-DF8F17CADC0E}" type="sibTrans" cxnId="{3FA1BB9B-67C9-47A8-A2FA-4129B10DAD54}">
      <dgm:prSet/>
      <dgm:spPr/>
      <dgm:t>
        <a:bodyPr/>
        <a:lstStyle/>
        <a:p>
          <a:endParaRPr lang="sk-SK"/>
        </a:p>
      </dgm:t>
    </dgm:pt>
    <dgm:pt modelId="{5DAE9582-6676-47E3-AD4D-60F26C2D09FA}">
      <dgm:prSet phldrT="[Text]"/>
      <dgm:spPr>
        <a:xfrm>
          <a:off x="2469766" y="1018286"/>
          <a:ext cx="2718818" cy="509143"/>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Spôsob dosiahnutia cieľov vízie</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875AA377-B9D3-4CEF-A932-35A5D54D62C3}" type="parTrans" cxnId="{F593D163-53DA-4912-8D0C-97CC4CA128E2}">
      <dgm:prSet/>
      <dgm:spPr/>
      <dgm:t>
        <a:bodyPr/>
        <a:lstStyle/>
        <a:p>
          <a:endParaRPr lang="sk-SK"/>
        </a:p>
      </dgm:t>
    </dgm:pt>
    <dgm:pt modelId="{6EB25861-0131-4946-A70F-EBE34BE1FE5E}" type="sibTrans" cxnId="{F593D163-53DA-4912-8D0C-97CC4CA128E2}">
      <dgm:prSet/>
      <dgm:spPr/>
      <dgm:t>
        <a:bodyPr/>
        <a:lstStyle/>
        <a:p>
          <a:endParaRPr lang="sk-SK"/>
        </a:p>
      </dgm:t>
    </dgm:pt>
    <dgm:pt modelId="{EA142A8D-C469-4F15-B41D-7A362FDB93F7}">
      <dgm:prSet phldrT="[Text]"/>
      <dgm:spPr>
        <a:xfrm>
          <a:off x="2822590" y="509143"/>
          <a:ext cx="2365994" cy="509143"/>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gm:spPr>
      <dgm:t>
        <a:bodyPr/>
        <a:lstStyle/>
        <a:p>
          <a:r>
            <a:rPr lang="sk-SK" dirty="0" smtClean="0">
              <a:solidFill>
                <a:sysClr val="windowText" lastClr="000000">
                  <a:hueOff val="0"/>
                  <a:satOff val="0"/>
                  <a:lumOff val="0"/>
                  <a:alphaOff val="0"/>
                </a:sysClr>
              </a:solidFill>
              <a:latin typeface="Times New Roman" panose="02020603050405020304"/>
              <a:ea typeface="+mn-ea"/>
              <a:cs typeface="+mn-cs"/>
            </a:rPr>
            <a:t>Definícia želaného budúceho stavu</a:t>
          </a:r>
          <a:endParaRPr lang="sk-SK" dirty="0">
            <a:solidFill>
              <a:sysClr val="windowText" lastClr="000000">
                <a:hueOff val="0"/>
                <a:satOff val="0"/>
                <a:lumOff val="0"/>
                <a:alphaOff val="0"/>
              </a:sysClr>
            </a:solidFill>
            <a:latin typeface="Times New Roman" panose="02020603050405020304"/>
            <a:ea typeface="+mn-ea"/>
            <a:cs typeface="+mn-cs"/>
          </a:endParaRPr>
        </a:p>
      </dgm:t>
    </dgm:pt>
    <dgm:pt modelId="{BA213F70-A8A7-48F7-A634-2EA9D8EB7EFA}" type="sibTrans" cxnId="{FFD22CBE-B712-4F07-8EE1-DD6EFB822EB4}">
      <dgm:prSet/>
      <dgm:spPr/>
      <dgm:t>
        <a:bodyPr/>
        <a:lstStyle/>
        <a:p>
          <a:endParaRPr lang="sk-SK"/>
        </a:p>
      </dgm:t>
    </dgm:pt>
    <dgm:pt modelId="{B012BD0C-B142-4762-96F2-AF4A4741E88E}" type="parTrans" cxnId="{FFD22CBE-B712-4F07-8EE1-DD6EFB822EB4}">
      <dgm:prSet/>
      <dgm:spPr/>
      <dgm:t>
        <a:bodyPr/>
        <a:lstStyle/>
        <a:p>
          <a:endParaRPr lang="sk-SK"/>
        </a:p>
      </dgm:t>
    </dgm:pt>
    <dgm:pt modelId="{B27EFD7A-06AA-46E7-B9D8-525B39D00093}" type="pres">
      <dgm:prSet presAssocID="{7D36B748-A52E-43B0-B06A-793F533CEF0C}" presName="Name0" presStyleCnt="0">
        <dgm:presLayoutVars>
          <dgm:dir/>
          <dgm:animLvl val="lvl"/>
          <dgm:resizeHandles val="exact"/>
        </dgm:presLayoutVars>
      </dgm:prSet>
      <dgm:spPr/>
    </dgm:pt>
    <dgm:pt modelId="{D3ED43D4-720E-4708-8C6A-B67048632497}" type="pres">
      <dgm:prSet presAssocID="{E5A38E25-742E-4C56-A1C1-8628CA66E3AB}" presName="Name8" presStyleCnt="0"/>
      <dgm:spPr/>
    </dgm:pt>
    <dgm:pt modelId="{694DB51F-742B-4FE5-B6D7-56A7FBF2786D}" type="pres">
      <dgm:prSet presAssocID="{E5A38E25-742E-4C56-A1C1-8628CA66E3AB}" presName="acctBkgd" presStyleLbl="alignAcc1" presStyleIdx="0" presStyleCnt="5"/>
      <dgm:spPr>
        <a:prstGeom prst="nonIsoscelesTrapezoid">
          <a:avLst>
            <a:gd name="adj1" fmla="val 69391"/>
            <a:gd name="adj2" fmla="val 0"/>
          </a:avLst>
        </a:prstGeom>
      </dgm:spPr>
      <dgm:t>
        <a:bodyPr/>
        <a:lstStyle/>
        <a:p>
          <a:endParaRPr lang="sk-SK"/>
        </a:p>
      </dgm:t>
    </dgm:pt>
    <dgm:pt modelId="{746717FD-AC35-46A6-A174-A9F211FD88AB}" type="pres">
      <dgm:prSet presAssocID="{E5A38E25-742E-4C56-A1C1-8628CA66E3AB}" presName="acctTx" presStyleLbl="alignAcc1" presStyleIdx="0" presStyleCnt="5">
        <dgm:presLayoutVars>
          <dgm:bulletEnabled val="1"/>
        </dgm:presLayoutVars>
      </dgm:prSet>
      <dgm:spPr/>
      <dgm:t>
        <a:bodyPr/>
        <a:lstStyle/>
        <a:p>
          <a:endParaRPr lang="sk-SK"/>
        </a:p>
      </dgm:t>
    </dgm:pt>
    <dgm:pt modelId="{284CE482-3C29-4855-80AD-5A9D6F5521D3}" type="pres">
      <dgm:prSet presAssocID="{E5A38E25-742E-4C56-A1C1-8628CA66E3AB}" presName="level" presStyleLbl="node1" presStyleIdx="0" presStyleCnt="5">
        <dgm:presLayoutVars>
          <dgm:chMax val="1"/>
          <dgm:bulletEnabled val="1"/>
        </dgm:presLayoutVars>
      </dgm:prSet>
      <dgm:spPr>
        <a:prstGeom prst="trapezoid">
          <a:avLst>
            <a:gd name="adj" fmla="val 69391"/>
          </a:avLst>
        </a:prstGeom>
      </dgm:spPr>
      <dgm:t>
        <a:bodyPr/>
        <a:lstStyle/>
        <a:p>
          <a:endParaRPr lang="sk-SK"/>
        </a:p>
      </dgm:t>
    </dgm:pt>
    <dgm:pt modelId="{DCDA27B5-CA13-40CE-9BF3-73D2FDAF802E}" type="pres">
      <dgm:prSet presAssocID="{E5A38E25-742E-4C56-A1C1-8628CA66E3AB}" presName="levelTx" presStyleLbl="revTx" presStyleIdx="0" presStyleCnt="0">
        <dgm:presLayoutVars>
          <dgm:chMax val="1"/>
          <dgm:bulletEnabled val="1"/>
        </dgm:presLayoutVars>
      </dgm:prSet>
      <dgm:spPr/>
      <dgm:t>
        <a:bodyPr/>
        <a:lstStyle/>
        <a:p>
          <a:endParaRPr lang="sk-SK"/>
        </a:p>
      </dgm:t>
    </dgm:pt>
    <dgm:pt modelId="{BF3C95D0-2FAA-4453-8F2E-1BCF119DF329}" type="pres">
      <dgm:prSet presAssocID="{DAEBCDA7-F916-47CC-A089-EFBB904A07F7}" presName="Name8" presStyleCnt="0"/>
      <dgm:spPr/>
    </dgm:pt>
    <dgm:pt modelId="{4F5FA3EB-2604-497C-BB82-E926A98FA868}" type="pres">
      <dgm:prSet presAssocID="{DAEBCDA7-F916-47CC-A089-EFBB904A07F7}" presName="acctBkgd" presStyleLbl="alignAcc1" presStyleIdx="1" presStyleCnt="5"/>
      <dgm:spPr>
        <a:prstGeom prst="nonIsoscelesTrapezoid">
          <a:avLst>
            <a:gd name="adj1" fmla="val 69391"/>
            <a:gd name="adj2" fmla="val 0"/>
          </a:avLst>
        </a:prstGeom>
      </dgm:spPr>
      <dgm:t>
        <a:bodyPr/>
        <a:lstStyle/>
        <a:p>
          <a:endParaRPr lang="sk-SK"/>
        </a:p>
      </dgm:t>
    </dgm:pt>
    <dgm:pt modelId="{A7496C6B-8748-400D-BDE0-A7AF4BDE0E33}" type="pres">
      <dgm:prSet presAssocID="{DAEBCDA7-F916-47CC-A089-EFBB904A07F7}" presName="acctTx" presStyleLbl="alignAcc1" presStyleIdx="1" presStyleCnt="5">
        <dgm:presLayoutVars>
          <dgm:bulletEnabled val="1"/>
        </dgm:presLayoutVars>
      </dgm:prSet>
      <dgm:spPr/>
      <dgm:t>
        <a:bodyPr/>
        <a:lstStyle/>
        <a:p>
          <a:endParaRPr lang="sk-SK"/>
        </a:p>
      </dgm:t>
    </dgm:pt>
    <dgm:pt modelId="{8EAA10DC-A2AC-48E7-B742-0C8F4A1BBF05}" type="pres">
      <dgm:prSet presAssocID="{DAEBCDA7-F916-47CC-A089-EFBB904A07F7}" presName="level" presStyleLbl="node1" presStyleIdx="1" presStyleCnt="5">
        <dgm:presLayoutVars>
          <dgm:chMax val="1"/>
          <dgm:bulletEnabled val="1"/>
        </dgm:presLayoutVars>
      </dgm:prSet>
      <dgm:spPr>
        <a:prstGeom prst="trapezoid">
          <a:avLst>
            <a:gd name="adj" fmla="val 69391"/>
          </a:avLst>
        </a:prstGeom>
      </dgm:spPr>
      <dgm:t>
        <a:bodyPr/>
        <a:lstStyle/>
        <a:p>
          <a:endParaRPr lang="sk-SK"/>
        </a:p>
      </dgm:t>
    </dgm:pt>
    <dgm:pt modelId="{9A833CBD-1175-4C53-AA22-384ECD3953A8}" type="pres">
      <dgm:prSet presAssocID="{DAEBCDA7-F916-47CC-A089-EFBB904A07F7}" presName="levelTx" presStyleLbl="revTx" presStyleIdx="0" presStyleCnt="0">
        <dgm:presLayoutVars>
          <dgm:chMax val="1"/>
          <dgm:bulletEnabled val="1"/>
        </dgm:presLayoutVars>
      </dgm:prSet>
      <dgm:spPr/>
      <dgm:t>
        <a:bodyPr/>
        <a:lstStyle/>
        <a:p>
          <a:endParaRPr lang="sk-SK"/>
        </a:p>
      </dgm:t>
    </dgm:pt>
    <dgm:pt modelId="{495C5D59-79BF-4BC1-98C2-45A4505B95FF}" type="pres">
      <dgm:prSet presAssocID="{B0649C84-F9CA-47F7-AFBD-A868F36AAFB0}" presName="Name8" presStyleCnt="0"/>
      <dgm:spPr/>
    </dgm:pt>
    <dgm:pt modelId="{567EE420-EE5B-4C2F-AAEA-FED61068D617}" type="pres">
      <dgm:prSet presAssocID="{B0649C84-F9CA-47F7-AFBD-A868F36AAFB0}" presName="acctBkgd" presStyleLbl="alignAcc1" presStyleIdx="2" presStyleCnt="5"/>
      <dgm:spPr>
        <a:prstGeom prst="nonIsoscelesTrapezoid">
          <a:avLst>
            <a:gd name="adj1" fmla="val 69391"/>
            <a:gd name="adj2" fmla="val 0"/>
          </a:avLst>
        </a:prstGeom>
      </dgm:spPr>
      <dgm:t>
        <a:bodyPr/>
        <a:lstStyle/>
        <a:p>
          <a:endParaRPr lang="sk-SK"/>
        </a:p>
      </dgm:t>
    </dgm:pt>
    <dgm:pt modelId="{D005EF31-BA99-4B30-86E9-740D84AD43B7}" type="pres">
      <dgm:prSet presAssocID="{B0649C84-F9CA-47F7-AFBD-A868F36AAFB0}" presName="acctTx" presStyleLbl="alignAcc1" presStyleIdx="2" presStyleCnt="5">
        <dgm:presLayoutVars>
          <dgm:bulletEnabled val="1"/>
        </dgm:presLayoutVars>
      </dgm:prSet>
      <dgm:spPr/>
      <dgm:t>
        <a:bodyPr/>
        <a:lstStyle/>
        <a:p>
          <a:endParaRPr lang="sk-SK"/>
        </a:p>
      </dgm:t>
    </dgm:pt>
    <dgm:pt modelId="{52CE332F-992B-4BFA-9E12-35E53D1F3EC0}" type="pres">
      <dgm:prSet presAssocID="{B0649C84-F9CA-47F7-AFBD-A868F36AAFB0}" presName="level" presStyleLbl="node1" presStyleIdx="2" presStyleCnt="5">
        <dgm:presLayoutVars>
          <dgm:chMax val="1"/>
          <dgm:bulletEnabled val="1"/>
        </dgm:presLayoutVars>
      </dgm:prSet>
      <dgm:spPr>
        <a:prstGeom prst="trapezoid">
          <a:avLst>
            <a:gd name="adj" fmla="val 69391"/>
          </a:avLst>
        </a:prstGeom>
      </dgm:spPr>
      <dgm:t>
        <a:bodyPr/>
        <a:lstStyle/>
        <a:p>
          <a:endParaRPr lang="sk-SK"/>
        </a:p>
      </dgm:t>
    </dgm:pt>
    <dgm:pt modelId="{5A81E5FA-ECBD-40B1-8960-E052E2A71B40}" type="pres">
      <dgm:prSet presAssocID="{B0649C84-F9CA-47F7-AFBD-A868F36AAFB0}" presName="levelTx" presStyleLbl="revTx" presStyleIdx="0" presStyleCnt="0">
        <dgm:presLayoutVars>
          <dgm:chMax val="1"/>
          <dgm:bulletEnabled val="1"/>
        </dgm:presLayoutVars>
      </dgm:prSet>
      <dgm:spPr/>
      <dgm:t>
        <a:bodyPr/>
        <a:lstStyle/>
        <a:p>
          <a:endParaRPr lang="sk-SK"/>
        </a:p>
      </dgm:t>
    </dgm:pt>
    <dgm:pt modelId="{CB1D202B-F258-4057-BADD-0BE9DBE989C0}" type="pres">
      <dgm:prSet presAssocID="{19C1D0B8-AB3B-4098-848B-29C610D0EB76}" presName="Name8" presStyleCnt="0"/>
      <dgm:spPr/>
    </dgm:pt>
    <dgm:pt modelId="{AA11821C-C404-4FD6-90F3-98B22272335B}" type="pres">
      <dgm:prSet presAssocID="{19C1D0B8-AB3B-4098-848B-29C610D0EB76}" presName="acctBkgd" presStyleLbl="alignAcc1" presStyleIdx="3" presStyleCnt="5"/>
      <dgm:spPr>
        <a:prstGeom prst="nonIsoscelesTrapezoid">
          <a:avLst>
            <a:gd name="adj1" fmla="val 69391"/>
            <a:gd name="adj2" fmla="val 0"/>
          </a:avLst>
        </a:prstGeom>
      </dgm:spPr>
      <dgm:t>
        <a:bodyPr/>
        <a:lstStyle/>
        <a:p>
          <a:endParaRPr lang="sk-SK"/>
        </a:p>
      </dgm:t>
    </dgm:pt>
    <dgm:pt modelId="{6627F124-495E-44C3-889E-E8750B90E562}" type="pres">
      <dgm:prSet presAssocID="{19C1D0B8-AB3B-4098-848B-29C610D0EB76}" presName="acctTx" presStyleLbl="alignAcc1" presStyleIdx="3" presStyleCnt="5">
        <dgm:presLayoutVars>
          <dgm:bulletEnabled val="1"/>
        </dgm:presLayoutVars>
      </dgm:prSet>
      <dgm:spPr/>
      <dgm:t>
        <a:bodyPr/>
        <a:lstStyle/>
        <a:p>
          <a:endParaRPr lang="sk-SK"/>
        </a:p>
      </dgm:t>
    </dgm:pt>
    <dgm:pt modelId="{0071C3F3-A9CE-4F88-9694-3D5AFD8D62E4}" type="pres">
      <dgm:prSet presAssocID="{19C1D0B8-AB3B-4098-848B-29C610D0EB76}" presName="level" presStyleLbl="node1" presStyleIdx="3" presStyleCnt="5">
        <dgm:presLayoutVars>
          <dgm:chMax val="1"/>
          <dgm:bulletEnabled val="1"/>
        </dgm:presLayoutVars>
      </dgm:prSet>
      <dgm:spPr>
        <a:prstGeom prst="trapezoid">
          <a:avLst>
            <a:gd name="adj" fmla="val 69391"/>
          </a:avLst>
        </a:prstGeom>
      </dgm:spPr>
      <dgm:t>
        <a:bodyPr/>
        <a:lstStyle/>
        <a:p>
          <a:endParaRPr lang="sk-SK"/>
        </a:p>
      </dgm:t>
    </dgm:pt>
    <dgm:pt modelId="{33CB7283-E1F2-4A8C-8E5E-0DB8D3C15FE2}" type="pres">
      <dgm:prSet presAssocID="{19C1D0B8-AB3B-4098-848B-29C610D0EB76}" presName="levelTx" presStyleLbl="revTx" presStyleIdx="0" presStyleCnt="0">
        <dgm:presLayoutVars>
          <dgm:chMax val="1"/>
          <dgm:bulletEnabled val="1"/>
        </dgm:presLayoutVars>
      </dgm:prSet>
      <dgm:spPr/>
      <dgm:t>
        <a:bodyPr/>
        <a:lstStyle/>
        <a:p>
          <a:endParaRPr lang="sk-SK"/>
        </a:p>
      </dgm:t>
    </dgm:pt>
    <dgm:pt modelId="{9096866F-1967-479C-AA30-BC84EC096A1C}" type="pres">
      <dgm:prSet presAssocID="{75EE56E7-9D2E-454B-B12C-0A4F35CFF7E7}" presName="Name8" presStyleCnt="0"/>
      <dgm:spPr/>
    </dgm:pt>
    <dgm:pt modelId="{17691BBC-1ADA-45B5-A4A7-F39686154A8F}" type="pres">
      <dgm:prSet presAssocID="{75EE56E7-9D2E-454B-B12C-0A4F35CFF7E7}" presName="acctBkgd" presStyleLbl="alignAcc1" presStyleIdx="4" presStyleCnt="5"/>
      <dgm:spPr>
        <a:prstGeom prst="nonIsoscelesTrapezoid">
          <a:avLst>
            <a:gd name="adj1" fmla="val 69391"/>
            <a:gd name="adj2" fmla="val 0"/>
          </a:avLst>
        </a:prstGeom>
      </dgm:spPr>
      <dgm:t>
        <a:bodyPr/>
        <a:lstStyle/>
        <a:p>
          <a:endParaRPr lang="sk-SK"/>
        </a:p>
      </dgm:t>
    </dgm:pt>
    <dgm:pt modelId="{769D1931-3B1D-49E4-94DB-39A5DF324C6E}" type="pres">
      <dgm:prSet presAssocID="{75EE56E7-9D2E-454B-B12C-0A4F35CFF7E7}" presName="acctTx" presStyleLbl="alignAcc1" presStyleIdx="4" presStyleCnt="5">
        <dgm:presLayoutVars>
          <dgm:bulletEnabled val="1"/>
        </dgm:presLayoutVars>
      </dgm:prSet>
      <dgm:spPr/>
      <dgm:t>
        <a:bodyPr/>
        <a:lstStyle/>
        <a:p>
          <a:endParaRPr lang="sk-SK"/>
        </a:p>
      </dgm:t>
    </dgm:pt>
    <dgm:pt modelId="{435FF1BD-7495-4C10-B2C5-9D0BF0255459}" type="pres">
      <dgm:prSet presAssocID="{75EE56E7-9D2E-454B-B12C-0A4F35CFF7E7}" presName="level" presStyleLbl="node1" presStyleIdx="4" presStyleCnt="5">
        <dgm:presLayoutVars>
          <dgm:chMax val="1"/>
          <dgm:bulletEnabled val="1"/>
        </dgm:presLayoutVars>
      </dgm:prSet>
      <dgm:spPr>
        <a:prstGeom prst="trapezoid">
          <a:avLst>
            <a:gd name="adj" fmla="val 69391"/>
          </a:avLst>
        </a:prstGeom>
      </dgm:spPr>
      <dgm:t>
        <a:bodyPr/>
        <a:lstStyle/>
        <a:p>
          <a:endParaRPr lang="sk-SK"/>
        </a:p>
      </dgm:t>
    </dgm:pt>
    <dgm:pt modelId="{6730D9C6-2789-4A02-A7EC-E7DEC8A40123}" type="pres">
      <dgm:prSet presAssocID="{75EE56E7-9D2E-454B-B12C-0A4F35CFF7E7}" presName="levelTx" presStyleLbl="revTx" presStyleIdx="0" presStyleCnt="0">
        <dgm:presLayoutVars>
          <dgm:chMax val="1"/>
          <dgm:bulletEnabled val="1"/>
        </dgm:presLayoutVars>
      </dgm:prSet>
      <dgm:spPr/>
      <dgm:t>
        <a:bodyPr/>
        <a:lstStyle/>
        <a:p>
          <a:endParaRPr lang="sk-SK"/>
        </a:p>
      </dgm:t>
    </dgm:pt>
  </dgm:ptLst>
  <dgm:cxnLst>
    <dgm:cxn modelId="{86B6B61C-75B7-40D6-85C3-85ACB76CA5EA}" type="presOf" srcId="{DAEBCDA7-F916-47CC-A089-EFBB904A07F7}" destId="{9A833CBD-1175-4C53-AA22-384ECD3953A8}" srcOrd="1" destOrd="0" presId="urn:microsoft.com/office/officeart/2005/8/layout/pyramid3"/>
    <dgm:cxn modelId="{525F673D-1F1A-4A91-97C1-B9EB5D75F18E}" srcId="{7D36B748-A52E-43B0-B06A-793F533CEF0C}" destId="{E5A38E25-742E-4C56-A1C1-8628CA66E3AB}" srcOrd="0" destOrd="0" parTransId="{7B6BC722-1C8E-42BE-B1AD-8CC297F64FA7}" sibTransId="{57C566FB-35C1-4691-84B1-44E4D2F5D6B1}"/>
    <dgm:cxn modelId="{8BC905FF-0963-46F6-A7A5-B5C7E4B2E0EE}" type="presOf" srcId="{75EE56E7-9D2E-454B-B12C-0A4F35CFF7E7}" destId="{6730D9C6-2789-4A02-A7EC-E7DEC8A40123}" srcOrd="1" destOrd="0" presId="urn:microsoft.com/office/officeart/2005/8/layout/pyramid3"/>
    <dgm:cxn modelId="{F2FDD6D4-4623-4696-8DAC-17402D5096C1}" type="presOf" srcId="{D2D37ED4-61D4-4548-B674-B7A6D5F569BE}" destId="{AA11821C-C404-4FD6-90F3-98B22272335B}" srcOrd="0" destOrd="0" presId="urn:microsoft.com/office/officeart/2005/8/layout/pyramid3"/>
    <dgm:cxn modelId="{76AA34EA-2CB6-423E-83F7-36362C2F624C}" type="presOf" srcId="{19C1D0B8-AB3B-4098-848B-29C610D0EB76}" destId="{0071C3F3-A9CE-4F88-9694-3D5AFD8D62E4}" srcOrd="0" destOrd="0" presId="urn:microsoft.com/office/officeart/2005/8/layout/pyramid3"/>
    <dgm:cxn modelId="{FFD22CBE-B712-4F07-8EE1-DD6EFB822EB4}" srcId="{DAEBCDA7-F916-47CC-A089-EFBB904A07F7}" destId="{EA142A8D-C469-4F15-B41D-7A362FDB93F7}" srcOrd="0" destOrd="0" parTransId="{B012BD0C-B142-4762-96F2-AF4A4741E88E}" sibTransId="{BA213F70-A8A7-48F7-A634-2EA9D8EB7EFA}"/>
    <dgm:cxn modelId="{564425EF-B963-49CF-BB12-2FD184F595AC}" type="presOf" srcId="{5DAE9582-6676-47E3-AD4D-60F26C2D09FA}" destId="{D005EF31-BA99-4B30-86E9-740D84AD43B7}" srcOrd="1" destOrd="0" presId="urn:microsoft.com/office/officeart/2005/8/layout/pyramid3"/>
    <dgm:cxn modelId="{F2668D18-0917-427A-B7E9-10161806A8A8}" type="presOf" srcId="{06688125-8A7C-4814-BB75-480BB5490365}" destId="{694DB51F-742B-4FE5-B6D7-56A7FBF2786D}" srcOrd="0" destOrd="0" presId="urn:microsoft.com/office/officeart/2005/8/layout/pyramid3"/>
    <dgm:cxn modelId="{8990E17E-B72E-42B9-83A3-8CE06DD3BF87}" type="presOf" srcId="{19C1D0B8-AB3B-4098-848B-29C610D0EB76}" destId="{33CB7283-E1F2-4A8C-8E5E-0DB8D3C15FE2}" srcOrd="1" destOrd="0" presId="urn:microsoft.com/office/officeart/2005/8/layout/pyramid3"/>
    <dgm:cxn modelId="{0E0448B9-8565-4CEF-AB05-043BA9702351}" type="presOf" srcId="{1FBA0537-A000-4CA3-B47B-9AD39A90FD2B}" destId="{17691BBC-1ADA-45B5-A4A7-F39686154A8F}" srcOrd="0" destOrd="0" presId="urn:microsoft.com/office/officeart/2005/8/layout/pyramid3"/>
    <dgm:cxn modelId="{43CD61B1-2148-443C-AED4-4AACDEED09A4}" srcId="{75EE56E7-9D2E-454B-B12C-0A4F35CFF7E7}" destId="{1FBA0537-A000-4CA3-B47B-9AD39A90FD2B}" srcOrd="0" destOrd="0" parTransId="{8F503B7B-8D4F-4A72-B9C0-09D8A6AD64B7}" sibTransId="{F42CD22E-4A46-4381-A488-35508C0F51F9}"/>
    <dgm:cxn modelId="{424D4048-05A5-4F0D-B5BB-0164F5A22698}" type="presOf" srcId="{E5A38E25-742E-4C56-A1C1-8628CA66E3AB}" destId="{DCDA27B5-CA13-40CE-9BF3-73D2FDAF802E}" srcOrd="1" destOrd="0" presId="urn:microsoft.com/office/officeart/2005/8/layout/pyramid3"/>
    <dgm:cxn modelId="{3FA1BB9B-67C9-47A8-A2FA-4129B10DAD54}" srcId="{7D36B748-A52E-43B0-B06A-793F533CEF0C}" destId="{B0649C84-F9CA-47F7-AFBD-A868F36AAFB0}" srcOrd="2" destOrd="0" parTransId="{DE4C9E45-01A5-4AE1-94A6-331B4F2D868D}" sibTransId="{305BE6BE-D887-4C5E-92E6-DF8F17CADC0E}"/>
    <dgm:cxn modelId="{CE4B265C-5D57-4766-8296-202F97EEE6BF}" type="presOf" srcId="{B0649C84-F9CA-47F7-AFBD-A868F36AAFB0}" destId="{52CE332F-992B-4BFA-9E12-35E53D1F3EC0}" srcOrd="0" destOrd="0" presId="urn:microsoft.com/office/officeart/2005/8/layout/pyramid3"/>
    <dgm:cxn modelId="{BBC74C51-91E9-4C48-8BD8-BA11C66856AA}" srcId="{E5A38E25-742E-4C56-A1C1-8628CA66E3AB}" destId="{06688125-8A7C-4814-BB75-480BB5490365}" srcOrd="0" destOrd="0" parTransId="{5611B8E9-CC0B-4B13-A0C1-BBFE815F5183}" sibTransId="{F79E8FB3-5695-48DF-81E5-A7DFFAF30432}"/>
    <dgm:cxn modelId="{7BA28016-2C4A-4CA0-AE43-0AECD3D7C3AE}" type="presOf" srcId="{DAEBCDA7-F916-47CC-A089-EFBB904A07F7}" destId="{8EAA10DC-A2AC-48E7-B742-0C8F4A1BBF05}" srcOrd="0" destOrd="0" presId="urn:microsoft.com/office/officeart/2005/8/layout/pyramid3"/>
    <dgm:cxn modelId="{28BA9C60-D9C3-44F8-83E3-A45902DBB117}" type="presOf" srcId="{75EE56E7-9D2E-454B-B12C-0A4F35CFF7E7}" destId="{435FF1BD-7495-4C10-B2C5-9D0BF0255459}" srcOrd="0" destOrd="0" presId="urn:microsoft.com/office/officeart/2005/8/layout/pyramid3"/>
    <dgm:cxn modelId="{CD617984-1B9C-4751-8A8E-CEE599A9D345}" srcId="{7D36B748-A52E-43B0-B06A-793F533CEF0C}" destId="{DAEBCDA7-F916-47CC-A089-EFBB904A07F7}" srcOrd="1" destOrd="0" parTransId="{9939E569-DF53-4B18-8A6D-051FB533639A}" sibTransId="{63CCF0CD-54FB-4FB2-9E6D-F256BB6597EF}"/>
    <dgm:cxn modelId="{5F93B5B3-2AB4-48DF-A2D9-99041D22106A}" type="presOf" srcId="{EA142A8D-C469-4F15-B41D-7A362FDB93F7}" destId="{4F5FA3EB-2604-497C-BB82-E926A98FA868}" srcOrd="0" destOrd="0" presId="urn:microsoft.com/office/officeart/2005/8/layout/pyramid3"/>
    <dgm:cxn modelId="{2EFE49D0-C850-4AF1-B696-234474A8F15D}" type="presOf" srcId="{1FBA0537-A000-4CA3-B47B-9AD39A90FD2B}" destId="{769D1931-3B1D-49E4-94DB-39A5DF324C6E}" srcOrd="1" destOrd="0" presId="urn:microsoft.com/office/officeart/2005/8/layout/pyramid3"/>
    <dgm:cxn modelId="{435A856B-DD6F-4885-A85C-2943F79AE31F}" type="presOf" srcId="{7D36B748-A52E-43B0-B06A-793F533CEF0C}" destId="{B27EFD7A-06AA-46E7-B9D8-525B39D00093}" srcOrd="0" destOrd="0" presId="urn:microsoft.com/office/officeart/2005/8/layout/pyramid3"/>
    <dgm:cxn modelId="{485179B3-548F-4195-91CE-F8311D8A5237}" type="presOf" srcId="{B0649C84-F9CA-47F7-AFBD-A868F36AAFB0}" destId="{5A81E5FA-ECBD-40B1-8960-E052E2A71B40}" srcOrd="1" destOrd="0" presId="urn:microsoft.com/office/officeart/2005/8/layout/pyramid3"/>
    <dgm:cxn modelId="{23E49829-BD23-44CB-9967-FFF479C81339}" srcId="{7D36B748-A52E-43B0-B06A-793F533CEF0C}" destId="{19C1D0B8-AB3B-4098-848B-29C610D0EB76}" srcOrd="3" destOrd="0" parTransId="{EAEA4712-3B15-4A85-946C-4A55D484CA0C}" sibTransId="{D1A53357-D161-4194-B101-A9A9E7F7FF55}"/>
    <dgm:cxn modelId="{B39A47D6-719A-436E-B424-AA5E85335CA5}" type="presOf" srcId="{D2D37ED4-61D4-4548-B674-B7A6D5F569BE}" destId="{6627F124-495E-44C3-889E-E8750B90E562}" srcOrd="1" destOrd="0" presId="urn:microsoft.com/office/officeart/2005/8/layout/pyramid3"/>
    <dgm:cxn modelId="{05A791D4-739C-498F-8F96-F8A7A0A833F8}" type="presOf" srcId="{5DAE9582-6676-47E3-AD4D-60F26C2D09FA}" destId="{567EE420-EE5B-4C2F-AAEA-FED61068D617}" srcOrd="0" destOrd="0" presId="urn:microsoft.com/office/officeart/2005/8/layout/pyramid3"/>
    <dgm:cxn modelId="{1CAAB749-E439-4BAB-94B5-2A2B6E938EC4}" type="presOf" srcId="{06688125-8A7C-4814-BB75-480BB5490365}" destId="{746717FD-AC35-46A6-A174-A9F211FD88AB}" srcOrd="1" destOrd="0" presId="urn:microsoft.com/office/officeart/2005/8/layout/pyramid3"/>
    <dgm:cxn modelId="{2728A5B2-FFD1-43B4-B290-48D43E8D54A0}" srcId="{19C1D0B8-AB3B-4098-848B-29C610D0EB76}" destId="{D2D37ED4-61D4-4548-B674-B7A6D5F569BE}" srcOrd="0" destOrd="0" parTransId="{EE09D1C9-B694-4E4C-BF4B-3136CC17E2E0}" sibTransId="{C3905D69-610C-473C-9354-D88385A09DBF}"/>
    <dgm:cxn modelId="{F593D163-53DA-4912-8D0C-97CC4CA128E2}" srcId="{B0649C84-F9CA-47F7-AFBD-A868F36AAFB0}" destId="{5DAE9582-6676-47E3-AD4D-60F26C2D09FA}" srcOrd="0" destOrd="0" parTransId="{875AA377-B9D3-4CEF-A932-35A5D54D62C3}" sibTransId="{6EB25861-0131-4946-A70F-EBE34BE1FE5E}"/>
    <dgm:cxn modelId="{90B16B8E-7374-4E6B-98FA-4CFB990DF149}" srcId="{7D36B748-A52E-43B0-B06A-793F533CEF0C}" destId="{75EE56E7-9D2E-454B-B12C-0A4F35CFF7E7}" srcOrd="4" destOrd="0" parTransId="{82C45E68-D2F9-45A5-B4C3-3CE37BAD0D3E}" sibTransId="{FF4D4C0F-FCB9-42F1-B984-D16048D99B19}"/>
    <dgm:cxn modelId="{45192EDE-8D1A-409B-A912-EA2363A1B6B9}" type="presOf" srcId="{E5A38E25-742E-4C56-A1C1-8628CA66E3AB}" destId="{284CE482-3C29-4855-80AD-5A9D6F5521D3}" srcOrd="0" destOrd="0" presId="urn:microsoft.com/office/officeart/2005/8/layout/pyramid3"/>
    <dgm:cxn modelId="{63DCC9DE-A5A6-4A6F-8298-C7A9C0A99D6E}" type="presOf" srcId="{EA142A8D-C469-4F15-B41D-7A362FDB93F7}" destId="{A7496C6B-8748-400D-BDE0-A7AF4BDE0E33}" srcOrd="1" destOrd="0" presId="urn:microsoft.com/office/officeart/2005/8/layout/pyramid3"/>
    <dgm:cxn modelId="{52928EC4-22C9-4297-9BB3-B3BC4CC7E534}" type="presParOf" srcId="{B27EFD7A-06AA-46E7-B9D8-525B39D00093}" destId="{D3ED43D4-720E-4708-8C6A-B67048632497}" srcOrd="0" destOrd="0" presId="urn:microsoft.com/office/officeart/2005/8/layout/pyramid3"/>
    <dgm:cxn modelId="{8E59B0AB-2610-4511-8C81-88AF6D5B9334}" type="presParOf" srcId="{D3ED43D4-720E-4708-8C6A-B67048632497}" destId="{694DB51F-742B-4FE5-B6D7-56A7FBF2786D}" srcOrd="0" destOrd="0" presId="urn:microsoft.com/office/officeart/2005/8/layout/pyramid3"/>
    <dgm:cxn modelId="{9A69C17C-9261-4F95-87AB-C598DB8999C9}" type="presParOf" srcId="{D3ED43D4-720E-4708-8C6A-B67048632497}" destId="{746717FD-AC35-46A6-A174-A9F211FD88AB}" srcOrd="1" destOrd="0" presId="urn:microsoft.com/office/officeart/2005/8/layout/pyramid3"/>
    <dgm:cxn modelId="{866A7E7C-7E45-4484-A0C4-441C3DCA1971}" type="presParOf" srcId="{D3ED43D4-720E-4708-8C6A-B67048632497}" destId="{284CE482-3C29-4855-80AD-5A9D6F5521D3}" srcOrd="2" destOrd="0" presId="urn:microsoft.com/office/officeart/2005/8/layout/pyramid3"/>
    <dgm:cxn modelId="{E74E9F9E-D15F-40DF-AFEA-CAA5DF87C125}" type="presParOf" srcId="{D3ED43D4-720E-4708-8C6A-B67048632497}" destId="{DCDA27B5-CA13-40CE-9BF3-73D2FDAF802E}" srcOrd="3" destOrd="0" presId="urn:microsoft.com/office/officeart/2005/8/layout/pyramid3"/>
    <dgm:cxn modelId="{BC5AA97A-3BC5-4E6E-AA08-A642670A9A41}" type="presParOf" srcId="{B27EFD7A-06AA-46E7-B9D8-525B39D00093}" destId="{BF3C95D0-2FAA-4453-8F2E-1BCF119DF329}" srcOrd="1" destOrd="0" presId="urn:microsoft.com/office/officeart/2005/8/layout/pyramid3"/>
    <dgm:cxn modelId="{ACFF7DDE-B0EA-4926-91B6-8E1413C731F4}" type="presParOf" srcId="{BF3C95D0-2FAA-4453-8F2E-1BCF119DF329}" destId="{4F5FA3EB-2604-497C-BB82-E926A98FA868}" srcOrd="0" destOrd="0" presId="urn:microsoft.com/office/officeart/2005/8/layout/pyramid3"/>
    <dgm:cxn modelId="{94E208F5-6296-4E82-8516-EB9ACD1111B6}" type="presParOf" srcId="{BF3C95D0-2FAA-4453-8F2E-1BCF119DF329}" destId="{A7496C6B-8748-400D-BDE0-A7AF4BDE0E33}" srcOrd="1" destOrd="0" presId="urn:microsoft.com/office/officeart/2005/8/layout/pyramid3"/>
    <dgm:cxn modelId="{3CB74C69-DFD1-4BE3-AF72-D75D5F15BAAC}" type="presParOf" srcId="{BF3C95D0-2FAA-4453-8F2E-1BCF119DF329}" destId="{8EAA10DC-A2AC-48E7-B742-0C8F4A1BBF05}" srcOrd="2" destOrd="0" presId="urn:microsoft.com/office/officeart/2005/8/layout/pyramid3"/>
    <dgm:cxn modelId="{20DBC76F-640F-49D0-A3E1-D7BC4094C0B7}" type="presParOf" srcId="{BF3C95D0-2FAA-4453-8F2E-1BCF119DF329}" destId="{9A833CBD-1175-4C53-AA22-384ECD3953A8}" srcOrd="3" destOrd="0" presId="urn:microsoft.com/office/officeart/2005/8/layout/pyramid3"/>
    <dgm:cxn modelId="{655B15F4-68AE-4265-8519-9EAE4022D80E}" type="presParOf" srcId="{B27EFD7A-06AA-46E7-B9D8-525B39D00093}" destId="{495C5D59-79BF-4BC1-98C2-45A4505B95FF}" srcOrd="2" destOrd="0" presId="urn:microsoft.com/office/officeart/2005/8/layout/pyramid3"/>
    <dgm:cxn modelId="{045A1235-F33D-46A1-B4D5-271EF73DC60E}" type="presParOf" srcId="{495C5D59-79BF-4BC1-98C2-45A4505B95FF}" destId="{567EE420-EE5B-4C2F-AAEA-FED61068D617}" srcOrd="0" destOrd="0" presId="urn:microsoft.com/office/officeart/2005/8/layout/pyramid3"/>
    <dgm:cxn modelId="{50E13AFE-D774-42E2-9FF2-C0F5F4E1408E}" type="presParOf" srcId="{495C5D59-79BF-4BC1-98C2-45A4505B95FF}" destId="{D005EF31-BA99-4B30-86E9-740D84AD43B7}" srcOrd="1" destOrd="0" presId="urn:microsoft.com/office/officeart/2005/8/layout/pyramid3"/>
    <dgm:cxn modelId="{AFDFCDF5-E36C-4D68-898C-478CC54FA633}" type="presParOf" srcId="{495C5D59-79BF-4BC1-98C2-45A4505B95FF}" destId="{52CE332F-992B-4BFA-9E12-35E53D1F3EC0}" srcOrd="2" destOrd="0" presId="urn:microsoft.com/office/officeart/2005/8/layout/pyramid3"/>
    <dgm:cxn modelId="{666434C7-3B51-4F1F-9969-272217AFD21A}" type="presParOf" srcId="{495C5D59-79BF-4BC1-98C2-45A4505B95FF}" destId="{5A81E5FA-ECBD-40B1-8960-E052E2A71B40}" srcOrd="3" destOrd="0" presId="urn:microsoft.com/office/officeart/2005/8/layout/pyramid3"/>
    <dgm:cxn modelId="{9F682269-A392-410A-9DC3-547D0D96D30F}" type="presParOf" srcId="{B27EFD7A-06AA-46E7-B9D8-525B39D00093}" destId="{CB1D202B-F258-4057-BADD-0BE9DBE989C0}" srcOrd="3" destOrd="0" presId="urn:microsoft.com/office/officeart/2005/8/layout/pyramid3"/>
    <dgm:cxn modelId="{37C5CD65-2B52-4D5E-A42E-45731E60EFAB}" type="presParOf" srcId="{CB1D202B-F258-4057-BADD-0BE9DBE989C0}" destId="{AA11821C-C404-4FD6-90F3-98B22272335B}" srcOrd="0" destOrd="0" presId="urn:microsoft.com/office/officeart/2005/8/layout/pyramid3"/>
    <dgm:cxn modelId="{5818FC7A-9E88-418A-ADAD-71E86E54709E}" type="presParOf" srcId="{CB1D202B-F258-4057-BADD-0BE9DBE989C0}" destId="{6627F124-495E-44C3-889E-E8750B90E562}" srcOrd="1" destOrd="0" presId="urn:microsoft.com/office/officeart/2005/8/layout/pyramid3"/>
    <dgm:cxn modelId="{1391EEBE-29D0-4975-A72F-D980FBB1E56A}" type="presParOf" srcId="{CB1D202B-F258-4057-BADD-0BE9DBE989C0}" destId="{0071C3F3-A9CE-4F88-9694-3D5AFD8D62E4}" srcOrd="2" destOrd="0" presId="urn:microsoft.com/office/officeart/2005/8/layout/pyramid3"/>
    <dgm:cxn modelId="{8E11C2D1-A69B-4113-9E32-86A8EF0D3830}" type="presParOf" srcId="{CB1D202B-F258-4057-BADD-0BE9DBE989C0}" destId="{33CB7283-E1F2-4A8C-8E5E-0DB8D3C15FE2}" srcOrd="3" destOrd="0" presId="urn:microsoft.com/office/officeart/2005/8/layout/pyramid3"/>
    <dgm:cxn modelId="{9F324B6E-25CD-4327-8345-FCC4A96634CC}" type="presParOf" srcId="{B27EFD7A-06AA-46E7-B9D8-525B39D00093}" destId="{9096866F-1967-479C-AA30-BC84EC096A1C}" srcOrd="4" destOrd="0" presId="urn:microsoft.com/office/officeart/2005/8/layout/pyramid3"/>
    <dgm:cxn modelId="{02F84A1F-9EBD-4091-8D5C-A612825944FA}" type="presParOf" srcId="{9096866F-1967-479C-AA30-BC84EC096A1C}" destId="{17691BBC-1ADA-45B5-A4A7-F39686154A8F}" srcOrd="0" destOrd="0" presId="urn:microsoft.com/office/officeart/2005/8/layout/pyramid3"/>
    <dgm:cxn modelId="{381CC651-FD67-42B7-9CF0-62818D392660}" type="presParOf" srcId="{9096866F-1967-479C-AA30-BC84EC096A1C}" destId="{769D1931-3B1D-49E4-94DB-39A5DF324C6E}" srcOrd="1" destOrd="0" presId="urn:microsoft.com/office/officeart/2005/8/layout/pyramid3"/>
    <dgm:cxn modelId="{7FA6E826-7CA3-423F-97AE-D3627F7B1668}" type="presParOf" srcId="{9096866F-1967-479C-AA30-BC84EC096A1C}" destId="{435FF1BD-7495-4C10-B2C5-9D0BF0255459}" srcOrd="2" destOrd="0" presId="urn:microsoft.com/office/officeart/2005/8/layout/pyramid3"/>
    <dgm:cxn modelId="{C2C13808-6EF7-4434-87B0-A125AB575325}" type="presParOf" srcId="{9096866F-1967-479C-AA30-BC84EC096A1C}" destId="{6730D9C6-2789-4A02-A7EC-E7DEC8A40123}" srcOrd="3"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4DB51F-742B-4FE5-B6D7-56A7FBF2786D}">
      <dsp:nvSpPr>
        <dsp:cNvPr id="0" name=""/>
        <dsp:cNvSpPr/>
      </dsp:nvSpPr>
      <dsp:spPr>
        <a:xfrm>
          <a:off x="3176579" y="0"/>
          <a:ext cx="2013910" cy="508762"/>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sk-SK" sz="1100" kern="1200" dirty="0" smtClean="0">
              <a:solidFill>
                <a:sysClr val="windowText" lastClr="000000">
                  <a:hueOff val="0"/>
                  <a:satOff val="0"/>
                  <a:lumOff val="0"/>
                  <a:alphaOff val="0"/>
                </a:sysClr>
              </a:solidFill>
              <a:latin typeface="Times New Roman" panose="02020603050405020304"/>
              <a:ea typeface="+mn-ea"/>
              <a:cs typeface="+mn-cs"/>
            </a:rPr>
            <a:t>Globálna / medzinárodná úroveň</a:t>
          </a:r>
          <a:endParaRPr lang="sk-SK" sz="1100" kern="1200" dirty="0">
            <a:solidFill>
              <a:sysClr val="windowText" lastClr="000000">
                <a:hueOff val="0"/>
                <a:satOff val="0"/>
                <a:lumOff val="0"/>
                <a:alphaOff val="0"/>
              </a:sysClr>
            </a:solidFill>
            <a:latin typeface="Times New Roman" panose="02020603050405020304"/>
            <a:ea typeface="+mn-ea"/>
            <a:cs typeface="+mn-cs"/>
          </a:endParaRPr>
        </a:p>
      </dsp:txBody>
      <dsp:txXfrm>
        <a:off x="3764890" y="72091"/>
        <a:ext cx="1425599" cy="436671"/>
      </dsp:txXfrm>
    </dsp:sp>
    <dsp:sp modelId="{284CE482-3C29-4855-80AD-5A9D6F5521D3}">
      <dsp:nvSpPr>
        <dsp:cNvPr id="0" name=""/>
        <dsp:cNvSpPr/>
      </dsp:nvSpPr>
      <dsp:spPr>
        <a:xfrm rot="10800000">
          <a:off x="0" y="0"/>
          <a:ext cx="3529533" cy="508762"/>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kern="1200" dirty="0" smtClean="0">
              <a:solidFill>
                <a:sysClr val="windowText" lastClr="000000">
                  <a:hueOff val="0"/>
                  <a:satOff val="0"/>
                  <a:lumOff val="0"/>
                  <a:alphaOff val="0"/>
                </a:sysClr>
              </a:solidFill>
              <a:latin typeface="Times New Roman" panose="02020603050405020304"/>
              <a:ea typeface="+mn-ea"/>
              <a:cs typeface="+mn-cs"/>
            </a:rPr>
            <a:t>Agenda OSN 2030 a </a:t>
          </a:r>
        </a:p>
        <a:p>
          <a:pPr lvl="0" algn="ctr" defTabSz="400050">
            <a:lnSpc>
              <a:spcPct val="90000"/>
            </a:lnSpc>
            <a:spcBef>
              <a:spcPct val="0"/>
            </a:spcBef>
            <a:spcAft>
              <a:spcPct val="35000"/>
            </a:spcAft>
          </a:pPr>
          <a:r>
            <a:rPr lang="sk-SK" sz="900" kern="1200" dirty="0" smtClean="0">
              <a:solidFill>
                <a:sysClr val="windowText" lastClr="000000">
                  <a:hueOff val="0"/>
                  <a:satOff val="0"/>
                  <a:lumOff val="0"/>
                  <a:alphaOff val="0"/>
                </a:sysClr>
              </a:solidFill>
              <a:latin typeface="Times New Roman" panose="02020603050405020304"/>
              <a:ea typeface="+mn-ea"/>
              <a:cs typeface="+mn-cs"/>
            </a:rPr>
            <a:t>EÚ 2020</a:t>
          </a:r>
          <a:endParaRPr lang="sk-SK" sz="900" kern="1200" dirty="0">
            <a:solidFill>
              <a:sysClr val="windowText" lastClr="000000">
                <a:hueOff val="0"/>
                <a:satOff val="0"/>
                <a:lumOff val="0"/>
                <a:alphaOff val="0"/>
              </a:sysClr>
            </a:solidFill>
            <a:latin typeface="Times New Roman" panose="02020603050405020304"/>
            <a:ea typeface="+mn-ea"/>
            <a:cs typeface="+mn-cs"/>
          </a:endParaRPr>
        </a:p>
      </dsp:txBody>
      <dsp:txXfrm rot="-10800000">
        <a:off x="853025" y="52193"/>
        <a:ext cx="1823482" cy="456569"/>
      </dsp:txXfrm>
    </dsp:sp>
    <dsp:sp modelId="{4F5FA3EB-2604-497C-BB82-E926A98FA868}">
      <dsp:nvSpPr>
        <dsp:cNvPr id="0" name=""/>
        <dsp:cNvSpPr/>
      </dsp:nvSpPr>
      <dsp:spPr>
        <a:xfrm>
          <a:off x="2823626" y="508762"/>
          <a:ext cx="2366863" cy="508762"/>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sk-SK" sz="1100" kern="1200" dirty="0" smtClean="0">
              <a:solidFill>
                <a:sysClr val="windowText" lastClr="000000">
                  <a:hueOff val="0"/>
                  <a:satOff val="0"/>
                  <a:lumOff val="0"/>
                  <a:alphaOff val="0"/>
                </a:sysClr>
              </a:solidFill>
              <a:latin typeface="Times New Roman" panose="02020603050405020304"/>
              <a:ea typeface="+mn-ea"/>
              <a:cs typeface="+mn-cs"/>
            </a:rPr>
            <a:t>Definícia želaného budúceho stavu</a:t>
          </a:r>
          <a:endParaRPr lang="sk-SK" sz="1100" kern="1200" dirty="0">
            <a:solidFill>
              <a:sysClr val="windowText" lastClr="000000">
                <a:hueOff val="0"/>
                <a:satOff val="0"/>
                <a:lumOff val="0"/>
                <a:alphaOff val="0"/>
              </a:sysClr>
            </a:solidFill>
            <a:latin typeface="Times New Roman" panose="02020603050405020304"/>
            <a:ea typeface="+mn-ea"/>
            <a:cs typeface="+mn-cs"/>
          </a:endParaRPr>
        </a:p>
      </dsp:txBody>
      <dsp:txXfrm>
        <a:off x="3411936" y="568219"/>
        <a:ext cx="1778553" cy="449305"/>
      </dsp:txXfrm>
    </dsp:sp>
    <dsp:sp modelId="{8EAA10DC-A2AC-48E7-B742-0C8F4A1BBF05}">
      <dsp:nvSpPr>
        <dsp:cNvPr id="0" name=""/>
        <dsp:cNvSpPr/>
      </dsp:nvSpPr>
      <dsp:spPr>
        <a:xfrm rot="10800000">
          <a:off x="352953" y="508762"/>
          <a:ext cx="2823626" cy="508762"/>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kern="1200" dirty="0" smtClean="0">
              <a:solidFill>
                <a:sysClr val="windowText" lastClr="000000">
                  <a:hueOff val="0"/>
                  <a:satOff val="0"/>
                  <a:lumOff val="0"/>
                  <a:alphaOff val="0"/>
                </a:sysClr>
              </a:solidFill>
              <a:latin typeface="Times New Roman" panose="02020603050405020304"/>
              <a:ea typeface="+mn-ea"/>
              <a:cs typeface="+mn-cs"/>
            </a:rPr>
            <a:t>Dlhodobá vízia rozvoja spoločnosti</a:t>
          </a:r>
          <a:endParaRPr lang="sk-SK" sz="900" kern="1200" dirty="0">
            <a:solidFill>
              <a:sysClr val="windowText" lastClr="000000">
                <a:hueOff val="0"/>
                <a:satOff val="0"/>
                <a:lumOff val="0"/>
                <a:alphaOff val="0"/>
              </a:sysClr>
            </a:solidFill>
            <a:latin typeface="Times New Roman" panose="02020603050405020304"/>
            <a:ea typeface="+mn-ea"/>
            <a:cs typeface="+mn-cs"/>
          </a:endParaRPr>
        </a:p>
      </dsp:txBody>
      <dsp:txXfrm rot="-10800000">
        <a:off x="1082444" y="574003"/>
        <a:ext cx="1364643" cy="443521"/>
      </dsp:txXfrm>
    </dsp:sp>
    <dsp:sp modelId="{567EE420-EE5B-4C2F-AAEA-FED61068D617}">
      <dsp:nvSpPr>
        <dsp:cNvPr id="0" name=""/>
        <dsp:cNvSpPr/>
      </dsp:nvSpPr>
      <dsp:spPr>
        <a:xfrm>
          <a:off x="2470673" y="1017524"/>
          <a:ext cx="2719816" cy="508762"/>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sk-SK" sz="1100" kern="1200" dirty="0" smtClean="0">
              <a:solidFill>
                <a:sysClr val="windowText" lastClr="000000">
                  <a:hueOff val="0"/>
                  <a:satOff val="0"/>
                  <a:lumOff val="0"/>
                  <a:alphaOff val="0"/>
                </a:sysClr>
              </a:solidFill>
              <a:latin typeface="Times New Roman" panose="02020603050405020304"/>
              <a:ea typeface="+mn-ea"/>
              <a:cs typeface="+mn-cs"/>
            </a:rPr>
            <a:t>Spôsob dosiahnutia cieľov vízie</a:t>
          </a:r>
          <a:endParaRPr lang="sk-SK" sz="1100" kern="1200" dirty="0">
            <a:solidFill>
              <a:sysClr val="windowText" lastClr="000000">
                <a:hueOff val="0"/>
                <a:satOff val="0"/>
                <a:lumOff val="0"/>
                <a:alphaOff val="0"/>
              </a:sysClr>
            </a:solidFill>
            <a:latin typeface="Times New Roman" panose="02020603050405020304"/>
            <a:ea typeface="+mn-ea"/>
            <a:cs typeface="+mn-cs"/>
          </a:endParaRPr>
        </a:p>
      </dsp:txBody>
      <dsp:txXfrm>
        <a:off x="3058983" y="1068114"/>
        <a:ext cx="2131506" cy="458172"/>
      </dsp:txXfrm>
    </dsp:sp>
    <dsp:sp modelId="{52CE332F-992B-4BFA-9E12-35E53D1F3EC0}">
      <dsp:nvSpPr>
        <dsp:cNvPr id="0" name=""/>
        <dsp:cNvSpPr/>
      </dsp:nvSpPr>
      <dsp:spPr>
        <a:xfrm rot="10800000">
          <a:off x="705906" y="1017524"/>
          <a:ext cx="2117719" cy="508762"/>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kern="1200" dirty="0" smtClean="0">
              <a:solidFill>
                <a:sysClr val="windowText" lastClr="000000">
                  <a:hueOff val="0"/>
                  <a:satOff val="0"/>
                  <a:lumOff val="0"/>
                  <a:alphaOff val="0"/>
                </a:sysClr>
              </a:solidFill>
              <a:latin typeface="Times New Roman" panose="02020603050405020304"/>
              <a:ea typeface="+mn-ea"/>
              <a:cs typeface="+mn-cs"/>
            </a:rPr>
            <a:t>Stratégia rozvoja spoločnosti</a:t>
          </a:r>
          <a:endParaRPr lang="sk-SK" sz="900" kern="1200" dirty="0">
            <a:solidFill>
              <a:sysClr val="windowText" lastClr="000000">
                <a:hueOff val="0"/>
                <a:satOff val="0"/>
                <a:lumOff val="0"/>
                <a:alphaOff val="0"/>
              </a:sysClr>
            </a:solidFill>
            <a:latin typeface="Times New Roman" panose="02020603050405020304"/>
            <a:ea typeface="+mn-ea"/>
            <a:cs typeface="+mn-cs"/>
          </a:endParaRPr>
        </a:p>
      </dsp:txBody>
      <dsp:txXfrm rot="-10800000">
        <a:off x="1311864" y="1104512"/>
        <a:ext cx="905803" cy="421774"/>
      </dsp:txXfrm>
    </dsp:sp>
    <dsp:sp modelId="{AA11821C-C404-4FD6-90F3-98B22272335B}">
      <dsp:nvSpPr>
        <dsp:cNvPr id="0" name=""/>
        <dsp:cNvSpPr/>
      </dsp:nvSpPr>
      <dsp:spPr>
        <a:xfrm>
          <a:off x="2117719" y="1526286"/>
          <a:ext cx="3072770" cy="508762"/>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sk-SK" sz="1100" kern="1200" dirty="0" smtClean="0">
              <a:solidFill>
                <a:sysClr val="windowText" lastClr="000000">
                  <a:hueOff val="0"/>
                  <a:satOff val="0"/>
                  <a:lumOff val="0"/>
                  <a:alphaOff val="0"/>
                </a:sysClr>
              </a:solidFill>
              <a:latin typeface="Times New Roman" panose="02020603050405020304"/>
              <a:ea typeface="+mn-ea"/>
              <a:cs typeface="+mn-cs"/>
            </a:rPr>
            <a:t>Odvetvové a prierezové stratégie</a:t>
          </a:r>
          <a:endParaRPr lang="sk-SK" sz="1100" kern="1200" dirty="0">
            <a:solidFill>
              <a:sysClr val="windowText" lastClr="000000">
                <a:hueOff val="0"/>
                <a:satOff val="0"/>
                <a:lumOff val="0"/>
                <a:alphaOff val="0"/>
              </a:sysClr>
            </a:solidFill>
            <a:latin typeface="Times New Roman" panose="02020603050405020304"/>
            <a:ea typeface="+mn-ea"/>
            <a:cs typeface="+mn-cs"/>
          </a:endParaRPr>
        </a:p>
      </dsp:txBody>
      <dsp:txXfrm>
        <a:off x="2706030" y="1570311"/>
        <a:ext cx="2484459" cy="464737"/>
      </dsp:txXfrm>
    </dsp:sp>
    <dsp:sp modelId="{0071C3F3-A9CE-4F88-9694-3D5AFD8D62E4}">
      <dsp:nvSpPr>
        <dsp:cNvPr id="0" name=""/>
        <dsp:cNvSpPr/>
      </dsp:nvSpPr>
      <dsp:spPr>
        <a:xfrm rot="10800000">
          <a:off x="1058859" y="1526286"/>
          <a:ext cx="1411813" cy="508762"/>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kern="1200" dirty="0" smtClean="0">
              <a:solidFill>
                <a:sysClr val="windowText" lastClr="000000">
                  <a:hueOff val="0"/>
                  <a:satOff val="0"/>
                  <a:lumOff val="0"/>
                  <a:alphaOff val="0"/>
                </a:sysClr>
              </a:solidFill>
              <a:latin typeface="Times New Roman" panose="02020603050405020304"/>
              <a:ea typeface="+mn-ea"/>
              <a:cs typeface="+mn-cs"/>
            </a:rPr>
            <a:t>Stratégie</a:t>
          </a:r>
          <a:endParaRPr lang="sk-SK" sz="900" kern="1200" dirty="0">
            <a:solidFill>
              <a:sysClr val="windowText" lastClr="000000">
                <a:hueOff val="0"/>
                <a:satOff val="0"/>
                <a:lumOff val="0"/>
                <a:alphaOff val="0"/>
              </a:sysClr>
            </a:solidFill>
            <a:latin typeface="Times New Roman" panose="02020603050405020304"/>
            <a:ea typeface="+mn-ea"/>
            <a:cs typeface="+mn-cs"/>
          </a:endParaRPr>
        </a:p>
      </dsp:txBody>
      <dsp:txXfrm rot="-10800000">
        <a:off x="1541284" y="1656768"/>
        <a:ext cx="446964" cy="378280"/>
      </dsp:txXfrm>
    </dsp:sp>
    <dsp:sp modelId="{17691BBC-1ADA-45B5-A4A7-F39686154A8F}">
      <dsp:nvSpPr>
        <dsp:cNvPr id="0" name=""/>
        <dsp:cNvSpPr/>
      </dsp:nvSpPr>
      <dsp:spPr>
        <a:xfrm>
          <a:off x="1764766" y="2035048"/>
          <a:ext cx="3425723" cy="508762"/>
        </a:xfrm>
        <a:prstGeom prst="nonIsoscelesTrapezoid">
          <a:avLst>
            <a:gd name="adj1" fmla="val 69391"/>
            <a:gd name="adj2" fmla="val 0"/>
          </a:avLst>
        </a:prstGeom>
        <a:solidFill>
          <a:sysClr val="window" lastClr="FFFFFF">
            <a:alpha val="90000"/>
            <a:hueOff val="0"/>
            <a:satOff val="0"/>
            <a:lumOff val="0"/>
            <a:alphaOff val="0"/>
          </a:sysClr>
        </a:solidFill>
        <a:ln w="9525" cap="flat" cmpd="sng" algn="ctr">
          <a:solidFill>
            <a:srgbClr val="9BBB59">
              <a:hueOff val="0"/>
              <a:satOff val="0"/>
              <a:lumOff val="0"/>
              <a:alphaOff val="0"/>
            </a:srgb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57150" lvl="1" indent="-57150" algn="l" defTabSz="488950">
            <a:lnSpc>
              <a:spcPct val="90000"/>
            </a:lnSpc>
            <a:spcBef>
              <a:spcPct val="0"/>
            </a:spcBef>
            <a:spcAft>
              <a:spcPct val="15000"/>
            </a:spcAft>
            <a:buChar char="••"/>
          </a:pPr>
          <a:r>
            <a:rPr lang="sk-SK" sz="1100" kern="1200" dirty="0" smtClean="0">
              <a:solidFill>
                <a:sysClr val="windowText" lastClr="000000">
                  <a:hueOff val="0"/>
                  <a:satOff val="0"/>
                  <a:lumOff val="0"/>
                  <a:alphaOff val="0"/>
                </a:sysClr>
              </a:solidFill>
              <a:latin typeface="Times New Roman" panose="02020603050405020304"/>
              <a:ea typeface="+mn-ea"/>
              <a:cs typeface="+mn-cs"/>
            </a:rPr>
            <a:t>Priority dobudovania strategickej infraštruktúry</a:t>
          </a:r>
          <a:endParaRPr lang="sk-SK" sz="1100" kern="1200" dirty="0">
            <a:solidFill>
              <a:sysClr val="windowText" lastClr="000000">
                <a:hueOff val="0"/>
                <a:satOff val="0"/>
                <a:lumOff val="0"/>
                <a:alphaOff val="0"/>
              </a:sysClr>
            </a:solidFill>
            <a:latin typeface="Times New Roman" panose="02020603050405020304"/>
            <a:ea typeface="+mn-ea"/>
            <a:cs typeface="+mn-cs"/>
          </a:endParaRPr>
        </a:p>
      </dsp:txBody>
      <dsp:txXfrm>
        <a:off x="2353076" y="2074016"/>
        <a:ext cx="2837413" cy="469794"/>
      </dsp:txXfrm>
    </dsp:sp>
    <dsp:sp modelId="{435FF1BD-7495-4C10-B2C5-9D0BF0255459}">
      <dsp:nvSpPr>
        <dsp:cNvPr id="0" name=""/>
        <dsp:cNvSpPr/>
      </dsp:nvSpPr>
      <dsp:spPr>
        <a:xfrm rot="10800000">
          <a:off x="1411813" y="2035048"/>
          <a:ext cx="705906" cy="508762"/>
        </a:xfrm>
        <a:prstGeom prst="trapezoid">
          <a:avLst>
            <a:gd name="adj" fmla="val 69391"/>
          </a:avLst>
        </a:prstGeom>
        <a:gradFill rotWithShape="0">
          <a:gsLst>
            <a:gs pos="0">
              <a:srgbClr val="9BBB59">
                <a:hueOff val="0"/>
                <a:satOff val="0"/>
                <a:lumOff val="0"/>
                <a:alphaOff val="0"/>
                <a:shade val="51000"/>
                <a:satMod val="130000"/>
              </a:srgbClr>
            </a:gs>
            <a:gs pos="80000">
              <a:srgbClr val="9BBB59">
                <a:hueOff val="0"/>
                <a:satOff val="0"/>
                <a:lumOff val="0"/>
                <a:alphaOff val="0"/>
                <a:shade val="93000"/>
                <a:satMod val="130000"/>
              </a:srgbClr>
            </a:gs>
            <a:gs pos="100000">
              <a:srgbClr val="9BBB59">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kern="1200" dirty="0" smtClean="0">
              <a:solidFill>
                <a:sysClr val="windowText" lastClr="000000">
                  <a:hueOff val="0"/>
                  <a:satOff val="0"/>
                  <a:lumOff val="0"/>
                  <a:alphaOff val="0"/>
                </a:sysClr>
              </a:solidFill>
              <a:latin typeface="Times New Roman" panose="02020603050405020304"/>
              <a:ea typeface="+mn-ea"/>
              <a:cs typeface="+mn-cs"/>
            </a:rPr>
            <a:t>NIP</a:t>
          </a:r>
          <a:endParaRPr lang="sk-SK" sz="900" kern="1200" dirty="0">
            <a:solidFill>
              <a:sysClr val="windowText" lastClr="000000">
                <a:hueOff val="0"/>
                <a:satOff val="0"/>
                <a:lumOff val="0"/>
                <a:alphaOff val="0"/>
              </a:sysClr>
            </a:solidFill>
            <a:latin typeface="Times New Roman" panose="02020603050405020304"/>
            <a:ea typeface="+mn-ea"/>
            <a:cs typeface="+mn-cs"/>
          </a:endParaRPr>
        </a:p>
      </dsp:txBody>
      <dsp:txXfrm rot="-10800000">
        <a:off x="1647115" y="2204635"/>
        <a:ext cx="235302" cy="3391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F817-58AD-4681-88C4-2908C4BD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2882</Words>
  <Characters>16431</Characters>
  <Application>Microsoft Office Word</Application>
  <DocSecurity>0</DocSecurity>
  <Lines>136</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BACKGROUND NOTE K PREZENTÁCII</dc:subject>
  <dc:creator>Sekcia riadenia investícií                                                                                                                                                                                       August 2016</dc:creator>
  <cp:keywords/>
  <dc:description/>
  <cp:lastModifiedBy>Karolína Tichá</cp:lastModifiedBy>
  <cp:revision>2</cp:revision>
  <cp:lastPrinted>2016-12-07T14:35:00Z</cp:lastPrinted>
  <dcterms:created xsi:type="dcterms:W3CDTF">2017-03-30T15:40:00Z</dcterms:created>
  <dcterms:modified xsi:type="dcterms:W3CDTF">2017-03-30T15:40:00Z</dcterms:modified>
</cp:coreProperties>
</file>