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2" w:rsidRPr="00EC7B56" w:rsidRDefault="00DB4C02" w:rsidP="00DB4C02">
      <w:pPr>
        <w:spacing w:after="240"/>
        <w:rPr>
          <w:rFonts w:ascii="Calibri" w:hAnsi="Calibri" w:cs="Arial"/>
          <w:b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Príloha č. 2 - Podrobný o</w:t>
      </w: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pis </w:t>
      </w:r>
      <w:r>
        <w:rPr>
          <w:rFonts w:ascii="Calibri" w:hAnsi="Calibri" w:cs="Arial"/>
          <w:b/>
          <w:sz w:val="20"/>
          <w:szCs w:val="20"/>
          <w:lang w:val="sk-SK"/>
        </w:rPr>
        <w:t>kancelárskych priestorov a parkovacích miest</w:t>
      </w:r>
    </w:p>
    <w:p w:rsidR="00DB4C02" w:rsidRPr="00EC7B56" w:rsidRDefault="00DB4C02" w:rsidP="00DB4C02">
      <w:pPr>
        <w:numPr>
          <w:ilvl w:val="2"/>
          <w:numId w:val="1"/>
        </w:numPr>
        <w:spacing w:after="240"/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Podrobný opis </w:t>
      </w:r>
      <w:r>
        <w:rPr>
          <w:rFonts w:ascii="Calibri" w:hAnsi="Calibri" w:cs="Arial"/>
          <w:b/>
          <w:sz w:val="20"/>
          <w:szCs w:val="20"/>
          <w:lang w:val="sk-SK"/>
        </w:rPr>
        <w:t>ponúknutých priestorov a parkovacích miest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43"/>
      </w:tblGrid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Ponúknuté nadzemné podlažie</w:t>
            </w:r>
          </w:p>
        </w:tc>
        <w:tc>
          <w:tcPr>
            <w:tcW w:w="4343" w:type="dxa"/>
            <w:shd w:val="clear" w:color="auto" w:fill="auto"/>
          </w:tcPr>
          <w:p w:rsidR="00DB4C02" w:rsidRPr="00207AC8" w:rsidRDefault="00DB4C02" w:rsidP="00207AC8">
            <w:pPr>
              <w:rPr>
                <w:rFonts w:ascii="Calibri" w:hAnsi="Calibri" w:cs="Arial"/>
                <w:i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Prenajímateľná plocha kancelárskych priestorov</w:t>
            </w:r>
          </w:p>
        </w:tc>
        <w:tc>
          <w:tcPr>
            <w:tcW w:w="4343" w:type="dxa"/>
            <w:shd w:val="clear" w:color="auto" w:fill="auto"/>
          </w:tcPr>
          <w:p w:rsidR="00DB4C02" w:rsidRPr="007B73D5" w:rsidRDefault="00DB4C02" w:rsidP="00A9507C">
            <w:pPr>
              <w:rPr>
                <w:rFonts w:ascii="Calibri" w:hAnsi="Calibri" w:cs="Arial"/>
                <w:color w:val="000000" w:themeColor="text1"/>
                <w:sz w:val="20"/>
                <w:szCs w:val="20"/>
                <w:highlight w:val="yellow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Počet prenajímateľných parkovacích miest rozdelený na typy parkovacích miest a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ich umiestnenie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Pôdorysy jednotlivých podlaží s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vyznačenými typmi prenajímateľných plôch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Metodika určovania výmery prenajímateľných plôch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Pr="00EC7B56" w:rsidRDefault="00DB4C02" w:rsidP="00DB4C02">
      <w:pPr>
        <w:rPr>
          <w:rFonts w:ascii="Calibri" w:hAnsi="Calibri" w:cs="Arial"/>
          <w:sz w:val="20"/>
          <w:szCs w:val="20"/>
          <w:lang w:val="sk-SK"/>
        </w:rPr>
      </w:pPr>
    </w:p>
    <w:p w:rsidR="00DB4C02" w:rsidRDefault="00DB4C02" w:rsidP="00DB4C02">
      <w:pPr>
        <w:numPr>
          <w:ilvl w:val="2"/>
          <w:numId w:val="1"/>
        </w:numPr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Technická a technologická špecifikácia </w:t>
      </w:r>
      <w:r>
        <w:rPr>
          <w:rFonts w:ascii="Calibri" w:hAnsi="Calibri" w:cs="Arial"/>
          <w:b/>
          <w:sz w:val="20"/>
          <w:szCs w:val="20"/>
          <w:lang w:val="sk-SK"/>
        </w:rPr>
        <w:t>ponúknutých priestorov a</w:t>
      </w:r>
      <w:r w:rsidR="00207AC8">
        <w:rPr>
          <w:rFonts w:ascii="Calibri" w:hAnsi="Calibri" w:cs="Arial"/>
          <w:b/>
          <w:sz w:val="20"/>
          <w:szCs w:val="20"/>
          <w:lang w:val="sk-SK"/>
        </w:rPr>
        <w:t> </w:t>
      </w:r>
      <w:r>
        <w:rPr>
          <w:rFonts w:ascii="Calibri" w:hAnsi="Calibri" w:cs="Arial"/>
          <w:b/>
          <w:sz w:val="20"/>
          <w:szCs w:val="20"/>
          <w:lang w:val="sk-SK"/>
        </w:rPr>
        <w:t>Budovy</w:t>
      </w:r>
    </w:p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46"/>
      </w:tblGrid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Základný popis konceptu – vonkajšia skladba, vnútorná skladba, výšky, základný raster, atď.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Nosná konštrukcia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Obvodový plášť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(požiadavkou sú otvárateľné okná)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207AC8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T</w:t>
            </w:r>
            <w:r w:rsidR="00DB4C02">
              <w:rPr>
                <w:rFonts w:ascii="Calibri" w:hAnsi="Calibri" w:cs="Arial"/>
                <w:sz w:val="20"/>
                <w:szCs w:val="20"/>
                <w:lang w:val="sk-SK"/>
              </w:rPr>
              <w:t>ienenie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Vertikálne komunikácie a výťahy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Vnútorné priečky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Povrchové úpravy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stien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Vnútorné dvere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Zárubne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Zámky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Podlahy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Povrchové úpravy stropov a podlahy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Toalety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Elektroinštalácia - silnoprúd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Zál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ožný zdroj elektrickej energie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Svietidlá a núdzové osvetlenie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Meranie a regulácia (</w:t>
            </w:r>
            <w:proofErr w:type="spellStart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MaR</w:t>
            </w:r>
            <w:proofErr w:type="spellEnd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)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energií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Elektronická požiarna signalizácia (EPS) a požiarny rozhlas (PR)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Detekcia CO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Priemyselný kamerový systém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Elektronický zabezpečovací systém (EZS)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Vstupný systém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proofErr w:type="spellStart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Sprinklery</w:t>
            </w:r>
            <w:proofErr w:type="spellEnd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 (SHZ)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Kúrenie a chladenie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Vetranie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A2788E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A2788E">
              <w:rPr>
                <w:rFonts w:ascii="Calibri" w:hAnsi="Calibri" w:cs="Arial"/>
                <w:sz w:val="20"/>
                <w:szCs w:val="20"/>
                <w:lang w:val="sk-SK"/>
              </w:rPr>
              <w:t>Vnútorné vybavenie a nábytok s popisom ponúknutých kusov nábytku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a vybavenia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Parkovanie bicyklov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s kamerovým zabezpečením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0"/>
      </w:tblGrid>
      <w:tr w:rsidR="00DB4C02" w:rsidRPr="00C3367B" w:rsidTr="00A9507C">
        <w:tc>
          <w:tcPr>
            <w:tcW w:w="4348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lastRenderedPageBreak/>
              <w:t>Zdvojená podlaha</w:t>
            </w:r>
          </w:p>
        </w:tc>
        <w:tc>
          <w:tcPr>
            <w:tcW w:w="4340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8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Serverovňa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v rámci kancelárskych priestorov</w:t>
            </w:r>
          </w:p>
        </w:tc>
        <w:tc>
          <w:tcPr>
            <w:tcW w:w="4340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Pr="006D053B" w:rsidRDefault="00DB4C02" w:rsidP="00DB4C02">
      <w:pPr>
        <w:numPr>
          <w:ilvl w:val="2"/>
          <w:numId w:val="1"/>
        </w:numPr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Pôdorys rozmiestnenia miestností na jednotlivých podlažiach, (tzv. </w:t>
      </w:r>
      <w:proofErr w:type="spellStart"/>
      <w:r w:rsidRPr="00EC7B56">
        <w:rPr>
          <w:rFonts w:ascii="Calibri" w:hAnsi="Calibri" w:cs="Arial"/>
          <w:b/>
          <w:sz w:val="20"/>
          <w:szCs w:val="20"/>
          <w:lang w:val="sk-SK"/>
        </w:rPr>
        <w:t>floor</w:t>
      </w:r>
      <w:proofErr w:type="spellEnd"/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 </w:t>
      </w:r>
      <w:proofErr w:type="spellStart"/>
      <w:r w:rsidRPr="00EC7B56">
        <w:rPr>
          <w:rFonts w:ascii="Calibri" w:hAnsi="Calibri" w:cs="Arial"/>
          <w:b/>
          <w:sz w:val="20"/>
          <w:szCs w:val="20"/>
          <w:lang w:val="sk-SK"/>
        </w:rPr>
        <w:t>plan</w:t>
      </w:r>
      <w:proofErr w:type="spellEnd"/>
      <w:r w:rsidRPr="00EC7B56">
        <w:rPr>
          <w:rFonts w:ascii="Calibri" w:hAnsi="Calibri" w:cs="Arial"/>
          <w:b/>
          <w:sz w:val="20"/>
          <w:szCs w:val="20"/>
          <w:lang w:val="sk-SK"/>
        </w:rPr>
        <w:t>)</w:t>
      </w:r>
      <w:r>
        <w:rPr>
          <w:rFonts w:ascii="Calibri" w:hAnsi="Calibri" w:cs="Arial"/>
          <w:b/>
          <w:sz w:val="20"/>
          <w:szCs w:val="20"/>
          <w:lang w:val="sk-SK"/>
        </w:rPr>
        <w:t>.</w:t>
      </w:r>
      <w:r w:rsidRPr="006D053B">
        <w:rPr>
          <w:rFonts w:ascii="Calibri" w:hAnsi="Calibri" w:cs="Arial"/>
          <w:sz w:val="20"/>
          <w:szCs w:val="20"/>
          <w:lang w:val="sk-SK"/>
        </w:rPr>
        <w:t xml:space="preserve"> </w:t>
      </w:r>
    </w:p>
    <w:p w:rsidR="00DB4C02" w:rsidRPr="00EC7B56" w:rsidRDefault="00DB4C02" w:rsidP="00DB4C02">
      <w:pPr>
        <w:jc w:val="both"/>
        <w:rPr>
          <w:rFonts w:ascii="Calibri" w:hAnsi="Calibri" w:cs="Arial"/>
          <w:sz w:val="20"/>
          <w:szCs w:val="20"/>
          <w:lang w:val="sk-SK"/>
        </w:rPr>
      </w:pPr>
      <w:r w:rsidRPr="00EC7B56">
        <w:rPr>
          <w:rFonts w:ascii="Calibri" w:hAnsi="Calibri" w:cs="Arial"/>
          <w:sz w:val="20"/>
          <w:szCs w:val="20"/>
          <w:lang w:val="sk-SK"/>
        </w:rPr>
        <w:t xml:space="preserve">Na jednotlivých pôdorysoch je potrebné farebne rozlíšiť plochu jednotlivých typov priestorov </w:t>
      </w:r>
      <w:proofErr w:type="spellStart"/>
      <w:r w:rsidRPr="00EC7B56">
        <w:rPr>
          <w:rFonts w:ascii="Calibri" w:hAnsi="Calibri" w:cs="Arial"/>
          <w:sz w:val="20"/>
          <w:szCs w:val="20"/>
          <w:lang w:val="sk-SK"/>
        </w:rPr>
        <w:t>t.j</w:t>
      </w:r>
      <w:proofErr w:type="spellEnd"/>
      <w:r w:rsidRPr="00EC7B56">
        <w:rPr>
          <w:rFonts w:ascii="Calibri" w:hAnsi="Calibri" w:cs="Arial"/>
          <w:sz w:val="20"/>
          <w:szCs w:val="20"/>
          <w:lang w:val="sk-SK"/>
        </w:rPr>
        <w:t>. odlíšiť prenajímateľnú plochu kancelárskych priestorov, prenajímateľnú/neprenajímateľnú plochu spoločných priestorov, terasy, chodby, komunikácie, technické miestnosti a </w:t>
      </w:r>
      <w:proofErr w:type="spellStart"/>
      <w:r w:rsidRPr="00EC7B56">
        <w:rPr>
          <w:rFonts w:ascii="Calibri" w:hAnsi="Calibri" w:cs="Arial"/>
          <w:sz w:val="20"/>
          <w:szCs w:val="20"/>
          <w:lang w:val="sk-SK"/>
        </w:rPr>
        <w:t>stupačky</w:t>
      </w:r>
      <w:proofErr w:type="spellEnd"/>
      <w:r w:rsidRPr="00EC7B56">
        <w:rPr>
          <w:rFonts w:ascii="Calibri" w:hAnsi="Calibri" w:cs="Arial"/>
          <w:sz w:val="20"/>
          <w:szCs w:val="20"/>
          <w:lang w:val="sk-SK"/>
        </w:rPr>
        <w:t>. Na každom pôdoryse  je takisto potrebné uviesť súčty jednotlivých typov plôch na danom podlaží.</w:t>
      </w:r>
    </w:p>
    <w:p w:rsidR="00B37A3C" w:rsidRDefault="00B37A3C"/>
    <w:sectPr w:rsidR="00B37A3C" w:rsidSect="00BC6E92">
      <w:headerReference w:type="default" r:id="rId7"/>
      <w:footerReference w:type="default" r:id="rId8"/>
      <w:pgSz w:w="12240" w:h="15840"/>
      <w:pgMar w:top="2341" w:right="1771" w:bottom="1440" w:left="177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9A" w:rsidRDefault="0034179A">
      <w:r>
        <w:separator/>
      </w:r>
    </w:p>
  </w:endnote>
  <w:endnote w:type="continuationSeparator" w:id="0">
    <w:p w:rsidR="0034179A" w:rsidRDefault="0034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A" w:rsidRDefault="00FA74E3"/>
  <w:tbl>
    <w:tblPr>
      <w:tblpPr w:leftFromText="187" w:rightFromText="187" w:vertAnchor="page" w:horzAnchor="margin" w:tblpXSpec="center" w:tblpYSpec="bottom"/>
      <w:tblW w:w="5991" w:type="pct"/>
      <w:tblLayout w:type="fixed"/>
      <w:tblLook w:val="04A0" w:firstRow="1" w:lastRow="0" w:firstColumn="1" w:lastColumn="0" w:noHBand="0" w:noVBand="1"/>
    </w:tblPr>
    <w:tblGrid>
      <w:gridCol w:w="8682"/>
      <w:gridCol w:w="1740"/>
    </w:tblGrid>
    <w:tr w:rsidR="00712FEA" w:rsidTr="00E36939">
      <w:trPr>
        <w:trHeight w:val="727"/>
      </w:trPr>
      <w:tc>
        <w:tcPr>
          <w:tcW w:w="4165" w:type="pct"/>
          <w:tcBorders>
            <w:right w:val="triple" w:sz="4" w:space="0" w:color="4F81BD"/>
          </w:tcBorders>
        </w:tcPr>
        <w:p w:rsidR="00712FEA" w:rsidRDefault="00FA74E3" w:rsidP="009B5D15">
          <w:pPr>
            <w:spacing w:line="240" w:lineRule="atLeast"/>
            <w:jc w:val="center"/>
            <w:rPr>
              <w:rFonts w:ascii="Cambria" w:hAnsi="Cambria"/>
              <w:sz w:val="20"/>
              <w:szCs w:val="20"/>
              <w:lang w:val="sk-SK"/>
            </w:rPr>
          </w:pPr>
        </w:p>
      </w:tc>
      <w:tc>
        <w:tcPr>
          <w:tcW w:w="835" w:type="pct"/>
          <w:tcBorders>
            <w:left w:val="triple" w:sz="4" w:space="0" w:color="4F81BD"/>
          </w:tcBorders>
        </w:tcPr>
        <w:p w:rsidR="00712FEA" w:rsidRDefault="00DB4C02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sk-SK"/>
            </w:rPr>
          </w:pPr>
          <w:r>
            <w:rPr>
              <w:lang w:val="sk-SK"/>
            </w:rPr>
            <w:fldChar w:fldCharType="begin"/>
          </w:r>
          <w:r>
            <w:rPr>
              <w:lang w:val="sk-SK"/>
            </w:rPr>
            <w:instrText xml:space="preserve"> PAGE    \* MERGEFORMAT </w:instrText>
          </w:r>
          <w:r>
            <w:rPr>
              <w:lang w:val="sk-SK"/>
            </w:rPr>
            <w:fldChar w:fldCharType="separate"/>
          </w:r>
          <w:r w:rsidR="00FA74E3" w:rsidRPr="00FA74E3">
            <w:rPr>
              <w:noProof/>
            </w:rPr>
            <w:t>2</w:t>
          </w:r>
          <w:r>
            <w:rPr>
              <w:lang w:val="sk-SK"/>
            </w:rPr>
            <w:fldChar w:fldCharType="end"/>
          </w:r>
        </w:p>
      </w:tc>
    </w:tr>
  </w:tbl>
  <w:p w:rsidR="00712FEA" w:rsidRDefault="00FA74E3">
    <w:pPr>
      <w:pStyle w:val="Pta"/>
      <w:ind w:left="-1260" w:right="-129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9A" w:rsidRDefault="0034179A">
      <w:r>
        <w:separator/>
      </w:r>
    </w:p>
  </w:footnote>
  <w:footnote w:type="continuationSeparator" w:id="0">
    <w:p w:rsidR="0034179A" w:rsidRDefault="0034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A" w:rsidRDefault="00DB4C02" w:rsidP="009B5D15">
    <w:pPr>
      <w:pStyle w:val="Hlavika"/>
      <w:ind w:left="5760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0D46"/>
    <w:multiLevelType w:val="multilevel"/>
    <w:tmpl w:val="8940EC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2"/>
    <w:rsid w:val="00207AC8"/>
    <w:rsid w:val="0034179A"/>
    <w:rsid w:val="0084613A"/>
    <w:rsid w:val="00B37A3C"/>
    <w:rsid w:val="00DB4C02"/>
    <w:rsid w:val="00FA74E3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C579-EDC1-419C-B423-E6DFB6D9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4C0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4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rsid w:val="00DB4C0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B4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FB59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7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4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Šesták</dc:creator>
  <cp:keywords/>
  <dc:description/>
  <cp:lastModifiedBy>Magdaléna Kľučárová</cp:lastModifiedBy>
  <cp:revision>4</cp:revision>
  <dcterms:created xsi:type="dcterms:W3CDTF">2018-03-21T09:38:00Z</dcterms:created>
  <dcterms:modified xsi:type="dcterms:W3CDTF">2018-11-28T10:13:00Z</dcterms:modified>
</cp:coreProperties>
</file>