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50D6" w14:textId="77777777" w:rsidR="00D373AB" w:rsidRDefault="00D373AB">
      <w:pPr>
        <w:tabs>
          <w:tab w:val="left" w:pos="2654"/>
          <w:tab w:val="center" w:pos="4535"/>
        </w:tabs>
        <w:jc w:val="center"/>
        <w:rPr>
          <w:rFonts w:ascii="Tahoma" w:hAnsi="Tahoma" w:cs="Tahoma"/>
          <w:b/>
          <w:sz w:val="28"/>
          <w:szCs w:val="16"/>
          <w:lang w:val="sk-SK"/>
        </w:rPr>
      </w:pPr>
    </w:p>
    <w:p w14:paraId="61FBDB83" w14:textId="77777777" w:rsidR="00D373AB" w:rsidRDefault="00000000">
      <w:pPr>
        <w:tabs>
          <w:tab w:val="left" w:pos="2654"/>
          <w:tab w:val="center" w:pos="4535"/>
        </w:tabs>
        <w:jc w:val="center"/>
        <w:rPr>
          <w:rFonts w:ascii="Tahoma" w:hAnsi="Tahoma" w:cs="Tahoma"/>
          <w:b/>
          <w:sz w:val="28"/>
          <w:szCs w:val="16"/>
          <w:lang w:val="sk-SK"/>
        </w:rPr>
      </w:pPr>
      <w:r>
        <w:rPr>
          <w:rFonts w:ascii="Tahoma" w:hAnsi="Tahoma" w:cs="Tahoma"/>
          <w:b/>
          <w:sz w:val="28"/>
          <w:szCs w:val="16"/>
          <w:lang w:val="sk-SK"/>
        </w:rPr>
        <w:t>PROJEKTOVÝ ZÁMER</w:t>
      </w:r>
    </w:p>
    <w:p w14:paraId="16210C28" w14:textId="77777777" w:rsidR="00D373AB" w:rsidRDefault="00000000">
      <w:pPr>
        <w:tabs>
          <w:tab w:val="left" w:pos="2654"/>
          <w:tab w:val="center" w:pos="4535"/>
        </w:tabs>
        <w:jc w:val="center"/>
      </w:pPr>
      <w:r>
        <w:rPr>
          <w:rFonts w:ascii="Tahoma" w:hAnsi="Tahoma" w:cs="Tahoma"/>
          <w:sz w:val="16"/>
          <w:szCs w:val="16"/>
          <w:lang w:val="sk-SK"/>
        </w:rPr>
        <w:t>(Verzia dokumentu v1.00/04</w:t>
      </w:r>
      <w:r>
        <w:rPr>
          <w:rFonts w:ascii="Tahoma" w:hAnsi="Tahoma" w:cs="Tahoma"/>
          <w:sz w:val="16"/>
          <w:szCs w:val="16"/>
          <w:u w:val="single"/>
          <w:lang w:val="sk-SK"/>
        </w:rPr>
        <w:t>_</w:t>
      </w:r>
      <w:r>
        <w:rPr>
          <w:rFonts w:ascii="Tahoma" w:hAnsi="Tahoma" w:cs="Tahoma"/>
          <w:sz w:val="16"/>
          <w:szCs w:val="16"/>
          <w:lang w:val="sk-SK"/>
        </w:rPr>
        <w:t>2023)</w:t>
      </w:r>
    </w:p>
    <w:p w14:paraId="0CDC0CA9" w14:textId="77777777" w:rsidR="00D373AB" w:rsidRDefault="00D373AB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</w:p>
    <w:p w14:paraId="70DE76B9" w14:textId="77777777" w:rsidR="00D373AB" w:rsidRDefault="00D373AB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</w:p>
    <w:p w14:paraId="217D946A" w14:textId="77777777" w:rsidR="00D373AB" w:rsidRDefault="00D373AB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</w:p>
    <w:p w14:paraId="69B36E10" w14:textId="77777777" w:rsidR="00D373AB" w:rsidRDefault="00D373AB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</w:p>
    <w:p w14:paraId="23924790" w14:textId="77777777" w:rsidR="00D373AB" w:rsidRDefault="00D373AB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</w:p>
    <w:p w14:paraId="3DD01A6E" w14:textId="77777777" w:rsidR="00D373AB" w:rsidRDefault="00D373AB">
      <w:pPr>
        <w:tabs>
          <w:tab w:val="left" w:pos="2654"/>
          <w:tab w:val="center" w:pos="4535"/>
        </w:tabs>
        <w:spacing w:before="120"/>
        <w:jc w:val="center"/>
        <w:rPr>
          <w:rFonts w:ascii="Tahoma" w:hAnsi="Tahoma" w:cs="Tahoma"/>
          <w:b/>
          <w:sz w:val="16"/>
          <w:szCs w:val="16"/>
          <w:lang w:val="sk-SK"/>
        </w:rPr>
      </w:pPr>
    </w:p>
    <w:p w14:paraId="7392D3DC" w14:textId="77777777" w:rsidR="00D373AB" w:rsidRDefault="00000000">
      <w:pPr>
        <w:tabs>
          <w:tab w:val="left" w:pos="2654"/>
          <w:tab w:val="center" w:pos="4535"/>
        </w:tabs>
        <w:spacing w:before="120"/>
        <w:ind w:left="-142"/>
        <w:rPr>
          <w:lang w:val="sk-SK"/>
        </w:rPr>
      </w:pPr>
      <w:r>
        <w:rPr>
          <w:lang w:val="sk-SK"/>
        </w:rPr>
        <w:t>Identifikácia projektu</w:t>
      </w:r>
    </w:p>
    <w:tbl>
      <w:tblPr>
        <w:tblW w:w="9450" w:type="dxa"/>
        <w:tblInd w:w="-154" w:type="dxa"/>
        <w:tblLook w:val="0000" w:firstRow="0" w:lastRow="0" w:firstColumn="0" w:lastColumn="0" w:noHBand="0" w:noVBand="0"/>
      </w:tblPr>
      <w:tblGrid>
        <w:gridCol w:w="2525"/>
        <w:gridCol w:w="6925"/>
      </w:tblGrid>
      <w:tr w:rsidR="00D373AB" w14:paraId="211B9B1F" w14:textId="77777777">
        <w:tc>
          <w:tcPr>
            <w:tcW w:w="2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7E6E6"/>
            <w:vAlign w:val="center"/>
          </w:tcPr>
          <w:p w14:paraId="62D6A052" w14:textId="77777777" w:rsidR="00D373AB" w:rsidRDefault="00000000">
            <w:pPr>
              <w:widowControl w:val="0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Povinná osoba</w:t>
            </w:r>
          </w:p>
        </w:tc>
        <w:tc>
          <w:tcPr>
            <w:tcW w:w="69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D15E4D" w14:textId="77777777" w:rsidR="00D373AB" w:rsidRDefault="00000000">
            <w:pPr>
              <w:widowControl w:val="0"/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  <w:t>Tu uveďte názov inštitúcie (napr. OVM), ktorá projekt požaduje</w:t>
            </w:r>
          </w:p>
        </w:tc>
      </w:tr>
      <w:tr w:rsidR="00D373AB" w14:paraId="4FADCB80" w14:textId="77777777">
        <w:tc>
          <w:tcPr>
            <w:tcW w:w="2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7E6E6"/>
            <w:vAlign w:val="center"/>
          </w:tcPr>
          <w:p w14:paraId="3B1AC45C" w14:textId="77777777" w:rsidR="00D373AB" w:rsidRDefault="00000000">
            <w:pPr>
              <w:widowControl w:val="0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Názov projektu</w:t>
            </w:r>
          </w:p>
        </w:tc>
        <w:tc>
          <w:tcPr>
            <w:tcW w:w="69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EBDDEF" w14:textId="77777777" w:rsidR="00D373AB" w:rsidRDefault="00000000">
            <w:pPr>
              <w:widowControl w:val="0"/>
              <w:snapToGrid w:val="0"/>
              <w:rPr>
                <w:rFonts w:ascii="Tahoma" w:hAnsi="Tahoma" w:cs="Tahoma"/>
                <w:b/>
                <w:i/>
                <w:iCs/>
                <w:color w:val="808080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Vybudovanie udržateľného HPC ekosystému na Slovensku</w:t>
            </w:r>
          </w:p>
        </w:tc>
      </w:tr>
      <w:tr w:rsidR="00D373AB" w14:paraId="3045E13D" w14:textId="77777777">
        <w:tc>
          <w:tcPr>
            <w:tcW w:w="2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7E6E6"/>
            <w:vAlign w:val="center"/>
          </w:tcPr>
          <w:p w14:paraId="5964D7BF" w14:textId="77777777" w:rsidR="00D373AB" w:rsidRDefault="00000000">
            <w:pPr>
              <w:widowControl w:val="0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Zodpovedná osoba za projekt</w:t>
            </w:r>
          </w:p>
        </w:tc>
        <w:tc>
          <w:tcPr>
            <w:tcW w:w="69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B5A9F5" w14:textId="77777777" w:rsidR="00D373AB" w:rsidRDefault="00000000">
            <w:pPr>
              <w:widowControl w:val="0"/>
            </w:pPr>
            <w:r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  <w:t>Meno a priezvisko fyzickej osoby, ktorá predloží dokumenty pre prípravnú/ iniciačnú fázu projektu –zamestnanec /Projektový manažér</w:t>
            </w:r>
          </w:p>
        </w:tc>
      </w:tr>
      <w:tr w:rsidR="00D373AB" w14:paraId="25A9A10F" w14:textId="77777777">
        <w:tc>
          <w:tcPr>
            <w:tcW w:w="2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7E6E6"/>
            <w:vAlign w:val="center"/>
          </w:tcPr>
          <w:p w14:paraId="03DEB4B6" w14:textId="77777777" w:rsidR="00D373AB" w:rsidRDefault="00000000">
            <w:pPr>
              <w:widowControl w:val="0"/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  <w:t xml:space="preserve">Realizátor projektu </w:t>
            </w:r>
          </w:p>
        </w:tc>
        <w:tc>
          <w:tcPr>
            <w:tcW w:w="69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C74B8A" w14:textId="77777777" w:rsidR="00D373AB" w:rsidRDefault="00000000">
            <w:pPr>
              <w:widowControl w:val="0"/>
            </w:pPr>
            <w:r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sk-SK"/>
              </w:rPr>
              <w:t>Tu uveďte názov inštitúcie, v prospech ktorej sa projekt realizuje, môže byť totožná s Oprávnenou osobou (napr. podriadená organizácia)</w:t>
            </w:r>
          </w:p>
        </w:tc>
      </w:tr>
      <w:tr w:rsidR="00D373AB" w14:paraId="5C551FF0" w14:textId="77777777">
        <w:tc>
          <w:tcPr>
            <w:tcW w:w="2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7E6E6"/>
            <w:vAlign w:val="center"/>
          </w:tcPr>
          <w:p w14:paraId="77949191" w14:textId="77777777" w:rsidR="00D373AB" w:rsidRDefault="00000000">
            <w:pPr>
              <w:widowControl w:val="0"/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  <w:t>Vlastník projektu</w:t>
            </w:r>
          </w:p>
        </w:tc>
        <w:tc>
          <w:tcPr>
            <w:tcW w:w="69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A14EB4" w14:textId="77777777" w:rsidR="00D373AB" w:rsidRDefault="00000000">
            <w:pPr>
              <w:widowControl w:val="0"/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  <w:t>Meno a priezvisko fyzickej osoby, ktorá zodpovedá za projekt a schvaľuje predložené dokumenty</w:t>
            </w:r>
          </w:p>
        </w:tc>
      </w:tr>
    </w:tbl>
    <w:p w14:paraId="48B71E24" w14:textId="77777777" w:rsidR="00D373AB" w:rsidRDefault="00D373AB">
      <w:pPr>
        <w:tabs>
          <w:tab w:val="left" w:pos="851"/>
          <w:tab w:val="center" w:pos="3119"/>
        </w:tabs>
        <w:spacing w:before="120"/>
        <w:rPr>
          <w:rFonts w:ascii="Tahoma" w:hAnsi="Tahoma" w:cs="Tahoma"/>
          <w:sz w:val="16"/>
          <w:szCs w:val="16"/>
          <w:lang w:val="sk-SK"/>
        </w:rPr>
      </w:pPr>
    </w:p>
    <w:p w14:paraId="340C30C2" w14:textId="77777777" w:rsidR="00D373AB" w:rsidRDefault="00000000">
      <w:pPr>
        <w:tabs>
          <w:tab w:val="left" w:pos="2654"/>
          <w:tab w:val="center" w:pos="4535"/>
        </w:tabs>
        <w:jc w:val="both"/>
        <w:rPr>
          <w:rFonts w:ascii="Tahoma" w:hAnsi="Tahoma" w:cs="Tahoma"/>
          <w:b/>
          <w:sz w:val="16"/>
          <w:szCs w:val="16"/>
          <w:lang w:val="sk-SK"/>
        </w:rPr>
      </w:pPr>
      <w:r>
        <w:rPr>
          <w:rFonts w:ascii="Tahoma" w:hAnsi="Tahoma" w:cs="Tahoma"/>
          <w:b/>
          <w:sz w:val="16"/>
          <w:szCs w:val="16"/>
          <w:lang w:val="sk-SK"/>
        </w:rPr>
        <w:t>Schvaľovanie dokumentu</w:t>
      </w:r>
    </w:p>
    <w:tbl>
      <w:tblPr>
        <w:tblW w:w="9474" w:type="dxa"/>
        <w:tblInd w:w="-181" w:type="dxa"/>
        <w:tblLook w:val="0000" w:firstRow="0" w:lastRow="0" w:firstColumn="0" w:lastColumn="0" w:noHBand="0" w:noVBand="0"/>
      </w:tblPr>
      <w:tblGrid>
        <w:gridCol w:w="1802"/>
        <w:gridCol w:w="1835"/>
        <w:gridCol w:w="1363"/>
        <w:gridCol w:w="1680"/>
        <w:gridCol w:w="1156"/>
        <w:gridCol w:w="1638"/>
      </w:tblGrid>
      <w:tr w:rsidR="00D373AB" w14:paraId="3CDD1846" w14:textId="77777777"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52B7489C" w14:textId="77777777" w:rsidR="00D373AB" w:rsidRDefault="00000000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Položka</w:t>
            </w:r>
          </w:p>
        </w:tc>
        <w:tc>
          <w:tcPr>
            <w:tcW w:w="1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5C69631C" w14:textId="77777777" w:rsidR="00D373AB" w:rsidRDefault="00000000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Meno a priezvisko</w:t>
            </w:r>
          </w:p>
        </w:tc>
        <w:tc>
          <w:tcPr>
            <w:tcW w:w="1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520C0C3A" w14:textId="77777777" w:rsidR="00D373AB" w:rsidRDefault="00000000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Organizácia</w:t>
            </w:r>
          </w:p>
        </w:tc>
        <w:tc>
          <w:tcPr>
            <w:tcW w:w="1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333DEBDB" w14:textId="77777777" w:rsidR="00D373AB" w:rsidRDefault="00000000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Pracovná pozícia</w:t>
            </w:r>
          </w:p>
        </w:tc>
        <w:tc>
          <w:tcPr>
            <w:tcW w:w="11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698E01C7" w14:textId="77777777" w:rsidR="00D373AB" w:rsidRDefault="00000000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Dátum</w:t>
            </w:r>
          </w:p>
        </w:tc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7E72B9A" w14:textId="77777777" w:rsidR="00D373AB" w:rsidRDefault="00000000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Podpis</w:t>
            </w:r>
          </w:p>
          <w:p w14:paraId="4A807388" w14:textId="77777777" w:rsidR="00D373AB" w:rsidRDefault="00000000">
            <w:pPr>
              <w:widowControl w:val="0"/>
              <w:jc w:val="center"/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(alebo elektronický súhlas)</w:t>
            </w:r>
          </w:p>
        </w:tc>
      </w:tr>
      <w:tr w:rsidR="00D373AB" w14:paraId="764364F7" w14:textId="77777777"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8F9168A" w14:textId="77777777" w:rsidR="00D373AB" w:rsidRDefault="00000000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Vypracoval</w:t>
            </w:r>
          </w:p>
        </w:tc>
        <w:tc>
          <w:tcPr>
            <w:tcW w:w="1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6E26F31" w14:textId="77777777" w:rsidR="00D373AB" w:rsidRDefault="00D373AB">
            <w:pPr>
              <w:widowControl w:val="0"/>
              <w:snapToGrid w:val="0"/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1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7D09A72" w14:textId="77777777" w:rsidR="00D373AB" w:rsidRDefault="00D373AB">
            <w:pPr>
              <w:widowControl w:val="0"/>
              <w:snapToGrid w:val="0"/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1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8C1D39E" w14:textId="77777777" w:rsidR="00D373AB" w:rsidRDefault="00D373AB">
            <w:pPr>
              <w:widowControl w:val="0"/>
              <w:snapToGrid w:val="0"/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11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EE023D3" w14:textId="77777777" w:rsidR="00D373AB" w:rsidRDefault="00D373AB">
            <w:pPr>
              <w:widowControl w:val="0"/>
              <w:snapToGrid w:val="0"/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CB1DCE" w14:textId="77777777" w:rsidR="00D373AB" w:rsidRDefault="00D373AB">
            <w:pPr>
              <w:widowControl w:val="0"/>
              <w:snapToGrid w:val="0"/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</w:tbl>
    <w:p w14:paraId="12853E9C" w14:textId="77777777" w:rsidR="00D373AB" w:rsidRDefault="00000000">
      <w:pPr>
        <w:rPr>
          <w:lang w:val="sk-SK"/>
        </w:rPr>
      </w:pPr>
      <w:r>
        <w:br w:type="page"/>
      </w:r>
    </w:p>
    <w:p w14:paraId="1CBFA949" w14:textId="77777777" w:rsidR="00D373AB" w:rsidRDefault="00D373AB">
      <w:pPr>
        <w:rPr>
          <w:lang w:val="sk-SK"/>
        </w:rPr>
      </w:pPr>
    </w:p>
    <w:p w14:paraId="7FCE1B59" w14:textId="77777777" w:rsidR="00D373AB" w:rsidRDefault="00000000">
      <w:pPr>
        <w:pStyle w:val="Nadpis"/>
        <w:rPr>
          <w:lang w:val="sk-SK"/>
        </w:rPr>
      </w:pPr>
      <w:r>
        <w:rPr>
          <w:lang w:val="sk-SK"/>
        </w:rPr>
        <w:t>Obsah</w:t>
      </w:r>
    </w:p>
    <w:sdt>
      <w:sdtPr>
        <w:id w:val="308828948"/>
        <w:docPartObj>
          <w:docPartGallery w:val="Table of Contents"/>
          <w:docPartUnique/>
        </w:docPartObj>
      </w:sdtPr>
      <w:sdtContent>
        <w:p w14:paraId="74B7588E" w14:textId="1BBE1FF8" w:rsidR="00F15400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kern w:val="2"/>
              <w:sz w:val="24"/>
              <w:szCs w:val="24"/>
              <w:lang w:val="en-SK" w:eastAsia="en-GB"/>
              <w14:ligatures w14:val="standardContextual"/>
            </w:rPr>
          </w:pPr>
          <w:r>
            <w:fldChar w:fldCharType="begin"/>
          </w:r>
          <w:r>
            <w:rPr>
              <w:rStyle w:val="IndexLink"/>
              <w:webHidden/>
              <w:lang w:bidi="sk-SK"/>
            </w:rPr>
            <w:instrText>TOC \z \o "1-3" \u \h</w:instrText>
          </w:r>
          <w:r>
            <w:rPr>
              <w:rStyle w:val="IndexLink"/>
              <w:lang w:bidi="sk-SK"/>
            </w:rPr>
            <w:fldChar w:fldCharType="separate"/>
          </w:r>
          <w:hyperlink w:anchor="_Toc132800172" w:history="1">
            <w:r w:rsidR="00F15400" w:rsidRPr="00FD3878">
              <w:rPr>
                <w:rStyle w:val="Hyperlink"/>
                <w:noProof/>
                <w:lang w:bidi="sk-SK"/>
              </w:rPr>
              <w:t>1.</w:t>
            </w:r>
            <w:r w:rsidR="00F15400">
              <w:rPr>
                <w:rFonts w:asciiTheme="minorHAnsi" w:eastAsiaTheme="minorEastAsia" w:hAnsiTheme="minorHAnsi" w:cstheme="minorBidi"/>
                <w:b w:val="0"/>
                <w:caps w:val="0"/>
                <w:noProof/>
                <w:kern w:val="2"/>
                <w:sz w:val="24"/>
                <w:szCs w:val="24"/>
                <w:lang w:val="en-SK" w:eastAsia="en-GB"/>
                <w14:ligatures w14:val="standardContextual"/>
              </w:rPr>
              <w:tab/>
            </w:r>
            <w:r w:rsidR="00F15400" w:rsidRPr="00FD3878">
              <w:rPr>
                <w:rStyle w:val="Hyperlink"/>
                <w:noProof/>
              </w:rPr>
              <w:t>POPIS ZMIEN DOKUMENTU</w:t>
            </w:r>
            <w:r w:rsidR="00F15400">
              <w:rPr>
                <w:noProof/>
                <w:webHidden/>
              </w:rPr>
              <w:tab/>
            </w:r>
            <w:r w:rsidR="00F15400">
              <w:rPr>
                <w:noProof/>
                <w:webHidden/>
              </w:rPr>
              <w:fldChar w:fldCharType="begin"/>
            </w:r>
            <w:r w:rsidR="00F15400">
              <w:rPr>
                <w:noProof/>
                <w:webHidden/>
              </w:rPr>
              <w:instrText xml:space="preserve"> PAGEREF _Toc132800172 \h </w:instrText>
            </w:r>
            <w:r w:rsidR="00F15400">
              <w:rPr>
                <w:noProof/>
                <w:webHidden/>
              </w:rPr>
            </w:r>
            <w:r w:rsidR="00F15400">
              <w:rPr>
                <w:noProof/>
                <w:webHidden/>
              </w:rPr>
              <w:fldChar w:fldCharType="separate"/>
            </w:r>
            <w:r w:rsidR="00F15400">
              <w:rPr>
                <w:noProof/>
                <w:webHidden/>
              </w:rPr>
              <w:t>2</w:t>
            </w:r>
            <w:r w:rsidR="00F15400">
              <w:rPr>
                <w:noProof/>
                <w:webHidden/>
              </w:rPr>
              <w:fldChar w:fldCharType="end"/>
            </w:r>
          </w:hyperlink>
        </w:p>
        <w:p w14:paraId="38CD2D0F" w14:textId="366F1803" w:rsidR="00F15400" w:rsidRDefault="00F154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kern w:val="2"/>
              <w:sz w:val="24"/>
              <w:szCs w:val="24"/>
              <w:lang w:val="en-SK" w:eastAsia="en-GB"/>
              <w14:ligatures w14:val="standardContextual"/>
            </w:rPr>
          </w:pPr>
          <w:hyperlink w:anchor="_Toc132800173" w:history="1">
            <w:r w:rsidRPr="00FD3878">
              <w:rPr>
                <w:rStyle w:val="Hyperlink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kern w:val="2"/>
                <w:sz w:val="24"/>
                <w:szCs w:val="24"/>
                <w:lang w:val="en-SK" w:eastAsia="en-GB"/>
                <w14:ligatures w14:val="standardContextual"/>
              </w:rPr>
              <w:tab/>
            </w:r>
            <w:r w:rsidRPr="00FD3878">
              <w:rPr>
                <w:rStyle w:val="Hyperlink"/>
                <w:noProof/>
              </w:rPr>
              <w:t>História zmien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_Toc132800173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65A76" w14:textId="5E242533" w:rsidR="00F15400" w:rsidRDefault="00F154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kern w:val="2"/>
              <w:sz w:val="24"/>
              <w:szCs w:val="24"/>
              <w:lang w:val="en-SK" w:eastAsia="en-GB"/>
              <w14:ligatures w14:val="standardContextual"/>
            </w:rPr>
          </w:pPr>
          <w:hyperlink w:anchor="_Toc132800174" w:history="1">
            <w:r w:rsidRPr="00FD3878">
              <w:rPr>
                <w:rStyle w:val="Hyperlink"/>
                <w:noProof/>
                <w:lang w:bidi="sk-SK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kern w:val="2"/>
                <w:sz w:val="24"/>
                <w:szCs w:val="24"/>
                <w:lang w:val="en-SK" w:eastAsia="en-GB"/>
                <w14:ligatures w14:val="standardContextual"/>
              </w:rPr>
              <w:tab/>
            </w:r>
            <w:r w:rsidRPr="00FD3878">
              <w:rPr>
                <w:rStyle w:val="Hyperlink"/>
                <w:noProof/>
              </w:rPr>
              <w:t>ÚČEL DOKUMENTU, SKRATKY (KONVENCIE) A DEFINÍCIE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_Toc132800174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93BAE" w14:textId="0E690FE7" w:rsidR="00F15400" w:rsidRDefault="00F154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kern w:val="2"/>
              <w:sz w:val="24"/>
              <w:szCs w:val="24"/>
              <w:lang w:val="en-SK" w:eastAsia="en-GB"/>
              <w14:ligatures w14:val="standardContextual"/>
            </w:rPr>
          </w:pPr>
          <w:hyperlink w:anchor="_Toc132800175" w:history="1">
            <w:r w:rsidRPr="00FD3878">
              <w:rPr>
                <w:rStyle w:val="Hyperlink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kern w:val="2"/>
                <w:sz w:val="24"/>
                <w:szCs w:val="24"/>
                <w:lang w:val="en-SK" w:eastAsia="en-GB"/>
                <w14:ligatures w14:val="standardContextual"/>
              </w:rPr>
              <w:tab/>
            </w:r>
            <w:r w:rsidRPr="00FD3878">
              <w:rPr>
                <w:rStyle w:val="Hyperlink"/>
                <w:noProof/>
              </w:rPr>
              <w:t>Použité skratky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_Toc132800175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361BF" w14:textId="75D1114A" w:rsidR="00F15400" w:rsidRDefault="00F154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kern w:val="2"/>
              <w:sz w:val="24"/>
              <w:szCs w:val="24"/>
              <w:lang w:val="en-SK" w:eastAsia="en-GB"/>
              <w14:ligatures w14:val="standardContextual"/>
            </w:rPr>
          </w:pPr>
          <w:hyperlink w:anchor="_Toc132800176" w:history="1">
            <w:r w:rsidRPr="00FD3878">
              <w:rPr>
                <w:rStyle w:val="Hyperlink"/>
                <w:noProof/>
                <w:lang w:bidi="sk-SK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kern w:val="2"/>
                <w:sz w:val="24"/>
                <w:szCs w:val="24"/>
                <w:lang w:val="en-SK" w:eastAsia="en-GB"/>
                <w14:ligatures w14:val="standardContextual"/>
              </w:rPr>
              <w:tab/>
            </w:r>
            <w:r w:rsidRPr="00FD3878">
              <w:rPr>
                <w:rStyle w:val="Hyperlink"/>
                <w:noProof/>
              </w:rPr>
              <w:t>DEFINOVANIE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_Toc132800176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9A690" w14:textId="286C233A" w:rsidR="00F15400" w:rsidRDefault="00F154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kern w:val="2"/>
              <w:sz w:val="24"/>
              <w:szCs w:val="24"/>
              <w:lang w:val="en-SK" w:eastAsia="en-GB"/>
              <w14:ligatures w14:val="standardContextual"/>
            </w:rPr>
          </w:pPr>
          <w:hyperlink w:anchor="_Toc132800177" w:history="1">
            <w:r w:rsidRPr="00FD3878"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kern w:val="2"/>
                <w:sz w:val="24"/>
                <w:szCs w:val="24"/>
                <w:lang w:val="en-SK" w:eastAsia="en-GB"/>
                <w14:ligatures w14:val="standardContextual"/>
              </w:rPr>
              <w:tab/>
            </w:r>
            <w:r w:rsidRPr="00FD3878">
              <w:rPr>
                <w:rStyle w:val="Hyperlink"/>
                <w:noProof/>
              </w:rPr>
              <w:t>Manažérske zhrnutie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_Toc132800177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7DBC6" w14:textId="144C73AA" w:rsidR="00F15400" w:rsidRDefault="00F154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kern w:val="2"/>
              <w:sz w:val="24"/>
              <w:szCs w:val="24"/>
              <w:lang w:val="en-SK" w:eastAsia="en-GB"/>
              <w14:ligatures w14:val="standardContextual"/>
            </w:rPr>
          </w:pPr>
          <w:hyperlink w:anchor="_Toc132800178" w:history="1">
            <w:r w:rsidRPr="00FD3878">
              <w:rPr>
                <w:rStyle w:val="Hyperlink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kern w:val="2"/>
                <w:sz w:val="24"/>
                <w:szCs w:val="24"/>
                <w:lang w:val="en-SK" w:eastAsia="en-GB"/>
                <w14:ligatures w14:val="standardContextual"/>
              </w:rPr>
              <w:tab/>
            </w:r>
            <w:r w:rsidRPr="00FD3878">
              <w:rPr>
                <w:rStyle w:val="Hyperlink"/>
                <w:noProof/>
              </w:rPr>
              <w:t>Motivácia a rozsah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_Toc132800178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C6FF57" w14:textId="6B7F483A" w:rsidR="00F15400" w:rsidRDefault="00F154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kern w:val="2"/>
              <w:sz w:val="24"/>
              <w:szCs w:val="24"/>
              <w:lang w:val="en-SK" w:eastAsia="en-GB"/>
              <w14:ligatures w14:val="standardContextual"/>
            </w:rPr>
          </w:pPr>
          <w:hyperlink w:anchor="_Toc132800179" w:history="1">
            <w:r w:rsidRPr="00FD3878">
              <w:rPr>
                <w:rStyle w:val="Hyperlink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kern w:val="2"/>
                <w:sz w:val="24"/>
                <w:szCs w:val="24"/>
                <w:lang w:val="en-SK" w:eastAsia="en-GB"/>
                <w14:ligatures w14:val="standardContextual"/>
              </w:rPr>
              <w:tab/>
            </w:r>
            <w:r w:rsidRPr="00FD3878">
              <w:rPr>
                <w:rStyle w:val="Hyperlink"/>
                <w:noProof/>
              </w:rPr>
              <w:t>Zainteresované strany/Stakeholderi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_Toc132800179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E803A" w14:textId="2EDDDB08" w:rsidR="00F15400" w:rsidRDefault="00F154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kern w:val="2"/>
              <w:sz w:val="24"/>
              <w:szCs w:val="24"/>
              <w:lang w:val="en-SK" w:eastAsia="en-GB"/>
              <w14:ligatures w14:val="standardContextual"/>
            </w:rPr>
          </w:pPr>
          <w:hyperlink w:anchor="_Toc132800180" w:history="1">
            <w:r w:rsidRPr="00FD3878">
              <w:rPr>
                <w:rStyle w:val="Hyperlink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kern w:val="2"/>
                <w:sz w:val="24"/>
                <w:szCs w:val="24"/>
                <w:lang w:val="en-SK" w:eastAsia="en-GB"/>
                <w14:ligatures w14:val="standardContextual"/>
              </w:rPr>
              <w:tab/>
            </w:r>
            <w:r w:rsidRPr="00FD3878">
              <w:rPr>
                <w:rStyle w:val="Hyperlink"/>
                <w:noProof/>
              </w:rPr>
              <w:t>Ciele projektu a merateľné ukazovatele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_Toc132800180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9FFD1" w14:textId="0B0B74CE" w:rsidR="00F15400" w:rsidRDefault="00F154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kern w:val="2"/>
              <w:sz w:val="24"/>
              <w:szCs w:val="24"/>
              <w:lang w:val="en-SK" w:eastAsia="en-GB"/>
              <w14:ligatures w14:val="standardContextual"/>
            </w:rPr>
          </w:pPr>
          <w:hyperlink w:anchor="_Toc132800181" w:history="1">
            <w:r w:rsidRPr="00FD3878">
              <w:rPr>
                <w:rStyle w:val="Hyperlink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kern w:val="2"/>
                <w:sz w:val="24"/>
                <w:szCs w:val="24"/>
                <w:lang w:val="en-SK" w:eastAsia="en-GB"/>
                <w14:ligatures w14:val="standardContextual"/>
              </w:rPr>
              <w:tab/>
            </w:r>
            <w:r w:rsidRPr="00FD3878">
              <w:rPr>
                <w:rStyle w:val="Hyperlink"/>
                <w:noProof/>
              </w:rPr>
              <w:t>Špecifikácia potrieb koncového používateľa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_Toc132800181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67F174" w14:textId="241AAA62" w:rsidR="00F15400" w:rsidRDefault="00F154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kern w:val="2"/>
              <w:sz w:val="24"/>
              <w:szCs w:val="24"/>
              <w:lang w:val="en-SK" w:eastAsia="en-GB"/>
              <w14:ligatures w14:val="standardContextual"/>
            </w:rPr>
          </w:pPr>
          <w:hyperlink w:anchor="_Toc132800182" w:history="1">
            <w:r w:rsidRPr="00FD3878">
              <w:rPr>
                <w:rStyle w:val="Hyperlink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kern w:val="2"/>
                <w:sz w:val="24"/>
                <w:szCs w:val="24"/>
                <w:lang w:val="en-SK" w:eastAsia="en-GB"/>
                <w14:ligatures w14:val="standardContextual"/>
              </w:rPr>
              <w:tab/>
            </w:r>
            <w:r w:rsidRPr="00FD3878">
              <w:rPr>
                <w:rStyle w:val="Hyperlink"/>
                <w:noProof/>
              </w:rPr>
              <w:t>Riziká a závislosti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_Toc132800182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6EB00" w14:textId="04D013F9" w:rsidR="00F15400" w:rsidRDefault="00F154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kern w:val="2"/>
              <w:sz w:val="24"/>
              <w:szCs w:val="24"/>
              <w:lang w:val="en-SK" w:eastAsia="en-GB"/>
              <w14:ligatures w14:val="standardContextual"/>
            </w:rPr>
          </w:pPr>
          <w:hyperlink w:anchor="_Toc132800183" w:history="1">
            <w:r w:rsidRPr="00FD3878">
              <w:rPr>
                <w:rStyle w:val="Hyperlink"/>
                <w:noProof/>
                <w:lang w:bidi="sk-SK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kern w:val="2"/>
                <w:sz w:val="24"/>
                <w:szCs w:val="24"/>
                <w:lang w:val="en-SK" w:eastAsia="en-GB"/>
                <w14:ligatures w14:val="standardContextual"/>
              </w:rPr>
              <w:tab/>
            </w:r>
            <w:r w:rsidRPr="00FD3878">
              <w:rPr>
                <w:rStyle w:val="Hyperlink"/>
                <w:noProof/>
              </w:rPr>
              <w:t>ŠPECIFIKÁCIA RIEŠENIA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_Toc132800183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921C38" w14:textId="55FA986F" w:rsidR="00F15400" w:rsidRDefault="00F154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kern w:val="2"/>
              <w:sz w:val="24"/>
              <w:szCs w:val="24"/>
              <w:lang w:val="en-SK" w:eastAsia="en-GB"/>
              <w14:ligatures w14:val="standardContextual"/>
            </w:rPr>
          </w:pPr>
          <w:hyperlink w:anchor="_Toc132800184" w:history="1">
            <w:r w:rsidRPr="00FD3878">
              <w:rPr>
                <w:rStyle w:val="Hyperlink"/>
                <w:noProof/>
                <w:lang w:bidi="sk-SK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kern w:val="2"/>
                <w:sz w:val="24"/>
                <w:szCs w:val="24"/>
                <w:lang w:val="en-SK" w:eastAsia="en-GB"/>
                <w14:ligatures w14:val="standardContextual"/>
              </w:rPr>
              <w:tab/>
            </w:r>
            <w:r w:rsidRPr="00FD3878">
              <w:rPr>
                <w:rStyle w:val="Hyperlink"/>
                <w:noProof/>
              </w:rPr>
              <w:t>ROZPOČET A PRÍNOSY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_Toc132800184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1532E" w14:textId="4A05FF39" w:rsidR="00F15400" w:rsidRDefault="00F154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kern w:val="2"/>
              <w:sz w:val="24"/>
              <w:szCs w:val="24"/>
              <w:lang w:val="en-SK" w:eastAsia="en-GB"/>
              <w14:ligatures w14:val="standardContextual"/>
            </w:rPr>
          </w:pPr>
          <w:hyperlink w:anchor="_Toc132800185" w:history="1">
            <w:r w:rsidRPr="00FD3878">
              <w:rPr>
                <w:rStyle w:val="Hyperlink"/>
                <w:noProof/>
                <w:lang w:bidi="sk-SK"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kern w:val="2"/>
                <w:sz w:val="24"/>
                <w:szCs w:val="24"/>
                <w:lang w:val="en-SK" w:eastAsia="en-GB"/>
                <w14:ligatures w14:val="standardContextual"/>
              </w:rPr>
              <w:tab/>
            </w:r>
            <w:r w:rsidRPr="00FD3878">
              <w:rPr>
                <w:rStyle w:val="Hyperlink"/>
                <w:noProof/>
              </w:rPr>
              <w:t>HARMONOGRAM JEDNOTLIVÝCH FÁZ PROJEKTU a METÓDA JEHO RIADENIA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_Toc132800185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13D1A" w14:textId="0CF0E674" w:rsidR="00D373AB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rPr>
              <w:rStyle w:val="IndexLink"/>
            </w:rPr>
            <w:fldChar w:fldCharType="end"/>
          </w:r>
        </w:p>
      </w:sdtContent>
    </w:sdt>
    <w:p w14:paraId="76B1F611" w14:textId="77777777" w:rsidR="00D373AB" w:rsidRDefault="00D373AB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</w:p>
    <w:p w14:paraId="2439F266" w14:textId="77777777" w:rsidR="00D373AB" w:rsidRDefault="00D373AB">
      <w:pPr>
        <w:pStyle w:val="TOC1"/>
        <w:rPr>
          <w:rFonts w:ascii="Calibri" w:hAnsi="Calibri" w:cs="Calibri"/>
          <w:sz w:val="22"/>
          <w:szCs w:val="22"/>
        </w:rPr>
      </w:pPr>
    </w:p>
    <w:p w14:paraId="5E14EF38" w14:textId="77777777" w:rsidR="00D373AB" w:rsidRDefault="00D373AB">
      <w:pPr>
        <w:rPr>
          <w:rFonts w:ascii="Tahoma" w:hAnsi="Tahoma" w:cs="Tahoma"/>
          <w:sz w:val="15"/>
          <w:szCs w:val="22"/>
          <w:lang w:val="sk-SK" w:eastAsia="sk-SK"/>
        </w:rPr>
      </w:pPr>
    </w:p>
    <w:p w14:paraId="642A3213" w14:textId="77777777" w:rsidR="00D373AB" w:rsidRDefault="00D373AB">
      <w:pPr>
        <w:rPr>
          <w:lang w:val="sk-SK" w:eastAsia="sk-SK"/>
        </w:rPr>
      </w:pPr>
    </w:p>
    <w:p w14:paraId="41CFF0F9" w14:textId="77777777" w:rsidR="00D373AB" w:rsidRDefault="00D373AB">
      <w:pPr>
        <w:rPr>
          <w:lang w:val="sk-SK" w:eastAsia="sk-SK"/>
        </w:rPr>
      </w:pPr>
    </w:p>
    <w:p w14:paraId="615C53C7" w14:textId="77777777" w:rsidR="00D373AB" w:rsidRDefault="00000000">
      <w:pPr>
        <w:pStyle w:val="Heading1"/>
        <w:numPr>
          <w:ilvl w:val="0"/>
          <w:numId w:val="2"/>
        </w:numPr>
      </w:pPr>
      <w:bookmarkStart w:id="0" w:name="_Toc132800172"/>
      <w:r>
        <w:t>POPIS ZMIEN DOKUMENTU</w:t>
      </w:r>
      <w:bookmarkEnd w:id="0"/>
    </w:p>
    <w:p w14:paraId="2E06D289" w14:textId="77777777" w:rsidR="00D373AB" w:rsidRDefault="00000000">
      <w:pPr>
        <w:pStyle w:val="Heading1"/>
        <w:numPr>
          <w:ilvl w:val="1"/>
          <w:numId w:val="8"/>
        </w:numPr>
      </w:pPr>
      <w:bookmarkStart w:id="1" w:name="_Toc132800173"/>
      <w:r>
        <w:t>História zmien</w:t>
      </w:r>
      <w:bookmarkEnd w:id="1"/>
      <w:r>
        <w:t xml:space="preserve"> </w:t>
      </w:r>
    </w:p>
    <w:p w14:paraId="56C7920F" w14:textId="77777777" w:rsidR="00D373AB" w:rsidRDefault="00D373AB">
      <w:pPr>
        <w:pStyle w:val="Nadpis2"/>
        <w:rPr>
          <w:lang w:val="sk-SK"/>
        </w:rPr>
      </w:pPr>
    </w:p>
    <w:tbl>
      <w:tblPr>
        <w:tblW w:w="9320" w:type="dxa"/>
        <w:jc w:val="center"/>
        <w:tblLook w:val="0000" w:firstRow="0" w:lastRow="0" w:firstColumn="0" w:lastColumn="0" w:noHBand="0" w:noVBand="0"/>
      </w:tblPr>
      <w:tblGrid>
        <w:gridCol w:w="999"/>
        <w:gridCol w:w="1531"/>
        <w:gridCol w:w="4831"/>
        <w:gridCol w:w="1959"/>
      </w:tblGrid>
      <w:tr w:rsidR="00D373AB" w14:paraId="260D4555" w14:textId="77777777">
        <w:trPr>
          <w:trHeight w:val="242"/>
          <w:jc w:val="center"/>
        </w:trPr>
        <w:tc>
          <w:tcPr>
            <w:tcW w:w="9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E0E0E0"/>
            <w:vAlign w:val="center"/>
          </w:tcPr>
          <w:p w14:paraId="413B1D72" w14:textId="77777777" w:rsidR="00D373AB" w:rsidRDefault="00000000">
            <w:pPr>
              <w:pStyle w:val="ChangeControlTableHeading"/>
              <w:widowControl w:val="0"/>
              <w:rPr>
                <w:rFonts w:ascii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color w:val="808080"/>
                <w:sz w:val="16"/>
                <w:szCs w:val="16"/>
              </w:rPr>
              <w:t>Verzia</w:t>
            </w:r>
          </w:p>
        </w:tc>
        <w:tc>
          <w:tcPr>
            <w:tcW w:w="1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E0E0E0"/>
            <w:vAlign w:val="center"/>
          </w:tcPr>
          <w:p w14:paraId="13E569A5" w14:textId="77777777" w:rsidR="00D373AB" w:rsidRDefault="00000000">
            <w:pPr>
              <w:pStyle w:val="ChangeControlTableHeading"/>
              <w:widowControl w:val="0"/>
              <w:rPr>
                <w:rFonts w:ascii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color w:val="808080"/>
                <w:sz w:val="16"/>
                <w:szCs w:val="16"/>
              </w:rPr>
              <w:t>Dátum</w:t>
            </w:r>
          </w:p>
        </w:tc>
        <w:tc>
          <w:tcPr>
            <w:tcW w:w="4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E0E0E0"/>
            <w:vAlign w:val="center"/>
          </w:tcPr>
          <w:p w14:paraId="6312A080" w14:textId="77777777" w:rsidR="00D373AB" w:rsidRDefault="00000000">
            <w:pPr>
              <w:pStyle w:val="ChangeControlTableHeading"/>
              <w:widowControl w:val="0"/>
              <w:rPr>
                <w:rFonts w:ascii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color w:val="808080"/>
                <w:sz w:val="16"/>
                <w:szCs w:val="16"/>
              </w:rPr>
              <w:t>Zmeny</w:t>
            </w:r>
          </w:p>
        </w:tc>
        <w:tc>
          <w:tcPr>
            <w:tcW w:w="19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14:paraId="5CA44C3A" w14:textId="77777777" w:rsidR="00D373AB" w:rsidRDefault="00000000">
            <w:pPr>
              <w:pStyle w:val="ChangeControlTableHeading"/>
              <w:widowControl w:val="0"/>
              <w:rPr>
                <w:rFonts w:ascii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color w:val="808080"/>
                <w:sz w:val="16"/>
                <w:szCs w:val="16"/>
              </w:rPr>
              <w:t>Meno</w:t>
            </w:r>
          </w:p>
        </w:tc>
      </w:tr>
      <w:tr w:rsidR="00D373AB" w14:paraId="2DA832BA" w14:textId="77777777">
        <w:trPr>
          <w:trHeight w:val="230"/>
          <w:jc w:val="center"/>
        </w:trPr>
        <w:tc>
          <w:tcPr>
            <w:tcW w:w="9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62995CF" w14:textId="77777777" w:rsidR="00D373AB" w:rsidRDefault="00000000">
            <w:pPr>
              <w:pStyle w:val="StyleBodyTextCentered"/>
              <w:widowControl w:val="0"/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  <w:t>1.00</w:t>
            </w:r>
          </w:p>
        </w:tc>
        <w:tc>
          <w:tcPr>
            <w:tcW w:w="1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4650E6C" w14:textId="49C46C2D" w:rsidR="00D373AB" w:rsidRDefault="00000000">
            <w:pPr>
              <w:pStyle w:val="StyleBodyTextCentered"/>
              <w:widowControl w:val="0"/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  <w:t>1</w:t>
            </w:r>
            <w:r w:rsidR="00587761"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  <w:t>.4.2023</w:t>
            </w:r>
          </w:p>
        </w:tc>
        <w:tc>
          <w:tcPr>
            <w:tcW w:w="4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3E7387A" w14:textId="77777777" w:rsidR="00D373AB" w:rsidRDefault="00000000">
            <w:pPr>
              <w:pStyle w:val="StyleBodyTextCentered"/>
              <w:widowControl w:val="0"/>
              <w:rPr>
                <w:color w:val="auto"/>
              </w:rPr>
            </w:pPr>
            <w:r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  <w:t>Prvá verzia dokumentu</w:t>
            </w:r>
          </w:p>
        </w:tc>
        <w:tc>
          <w:tcPr>
            <w:tcW w:w="19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6E61BC" w14:textId="77777777" w:rsidR="00D373AB" w:rsidRDefault="00D373AB">
            <w:pPr>
              <w:pStyle w:val="StyleBodyTextCentered"/>
              <w:widowControl w:val="0"/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</w:pPr>
          </w:p>
        </w:tc>
      </w:tr>
      <w:tr w:rsidR="00D373AB" w14:paraId="48BE93E5" w14:textId="77777777">
        <w:trPr>
          <w:trHeight w:val="230"/>
          <w:jc w:val="center"/>
        </w:trPr>
        <w:tc>
          <w:tcPr>
            <w:tcW w:w="9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28AEE3B6" w14:textId="77777777" w:rsidR="00D373AB" w:rsidRDefault="00D373AB">
            <w:pPr>
              <w:pStyle w:val="StyleBodyTextCentered"/>
              <w:widowControl w:val="0"/>
              <w:rPr>
                <w:rFonts w:ascii="Tahoma" w:hAnsi="Tahoma" w:cs="Tahoma"/>
                <w:color w:val="808080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862844C" w14:textId="77777777" w:rsidR="00D373AB" w:rsidRDefault="00D373AB">
            <w:pPr>
              <w:pStyle w:val="StyleBodyTextCentered"/>
              <w:widowControl w:val="0"/>
              <w:rPr>
                <w:rFonts w:ascii="Tahoma" w:hAnsi="Tahoma" w:cs="Tahoma"/>
                <w:color w:val="808080"/>
                <w:kern w:val="0"/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67A46E0" w14:textId="77777777" w:rsidR="00D373AB" w:rsidRDefault="00D373AB">
            <w:pPr>
              <w:pStyle w:val="StyleBodyTextCentered"/>
              <w:widowControl w:val="0"/>
              <w:rPr>
                <w:rFonts w:ascii="Tahoma" w:hAnsi="Tahoma" w:cs="Tahoma"/>
                <w:color w:val="808080"/>
                <w:kern w:val="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FDF577" w14:textId="77777777" w:rsidR="00D373AB" w:rsidRDefault="00D373AB">
            <w:pPr>
              <w:pStyle w:val="StyleBodyTextCentered"/>
              <w:widowControl w:val="0"/>
              <w:rPr>
                <w:rFonts w:ascii="Tahoma" w:hAnsi="Tahoma" w:cs="Tahoma"/>
                <w:color w:val="808080"/>
                <w:kern w:val="0"/>
                <w:sz w:val="16"/>
                <w:szCs w:val="16"/>
              </w:rPr>
            </w:pPr>
          </w:p>
        </w:tc>
      </w:tr>
      <w:tr w:rsidR="00D373AB" w14:paraId="273BE8D9" w14:textId="77777777">
        <w:trPr>
          <w:trHeight w:val="230"/>
          <w:jc w:val="center"/>
        </w:trPr>
        <w:tc>
          <w:tcPr>
            <w:tcW w:w="9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23CA4D6" w14:textId="77777777" w:rsidR="00D373AB" w:rsidRDefault="00D373AB">
            <w:pPr>
              <w:pStyle w:val="StyleBodyTextCentered"/>
              <w:widowControl w:val="0"/>
              <w:snapToGrid w:val="0"/>
              <w:rPr>
                <w:rFonts w:ascii="Tahoma" w:hAnsi="Tahoma" w:cs="Tahoma"/>
                <w:color w:val="808080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B8C8E1D" w14:textId="77777777" w:rsidR="00D373AB" w:rsidRDefault="00D373AB">
            <w:pPr>
              <w:pStyle w:val="StyleBodyTextCentered"/>
              <w:widowControl w:val="0"/>
              <w:snapToGrid w:val="0"/>
            </w:pPr>
          </w:p>
        </w:tc>
        <w:tc>
          <w:tcPr>
            <w:tcW w:w="4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A34EFB6" w14:textId="77777777" w:rsidR="00D373AB" w:rsidRDefault="00D373AB">
            <w:pPr>
              <w:pStyle w:val="StyleBodyTextCentered"/>
              <w:widowControl w:val="0"/>
              <w:snapToGrid w:val="0"/>
              <w:rPr>
                <w:rFonts w:ascii="Tahoma" w:hAnsi="Tahoma" w:cs="Tahoma"/>
                <w:color w:val="808080"/>
                <w:kern w:val="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DCF8A7" w14:textId="77777777" w:rsidR="00D373AB" w:rsidRDefault="00D373AB">
            <w:pPr>
              <w:pStyle w:val="StyleBodyTextCentered"/>
              <w:widowControl w:val="0"/>
              <w:snapToGrid w:val="0"/>
              <w:rPr>
                <w:rFonts w:ascii="Tahoma" w:hAnsi="Tahoma" w:cs="Tahoma"/>
                <w:color w:val="808080"/>
                <w:kern w:val="0"/>
                <w:sz w:val="16"/>
                <w:szCs w:val="16"/>
              </w:rPr>
            </w:pPr>
          </w:p>
        </w:tc>
      </w:tr>
      <w:tr w:rsidR="00D373AB" w14:paraId="093FDDEA" w14:textId="77777777">
        <w:trPr>
          <w:trHeight w:val="230"/>
          <w:jc w:val="center"/>
        </w:trPr>
        <w:tc>
          <w:tcPr>
            <w:tcW w:w="9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0609FEE" w14:textId="77777777" w:rsidR="00D373AB" w:rsidRDefault="00D373AB">
            <w:pPr>
              <w:widowControl w:val="0"/>
              <w:snapToGrid w:val="0"/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1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5E431CB" w14:textId="77777777" w:rsidR="00D373AB" w:rsidRDefault="00D373AB">
            <w:pPr>
              <w:pStyle w:val="StyleBodyTextCentered"/>
              <w:widowControl w:val="0"/>
              <w:snapToGrid w:val="0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2E572BC3" w14:textId="77777777" w:rsidR="00D373AB" w:rsidRDefault="00D373AB">
            <w:pPr>
              <w:pStyle w:val="StyleBodyTextCentered"/>
              <w:widowControl w:val="0"/>
              <w:snapToGrid w:val="0"/>
            </w:pPr>
          </w:p>
        </w:tc>
        <w:tc>
          <w:tcPr>
            <w:tcW w:w="19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36AAB5" w14:textId="77777777" w:rsidR="00D373AB" w:rsidRDefault="00D373AB">
            <w:pPr>
              <w:pStyle w:val="StyleBodyTextCentered"/>
              <w:widowControl w:val="0"/>
              <w:snapToGrid w:val="0"/>
            </w:pPr>
          </w:p>
        </w:tc>
      </w:tr>
    </w:tbl>
    <w:p w14:paraId="72310CA8" w14:textId="77777777" w:rsidR="00D373AB" w:rsidRDefault="00D373AB">
      <w:pPr>
        <w:rPr>
          <w:rFonts w:ascii="Tahoma" w:hAnsi="Tahoma" w:cs="Tahoma"/>
          <w:i/>
          <w:iCs/>
          <w:color w:val="A6A6A6"/>
          <w:sz w:val="16"/>
          <w:szCs w:val="16"/>
          <w:lang w:val="sk-SK" w:eastAsia="sk-SK"/>
        </w:rPr>
      </w:pPr>
    </w:p>
    <w:p w14:paraId="5EBF8124" w14:textId="77777777" w:rsidR="00D373AB" w:rsidRDefault="00000000">
      <w:pPr>
        <w:tabs>
          <w:tab w:val="left" w:pos="851"/>
          <w:tab w:val="center" w:pos="3119"/>
        </w:tabs>
        <w:rPr>
          <w:rFonts w:ascii="Tahoma" w:hAnsi="Tahoma" w:cs="Tahoma"/>
          <w:i/>
          <w:color w:val="A6A6A6"/>
          <w:sz w:val="16"/>
          <w:szCs w:val="16"/>
          <w:lang w:val="sk-SK"/>
        </w:rPr>
      </w:pPr>
      <w:hyperlink r:id="rId8"/>
    </w:p>
    <w:p w14:paraId="73CA2282" w14:textId="77777777" w:rsidR="00D373AB" w:rsidRDefault="00000000">
      <w:pPr>
        <w:pStyle w:val="Heading1"/>
        <w:numPr>
          <w:ilvl w:val="0"/>
          <w:numId w:val="2"/>
        </w:numPr>
      </w:pPr>
      <w:bookmarkStart w:id="2" w:name="_Toc132800174"/>
      <w:r>
        <w:t>ÚČEL DOKUMENTU, SKRATKY (KONVENCIE) A DEFINÍCIE</w:t>
      </w:r>
      <w:bookmarkEnd w:id="2"/>
    </w:p>
    <w:p w14:paraId="2C9ACCAA" w14:textId="77777777" w:rsidR="00D373AB" w:rsidRDefault="00D373AB">
      <w:pPr>
        <w:rPr>
          <w:rFonts w:ascii="Tahoma" w:hAnsi="Tahoma" w:cs="Tahoma"/>
          <w:b/>
          <w:color w:val="70AD47"/>
          <w:sz w:val="16"/>
          <w:szCs w:val="16"/>
          <w:lang w:val="sk-SK"/>
        </w:rPr>
      </w:pPr>
    </w:p>
    <w:p w14:paraId="49AA5DEA" w14:textId="77777777" w:rsidR="00D373AB" w:rsidRDefault="00D373AB">
      <w:pPr>
        <w:rPr>
          <w:rFonts w:ascii="Tahoma" w:hAnsi="Tahoma" w:cs="Tahoma"/>
          <w:sz w:val="16"/>
          <w:szCs w:val="16"/>
          <w:lang w:val="sk-SK"/>
        </w:rPr>
      </w:pPr>
      <w:bookmarkStart w:id="3" w:name="_Toc132363445"/>
      <w:bookmarkStart w:id="4" w:name="_Toc132362824"/>
      <w:bookmarkEnd w:id="3"/>
      <w:bookmarkEnd w:id="4"/>
    </w:p>
    <w:p w14:paraId="27E1B0C7" w14:textId="77777777" w:rsidR="00D373AB" w:rsidRDefault="00000000">
      <w:pPr>
        <w:pStyle w:val="Heading1"/>
        <w:numPr>
          <w:ilvl w:val="1"/>
          <w:numId w:val="8"/>
        </w:numPr>
      </w:pPr>
      <w:bookmarkStart w:id="5" w:name="_Toc132800175"/>
      <w:r>
        <w:t>Použité skratky</w:t>
      </w:r>
      <w:bookmarkEnd w:id="5"/>
    </w:p>
    <w:p w14:paraId="184782CF" w14:textId="77777777" w:rsidR="00D373AB" w:rsidRDefault="00D373AB">
      <w:pPr>
        <w:rPr>
          <w:lang w:val="sk-SK"/>
        </w:rPr>
      </w:pPr>
    </w:p>
    <w:p w14:paraId="0A7201BD" w14:textId="77777777" w:rsidR="00D373AB" w:rsidRDefault="00D373AB">
      <w:pPr>
        <w:pStyle w:val="Nadpis2"/>
        <w:rPr>
          <w:b w:val="0"/>
          <w:bCs w:val="0"/>
          <w:iCs w:val="0"/>
          <w:caps w:val="0"/>
          <w:szCs w:val="16"/>
          <w:lang w:val="sk-SK"/>
        </w:rPr>
      </w:pP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320"/>
        <w:gridCol w:w="7472"/>
      </w:tblGrid>
      <w:tr w:rsidR="00D373AB" w14:paraId="1868221B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14:paraId="52B96E86" w14:textId="77777777" w:rsidR="00D373AB" w:rsidRDefault="00000000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sk-SK" w:eastAsia="sk-SK"/>
              </w:rPr>
              <w:t>ID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14:paraId="2ED1F3BB" w14:textId="77777777" w:rsidR="00D373AB" w:rsidRDefault="00000000">
            <w:pPr>
              <w:widowControl w:val="0"/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sk-SK" w:eastAsia="sk-SK"/>
              </w:rPr>
              <w:t>SKRATKA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14:paraId="478019BC" w14:textId="77777777" w:rsidR="00D373AB" w:rsidRDefault="00000000">
            <w:pPr>
              <w:widowControl w:val="0"/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sk-SK" w:eastAsia="sk-SK"/>
              </w:rPr>
              <w:t>POPIS</w:t>
            </w:r>
          </w:p>
        </w:tc>
      </w:tr>
      <w:tr w:rsidR="00D373AB" w14:paraId="16918855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335B" w14:textId="77777777" w:rsidR="00D373AB" w:rsidRDefault="00000000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2A2F" w14:textId="77777777" w:rsidR="00D373AB" w:rsidRDefault="00000000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AI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3E4A" w14:textId="77777777" w:rsidR="00D373AB" w:rsidRDefault="00000000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Umelá inteligencia</w:t>
            </w:r>
          </w:p>
        </w:tc>
      </w:tr>
      <w:tr w:rsidR="0059221F" w14:paraId="50741E97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1D6A" w14:textId="19D92ED7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655E8" w14:textId="6F0D7F58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APDTS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7C6C" w14:textId="38A76385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Akčný plán digitálnej transformácie Slovenska 2023 - 2026</w:t>
            </w:r>
          </w:p>
        </w:tc>
      </w:tr>
      <w:tr w:rsidR="0059221F" w14:paraId="35205E73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EA7C" w14:textId="1D247C86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8D6F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Basic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B4DC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Základná konfigurácia HPC</w:t>
            </w:r>
          </w:p>
        </w:tc>
      </w:tr>
      <w:tr w:rsidR="0059221F" w14:paraId="6CE319AA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42570" w14:textId="29F68788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D145A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CAPEX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2924B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Kapitálové náklady</w:t>
            </w:r>
          </w:p>
        </w:tc>
      </w:tr>
      <w:tr w:rsidR="0059221F" w14:paraId="03E54C2C" w14:textId="77777777">
        <w:trPr>
          <w:trHeight w:val="4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8777" w14:textId="0F0C5441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D20B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Centrum excelentnosti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7ECD3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Organizácia alebo miesto, ktoré poskytuje vedenie, osvedčené postupy, výskum, podporu alebo školenie pre oblasť zamerania.</w:t>
            </w:r>
          </w:p>
        </w:tc>
      </w:tr>
      <w:tr w:rsidR="0059221F" w14:paraId="5729045F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EEA8" w14:textId="615E1A9B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5F1F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Cloud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1C07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Servery, ktoré sú sprístupnené cez sieť.</w:t>
            </w:r>
          </w:p>
        </w:tc>
      </w:tr>
      <w:tr w:rsidR="0059221F" w14:paraId="25046CB5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98375" w14:textId="288FBF8F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lastRenderedPageBreak/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4FC44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Cloud computing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E9198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Umožnenie zariadeniam pristupovať k údajom a cloudovým aplikáciám cez internet vo vzdialených fyzických serveroch, databáz a počítačoch</w:t>
            </w:r>
          </w:p>
        </w:tc>
      </w:tr>
      <w:tr w:rsidR="0059221F" w14:paraId="5C9827DD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B123A" w14:textId="044B789D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16EF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CoE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79CD3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Centrum excelentnosti</w:t>
            </w:r>
          </w:p>
        </w:tc>
      </w:tr>
      <w:tr w:rsidR="0059221F" w14:paraId="383EA73F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E21A0" w14:textId="77E3F011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CD6E1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CPU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C7B30" w14:textId="5B7235B9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Centrálna proceso</w:t>
            </w:r>
            <w:r w:rsidR="00587761">
              <w:rPr>
                <w:rFonts w:ascii="Tahoma" w:hAnsi="Tahoma" w:cs="Tahoma"/>
                <w:sz w:val="16"/>
                <w:szCs w:val="16"/>
                <w:lang w:val="sk-SK" w:eastAsia="sk-SK"/>
              </w:rPr>
              <w:t>ro</w:t>
            </w: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vá jednotka</w:t>
            </w:r>
          </w:p>
        </w:tc>
      </w:tr>
      <w:tr w:rsidR="0059221F" w14:paraId="494743F0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E850" w14:textId="38DEA4EB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72964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CSČ SAV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C37D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Centrum spoločných činností Slovenskej akadémie vied</w:t>
            </w:r>
          </w:p>
        </w:tc>
      </w:tr>
      <w:tr w:rsidR="0059221F" w14:paraId="6A2CD26D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2A80" w14:textId="7CCEFE7F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941F2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Čl.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3CBC3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Článok</w:t>
            </w:r>
          </w:p>
        </w:tc>
      </w:tr>
      <w:tr w:rsidR="0059221F" w14:paraId="7650E997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19097" w14:textId="0959ECF5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C765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DC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6608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Dátové centrum</w:t>
            </w:r>
          </w:p>
        </w:tc>
      </w:tr>
      <w:tr w:rsidR="0059221F" w14:paraId="5A12EF5A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37E6" w14:textId="239ECC16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37B7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DPH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340F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Daň z pridanej hodnoty</w:t>
            </w:r>
          </w:p>
        </w:tc>
      </w:tr>
      <w:tr w:rsidR="0059221F" w14:paraId="3B21637B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299D" w14:textId="3B1219BC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A1E4F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EuroCC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B855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Projekt, ktorý je tvorený sieťou 33 národných kompetenčných centier pre HPC v Európe.</w:t>
            </w:r>
          </w:p>
        </w:tc>
      </w:tr>
      <w:tr w:rsidR="0059221F" w14:paraId="6AED8991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22DEB" w14:textId="764B2B14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47BF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EuroHPC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526C8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Európska organizácia pre vysoko výkonnú výpočtovú techniku</w:t>
            </w:r>
          </w:p>
        </w:tc>
      </w:tr>
      <w:tr w:rsidR="0059221F" w14:paraId="53060078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6162" w14:textId="45414B45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BC10C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EuroHPC JU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B808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Spoločný Európsky podnik organizácie pre vysoko výkonnú výpočtovú techniku</w:t>
            </w:r>
          </w:p>
        </w:tc>
      </w:tr>
      <w:tr w:rsidR="0059221F" w14:paraId="3B042E29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D536" w14:textId="6AFAA47F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3563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Exascale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D65A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Výpočtová technika s rýchlosťou trilión (1018)  operácií za sekundu</w:t>
            </w:r>
          </w:p>
        </w:tc>
      </w:tr>
      <w:tr w:rsidR="0059221F" w14:paraId="7B6BE9BD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BB137" w14:textId="1C0DCFE4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480D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FEI TUKE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CF9F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Fakulta elektrotechniky a informatiky Technickej univerzity Košice</w:t>
            </w:r>
          </w:p>
        </w:tc>
      </w:tr>
      <w:tr w:rsidR="0059221F" w14:paraId="31291EA2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0173" w14:textId="1B3BFDCF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9A7B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FCHPT STU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2458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Fakulta chemickej a potravinárskej technológie Slovenskej technickej univerzity</w:t>
            </w:r>
          </w:p>
        </w:tc>
      </w:tr>
      <w:tr w:rsidR="0059221F" w14:paraId="202D2EC1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FE74" w14:textId="6A432D17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5433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FLOPS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FADF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Počet operácii pohyblivej radovej čiarky za sekundu</w:t>
            </w:r>
          </w:p>
        </w:tc>
      </w:tr>
      <w:tr w:rsidR="0059221F" w14:paraId="040219C6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7719E" w14:textId="77AF04C5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E6329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FMFI UK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EE8A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Fakulta matematiky, fyziky a informatiky Univerzity Komenského</w:t>
            </w:r>
          </w:p>
        </w:tc>
      </w:tr>
      <w:tr w:rsidR="0059221F" w14:paraId="61DBF3E1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7B26" w14:textId="71DE81B9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3FD1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FPV UMB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4F4B1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Fakulta prírodných vied Univerzity Mateja Bela </w:t>
            </w:r>
          </w:p>
        </w:tc>
      </w:tr>
      <w:tr w:rsidR="0059221F" w14:paraId="62C79D17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7E6D0" w14:textId="70BE26EB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9EDD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FTE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744D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Ekvivalent plného pracovného úväzku</w:t>
            </w:r>
          </w:p>
        </w:tc>
      </w:tr>
      <w:tr w:rsidR="0059221F" w14:paraId="4C9A1C95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6395" w14:textId="66194DB9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1801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GPU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C623" w14:textId="282579A0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Grafická proceso</w:t>
            </w:r>
            <w:r w:rsidR="00587761">
              <w:rPr>
                <w:rFonts w:ascii="Tahoma" w:hAnsi="Tahoma" w:cs="Tahoma"/>
                <w:sz w:val="16"/>
                <w:szCs w:val="16"/>
                <w:lang w:val="sk-SK" w:eastAsia="sk-SK"/>
              </w:rPr>
              <w:t>ro</w:t>
            </w: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vá jednotka</w:t>
            </w:r>
          </w:p>
        </w:tc>
      </w:tr>
      <w:tr w:rsidR="0059221F" w14:paraId="2B7A7151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614F" w14:textId="4EC69B4F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0419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HDP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D1E0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Hrubý domáci produkt</w:t>
            </w:r>
          </w:p>
        </w:tc>
      </w:tr>
      <w:tr w:rsidR="0059221F" w14:paraId="4B768884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07DF" w14:textId="3BF72A0C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A883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Housing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93C4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Umiestnenia dátového centra do prenajatých priestorov</w:t>
            </w:r>
          </w:p>
        </w:tc>
      </w:tr>
      <w:tr w:rsidR="0059221F" w14:paraId="64293AD0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0047" w14:textId="01227DF2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72D9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HPC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9425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Vysokovýkonné výpočty</w:t>
            </w:r>
          </w:p>
        </w:tc>
      </w:tr>
      <w:tr w:rsidR="0059221F" w14:paraId="118FD6D4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22291" w14:textId="5C9F3D00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4E8D2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HPDA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9974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Vysoko výkonné dátové analýzy</w:t>
            </w:r>
          </w:p>
        </w:tc>
      </w:tr>
      <w:tr w:rsidR="0059221F" w14:paraId="7DB48765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34C4" w14:textId="276C2238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346C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HPE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D852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Hewlett Packard Enterprise</w:t>
            </w:r>
          </w:p>
        </w:tc>
      </w:tr>
      <w:tr w:rsidR="0059221F" w14:paraId="4A61FE83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2415" w14:textId="3F539C82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ECCE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HW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7700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Hardware</w:t>
            </w:r>
          </w:p>
        </w:tc>
      </w:tr>
      <w:tr w:rsidR="0059221F" w14:paraId="47EF1F44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B451" w14:textId="1601E019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6145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I4DI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3F60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Inovácie pre digitálnu infraštruktúru</w:t>
            </w:r>
          </w:p>
        </w:tc>
      </w:tr>
      <w:tr w:rsidR="0059221F" w14:paraId="62EAC7E3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41EE" w14:textId="2A734E89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1338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I4MS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F0F5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Inovácie IKT pre výrobné MSP</w:t>
            </w:r>
          </w:p>
        </w:tc>
      </w:tr>
      <w:tr w:rsidR="0059221F" w14:paraId="0025EA0E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33AFC" w14:textId="123028B1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AC87C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IKT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A2F50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Informačné komunikačné technológie</w:t>
            </w:r>
          </w:p>
        </w:tc>
      </w:tr>
      <w:tr w:rsidR="0059221F" w14:paraId="682DCB31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D455" w14:textId="78E9F8F2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E9207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ISV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F3E8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Nezávislí vývojár softvérových riešení</w:t>
            </w:r>
          </w:p>
        </w:tc>
      </w:tr>
      <w:tr w:rsidR="0059221F" w14:paraId="4AF8C055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14AE" w14:textId="7BFDE921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B370C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ISVs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870D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Nezávislí vývojári softvérových riešení</w:t>
            </w:r>
          </w:p>
        </w:tc>
      </w:tr>
      <w:tr w:rsidR="0059221F" w14:paraId="27726EE0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6913" w14:textId="419B1C7A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E2D6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IT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D28F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Informačné technológie</w:t>
            </w:r>
          </w:p>
        </w:tc>
      </w:tr>
      <w:tr w:rsidR="0059221F" w14:paraId="6B007087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4051" w14:textId="7C7F081C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656D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IZUM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E622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Ústav informačnej vedy</w:t>
            </w:r>
          </w:p>
        </w:tc>
      </w:tr>
      <w:tr w:rsidR="0059221F" w14:paraId="6AE74378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E481" w14:textId="7DADEF27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FED46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MH SR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E6A0D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Ministerstvo hospodárstva Slovenskej republiky</w:t>
            </w:r>
          </w:p>
        </w:tc>
      </w:tr>
      <w:tr w:rsidR="0059221F" w14:paraId="1957B36F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4F20" w14:textId="26857BFC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5445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MIRRI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A625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Ministerstvo investícií, regionálneho rozvoja a informatizácie Slovenskej republiky</w:t>
            </w:r>
          </w:p>
        </w:tc>
      </w:tr>
      <w:tr w:rsidR="0059221F" w14:paraId="74515337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B6292" w14:textId="0DB1776D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14C31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MSP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9C6A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Malé a stredné podniky</w:t>
            </w:r>
          </w:p>
        </w:tc>
      </w:tr>
      <w:tr w:rsidR="0059221F" w14:paraId="03429695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26B77" w14:textId="54932282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A6F2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MŠVVaŠ SR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6F59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Ministerstvo školstva, vedy, výskumu a športu Slovenskej republiky</w:t>
            </w:r>
          </w:p>
        </w:tc>
      </w:tr>
      <w:tr w:rsidR="0059221F" w14:paraId="66AD16E4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7F50" w14:textId="2BF443D8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E7D9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NIKA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3AC3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Národná implementačná a koordinačná autorita</w:t>
            </w:r>
          </w:p>
        </w:tc>
      </w:tr>
      <w:tr w:rsidR="0059221F" w14:paraId="169676DC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410AE" w14:textId="03D0F580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B39C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NSCC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73DB1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Národné super počítačové centrum</w:t>
            </w:r>
          </w:p>
        </w:tc>
      </w:tr>
      <w:tr w:rsidR="0059221F" w14:paraId="679A7B0D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A9B4F" w14:textId="3E52772F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4E0D2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OPEX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197D3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Operačné náklady</w:t>
            </w:r>
          </w:p>
        </w:tc>
      </w:tr>
      <w:tr w:rsidR="0059221F" w14:paraId="7AB2AD98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963D" w14:textId="7FDEF10A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366F2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OVM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2203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Orgán verejnej moci</w:t>
            </w:r>
          </w:p>
        </w:tc>
      </w:tr>
      <w:tr w:rsidR="0059221F" w14:paraId="0E49A2BD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9EA0" w14:textId="63C1B9CC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42416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PB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302B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Petabyte</w:t>
            </w:r>
          </w:p>
        </w:tc>
      </w:tr>
      <w:tr w:rsidR="0059221F" w14:paraId="235D3445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DA38" w14:textId="4E14DE97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5A9C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PetaSC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B1FF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PetaSC Bulgaria je právne konzorcium spájajúce znalosti organizácií v oblasti HPC</w:t>
            </w:r>
          </w:p>
        </w:tc>
      </w:tr>
      <w:tr w:rsidR="0059221F" w14:paraId="2AAAAB1C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F59F" w14:textId="16E75661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DA8F2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Petascale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1558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Výpočtová technika s rýchlosťou biliardu (1015) operácií za sekundu</w:t>
            </w:r>
          </w:p>
        </w:tc>
      </w:tr>
      <w:tr w:rsidR="0059221F" w14:paraId="6449480A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3185A" w14:textId="6DE7BDBB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23F8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Petlaflop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28A88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 biliarda (1015) operácii pohyblivej radovej čiarky za sekundu</w:t>
            </w:r>
          </w:p>
        </w:tc>
      </w:tr>
      <w:tr w:rsidR="0059221F" w14:paraId="604FB2B4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9028" w14:textId="7023B3E2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lastRenderedPageBreak/>
              <w:t>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03748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PFLOPS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59C73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Biliardu operácii pohyblivej radovej čiarky za sekundu (1015)</w:t>
            </w:r>
          </w:p>
        </w:tc>
      </w:tr>
      <w:tr w:rsidR="0059221F" w14:paraId="04164801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95CE" w14:textId="60146331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E7B0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POO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1B7C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Plán obnovy a odolnosti</w:t>
            </w:r>
          </w:p>
        </w:tc>
      </w:tr>
      <w:tr w:rsidR="0059221F" w14:paraId="64AD5D3D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0DD3" w14:textId="4B9A8496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5216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PUE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E831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Efektívnosť využitia energie</w:t>
            </w:r>
          </w:p>
        </w:tc>
      </w:tr>
      <w:tr w:rsidR="0059221F" w14:paraId="3446C0BD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EB43" w14:textId="1FF92464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5E14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Rmax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9FEF4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Maximálny dosiahnutý výkon</w:t>
            </w:r>
          </w:p>
        </w:tc>
      </w:tr>
      <w:tr w:rsidR="0059221F" w14:paraId="32426F30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F44B" w14:textId="792B9E90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AEB9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SAV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C201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Slovenská akadémia vied</w:t>
            </w:r>
          </w:p>
        </w:tc>
      </w:tr>
      <w:tr w:rsidR="0059221F" w14:paraId="59E953E8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6193" w14:textId="52CF5D37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15C6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SHMÚ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30D0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Slovenský hydrometeorologický úrad</w:t>
            </w:r>
          </w:p>
        </w:tc>
      </w:tr>
      <w:tr w:rsidR="0059221F" w14:paraId="6BB18AD8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DBE5" w14:textId="1384C0C8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4E09E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SIVVP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F3F9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Iniciatíva znovu naštartovanie vedeckého vysoko výkonného počítania na Slovensku</w:t>
            </w:r>
          </w:p>
        </w:tc>
      </w:tr>
      <w:tr w:rsidR="0059221F" w14:paraId="22CCAC77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762F" w14:textId="662BCDF7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57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AA56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SLA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58719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Dohoda o úrovni poskytovaných služieb</w:t>
            </w:r>
          </w:p>
        </w:tc>
      </w:tr>
      <w:tr w:rsidR="0059221F" w14:paraId="6679FE6F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17AA" w14:textId="6A962DFA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5A4B5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SR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8654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Slovenská republika </w:t>
            </w:r>
          </w:p>
        </w:tc>
      </w:tr>
      <w:tr w:rsidR="0059221F" w14:paraId="657A30AB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D1D2" w14:textId="19A5A515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5BE6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STU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7514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Slovenská technická univerzita </w:t>
            </w:r>
          </w:p>
        </w:tc>
      </w:tr>
      <w:tr w:rsidR="0059221F" w14:paraId="3AE780B0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F700" w14:textId="546F2DE4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57D89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SW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D5FF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Softvér</w:t>
            </w:r>
          </w:p>
        </w:tc>
      </w:tr>
      <w:tr w:rsidR="0059221F" w14:paraId="73BAD147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0ACBD" w14:textId="6A83F8B4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FAF77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ŠR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B5C25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Štátny rozpočet</w:t>
            </w:r>
          </w:p>
        </w:tc>
      </w:tr>
      <w:tr w:rsidR="0059221F" w14:paraId="2F99F643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B88D4" w14:textId="7ED36BB5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D068E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TB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51BF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Terabajt</w:t>
            </w:r>
          </w:p>
        </w:tc>
      </w:tr>
      <w:tr w:rsidR="0059221F" w14:paraId="474EA32A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93511" w14:textId="6B573A71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5A703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TCO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1620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Celkové náklady na vlastníctvo</w:t>
            </w:r>
          </w:p>
        </w:tc>
      </w:tr>
      <w:tr w:rsidR="0059221F" w14:paraId="33294660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5E6C" w14:textId="58631C15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18BE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TFLOPS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F241C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Bilión operácii pohyblivej radovej čiarky za sekundu (1012)</w:t>
            </w:r>
          </w:p>
        </w:tc>
      </w:tr>
      <w:tr w:rsidR="0059221F" w14:paraId="7FA3B346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A29F" w14:textId="4747F51E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8E1E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ÚEF SAV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D055F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Ústav experimentálnej fyziky Slovenskej akadémie vied</w:t>
            </w:r>
          </w:p>
        </w:tc>
      </w:tr>
      <w:tr w:rsidR="0059221F" w14:paraId="3F171D9D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7340" w14:textId="6487C91C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F2A9B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UK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334E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Univerzita Komenského</w:t>
            </w:r>
          </w:p>
        </w:tc>
      </w:tr>
      <w:tr w:rsidR="0059221F" w14:paraId="2A80F690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E78C" w14:textId="1D926B8E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AEC0F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UMB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BB36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Univerzita Mateja Bela</w:t>
            </w:r>
          </w:p>
        </w:tc>
      </w:tr>
      <w:tr w:rsidR="0059221F" w14:paraId="18EB6F7B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B42D" w14:textId="2C66F265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EF3A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UPJŠ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457B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Univerzita Pavla Jozefa Šafárika v Košiciach</w:t>
            </w:r>
          </w:p>
        </w:tc>
      </w:tr>
      <w:tr w:rsidR="0059221F" w14:paraId="4353CE36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7576" w14:textId="02BF744C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F70D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USD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076A2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Americký dolár </w:t>
            </w:r>
          </w:p>
        </w:tc>
      </w:tr>
      <w:tr w:rsidR="0059221F" w14:paraId="69803013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D1A7" w14:textId="1078EBF7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99396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ÚV  SR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C9DF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Úrad vlády Slovenskej republiky</w:t>
            </w:r>
          </w:p>
        </w:tc>
      </w:tr>
      <w:tr w:rsidR="0059221F" w14:paraId="0FE8C89D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2E5A" w14:textId="6A18DE48" w:rsidR="0059221F" w:rsidRDefault="0059221F" w:rsidP="0059221F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30A7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ÚVO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372E" w14:textId="77777777" w:rsidR="0059221F" w:rsidRDefault="0059221F" w:rsidP="0059221F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Úrad pre verejné obstarávanie</w:t>
            </w:r>
          </w:p>
        </w:tc>
      </w:tr>
      <w:tr w:rsidR="00AC030C" w14:paraId="63D898D3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B160" w14:textId="36856D1F" w:rsidR="00AC030C" w:rsidRDefault="00AC030C" w:rsidP="00AC030C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72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9062" w14:textId="1CA6E13F" w:rsidR="00AC030C" w:rsidRDefault="00AC030C" w:rsidP="00AC030C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VAIA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D7A4" w14:textId="49A6E5B8" w:rsidR="00AC030C" w:rsidRDefault="00AC030C" w:rsidP="00AC030C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Výskumná a inovačná autorita</w:t>
            </w:r>
          </w:p>
        </w:tc>
      </w:tr>
      <w:tr w:rsidR="00AC030C" w14:paraId="246A5ECC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EDE6" w14:textId="2C4231F7" w:rsidR="00AC030C" w:rsidRDefault="00AC030C" w:rsidP="00AC030C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7799A" w14:textId="77777777" w:rsidR="00AC030C" w:rsidRDefault="00AC030C" w:rsidP="00AC030C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VaV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FC43" w14:textId="77777777" w:rsidR="00AC030C" w:rsidRDefault="00AC030C" w:rsidP="00AC030C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Výskum a vývoj</w:t>
            </w:r>
          </w:p>
        </w:tc>
      </w:tr>
      <w:tr w:rsidR="00AC030C" w14:paraId="195938A6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8463" w14:textId="0C791FA7" w:rsidR="00AC030C" w:rsidRDefault="00AC030C" w:rsidP="00AC030C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A05C" w14:textId="77777777" w:rsidR="00AC030C" w:rsidRDefault="00AC030C" w:rsidP="00AC030C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VO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AD75" w14:textId="77777777" w:rsidR="00AC030C" w:rsidRDefault="00AC030C" w:rsidP="00AC030C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Verejné obstarávanie</w:t>
            </w:r>
          </w:p>
        </w:tc>
      </w:tr>
      <w:tr w:rsidR="00AC030C" w14:paraId="216FE043" w14:textId="77777777">
        <w:trPr>
          <w:trHeight w:val="3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F54D" w14:textId="675FB420" w:rsidR="00AC030C" w:rsidRDefault="00AC030C" w:rsidP="00AC030C">
            <w:pPr>
              <w:widowControl w:val="0"/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38E8" w14:textId="77777777" w:rsidR="00AC030C" w:rsidRDefault="00AC030C" w:rsidP="00AC030C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VS SAV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DD06" w14:textId="77777777" w:rsidR="00AC030C" w:rsidRDefault="00AC030C" w:rsidP="00AC030C">
            <w:pPr>
              <w:widowControl w:val="0"/>
              <w:suppressAutoHyphens w:val="0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Výpočtové stredisko Slovenskej akadémie vied</w:t>
            </w:r>
          </w:p>
        </w:tc>
      </w:tr>
    </w:tbl>
    <w:p w14:paraId="5BFB1CD7" w14:textId="77777777" w:rsidR="00D373AB" w:rsidRDefault="00D373AB">
      <w:pPr>
        <w:pStyle w:val="Nadpis2"/>
        <w:rPr>
          <w:b w:val="0"/>
          <w:bCs w:val="0"/>
          <w:iCs w:val="0"/>
          <w:caps w:val="0"/>
          <w:szCs w:val="16"/>
          <w:lang w:val="sk-SK"/>
        </w:rPr>
      </w:pPr>
    </w:p>
    <w:p w14:paraId="4B8E4E47" w14:textId="77777777" w:rsidR="00D373AB" w:rsidRDefault="00D373AB">
      <w:pPr>
        <w:pStyle w:val="Heading1"/>
        <w:rPr>
          <w:i/>
          <w:szCs w:val="16"/>
        </w:rPr>
      </w:pPr>
      <w:bookmarkStart w:id="6" w:name="_Toc132645605"/>
      <w:bookmarkStart w:id="7" w:name="_Toc132645612"/>
      <w:bookmarkStart w:id="8" w:name="_Toc132645598"/>
      <w:bookmarkStart w:id="9" w:name="_Toc132645599"/>
      <w:bookmarkStart w:id="10" w:name="_Toc132645613"/>
      <w:bookmarkStart w:id="11" w:name="_Toc132645611"/>
      <w:bookmarkStart w:id="12" w:name="_Toc132645610"/>
      <w:bookmarkStart w:id="13" w:name="_Toc132645609"/>
      <w:bookmarkStart w:id="14" w:name="_Toc132645608"/>
      <w:bookmarkStart w:id="15" w:name="_Toc132645604"/>
      <w:bookmarkStart w:id="16" w:name="_Toc132645603"/>
      <w:bookmarkStart w:id="17" w:name="_Toc132645602"/>
      <w:bookmarkStart w:id="18" w:name="_Toc132645601"/>
      <w:bookmarkStart w:id="19" w:name="_Toc132645600"/>
      <w:bookmarkStart w:id="20" w:name="_Toc132645606"/>
      <w:bookmarkStart w:id="21" w:name="_Toc132645607"/>
      <w:bookmarkStart w:id="22" w:name="_Toc132645622"/>
      <w:bookmarkStart w:id="23" w:name="_Toc132645614"/>
      <w:bookmarkStart w:id="24" w:name="_Toc132645628"/>
      <w:bookmarkStart w:id="25" w:name="_Toc132645616"/>
      <w:bookmarkStart w:id="26" w:name="_Toc132645615"/>
      <w:bookmarkStart w:id="27" w:name="_Toc132645629"/>
      <w:bookmarkStart w:id="28" w:name="_Toc132645627"/>
      <w:bookmarkStart w:id="29" w:name="_Toc132645626"/>
      <w:bookmarkStart w:id="30" w:name="_Toc132645625"/>
      <w:bookmarkStart w:id="31" w:name="_Toc132645621"/>
      <w:bookmarkStart w:id="32" w:name="_Toc132645620"/>
      <w:bookmarkStart w:id="33" w:name="_Toc132645619"/>
      <w:bookmarkStart w:id="34" w:name="_Toc132645618"/>
      <w:bookmarkStart w:id="35" w:name="_Toc132645617"/>
      <w:bookmarkStart w:id="36" w:name="_Toc132645623"/>
      <w:bookmarkStart w:id="37" w:name="_Toc13264562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2D5DE265" w14:textId="77777777" w:rsidR="00D373AB" w:rsidRDefault="00000000">
      <w:pPr>
        <w:pStyle w:val="Heading1"/>
        <w:numPr>
          <w:ilvl w:val="0"/>
          <w:numId w:val="2"/>
        </w:numPr>
      </w:pPr>
      <w:bookmarkStart w:id="38" w:name="_Toc132800176"/>
      <w:r>
        <w:t>DEFINOVANIE PROJEKTU</w:t>
      </w:r>
      <w:bookmarkEnd w:id="38"/>
      <w:r>
        <w:t xml:space="preserve"> </w:t>
      </w:r>
    </w:p>
    <w:p w14:paraId="05C3060D" w14:textId="77777777" w:rsidR="00D373AB" w:rsidRDefault="00000000">
      <w:pPr>
        <w:pStyle w:val="Heading1"/>
        <w:numPr>
          <w:ilvl w:val="1"/>
          <w:numId w:val="2"/>
        </w:numPr>
      </w:pPr>
      <w:bookmarkStart w:id="39" w:name="_Toc132800177"/>
      <w:r>
        <w:t>Manažérske zhrnutie</w:t>
      </w:r>
      <w:bookmarkEnd w:id="39"/>
    </w:p>
    <w:p w14:paraId="25CBCD88" w14:textId="77777777" w:rsidR="00D373AB" w:rsidRDefault="00D373AB">
      <w:pPr>
        <w:rPr>
          <w:lang w:val="sk-SK"/>
        </w:rPr>
      </w:pPr>
    </w:p>
    <w:p w14:paraId="7919FFA5" w14:textId="77777777" w:rsidR="00D373AB" w:rsidRDefault="00D373AB">
      <w:pPr>
        <w:tabs>
          <w:tab w:val="left" w:pos="851"/>
          <w:tab w:val="center" w:pos="3119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2F6EF7DD" w14:textId="29A8718D" w:rsidR="00A34810" w:rsidRDefault="00A34810">
      <w:pPr>
        <w:tabs>
          <w:tab w:val="left" w:pos="851"/>
          <w:tab w:val="center" w:pos="3119"/>
        </w:tabs>
        <w:jc w:val="both"/>
        <w:rPr>
          <w:rStyle w:val="Internetovodkaz"/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 xml:space="preserve">Projekt „Vybudovanie udržateľného HPC ekosystému na Slovensku“ je súčasťou slovenského Plánu obnovy a odolnosti </w:t>
      </w:r>
      <w:r w:rsidR="0059221F">
        <w:rPr>
          <w:rFonts w:ascii="Tahoma" w:hAnsi="Tahoma" w:cs="Tahoma"/>
          <w:sz w:val="16"/>
          <w:szCs w:val="16"/>
          <w:lang w:val="sk-SK"/>
        </w:rPr>
        <w:t xml:space="preserve">(POO) </w:t>
      </w:r>
      <w:r>
        <w:rPr>
          <w:rFonts w:ascii="Tahoma" w:hAnsi="Tahoma" w:cs="Tahoma"/>
          <w:sz w:val="16"/>
          <w:szCs w:val="16"/>
          <w:lang w:val="sk-SK"/>
        </w:rPr>
        <w:t xml:space="preserve">a jeho cieľom je obstaranie vysokovýkonnej výpočtovej infraštruktúry (HPC = high performance computing), teda superpočítača, ako aj podpora adopcie HPC technológií. Tento projektový zámer definuje parametre HPC systému, udržateľnosť jeho prevádzky a úlohy súvisiace s rozvojom ekosystému, pričom vychádza a spresňuje závery z publikovanej </w:t>
      </w:r>
      <w:hyperlink r:id="rId9">
        <w:r>
          <w:rPr>
            <w:rStyle w:val="Internetovodkaz"/>
            <w:rFonts w:ascii="Tahoma" w:hAnsi="Tahoma" w:cs="Tahoma"/>
            <w:sz w:val="16"/>
            <w:szCs w:val="16"/>
            <w:lang w:val="sk-SK"/>
          </w:rPr>
          <w:t>Štúdie uskutočniteľnosti</w:t>
        </w:r>
      </w:hyperlink>
      <w:r>
        <w:rPr>
          <w:rStyle w:val="Internetovodkaz"/>
          <w:rFonts w:ascii="Tahoma" w:hAnsi="Tahoma" w:cs="Tahoma"/>
          <w:sz w:val="16"/>
          <w:szCs w:val="16"/>
          <w:lang w:val="sk-SK"/>
        </w:rPr>
        <w:t xml:space="preserve">. </w:t>
      </w:r>
    </w:p>
    <w:p w14:paraId="341208C2" w14:textId="30FDAE6C" w:rsidR="00563435" w:rsidRPr="0059221F" w:rsidRDefault="0059221F">
      <w:pPr>
        <w:tabs>
          <w:tab w:val="left" w:pos="851"/>
          <w:tab w:val="center" w:pos="3119"/>
        </w:tabs>
        <w:jc w:val="both"/>
        <w:rPr>
          <w:rFonts w:ascii="Tahoma" w:hAnsi="Tahoma" w:cs="Tahoma"/>
          <w:sz w:val="16"/>
          <w:szCs w:val="16"/>
          <w:lang w:val="sk-SK"/>
        </w:rPr>
      </w:pPr>
      <w:r w:rsidRPr="0059221F">
        <w:rPr>
          <w:rStyle w:val="Internetovodkaz"/>
          <w:rFonts w:ascii="Tahoma" w:hAnsi="Tahoma" w:cs="Tahoma"/>
          <w:color w:val="auto"/>
          <w:sz w:val="16"/>
          <w:szCs w:val="16"/>
          <w:u w:val="none"/>
          <w:lang w:val="sk-SK"/>
        </w:rPr>
        <w:t xml:space="preserve">Zámer </w:t>
      </w:r>
      <w:r>
        <w:rPr>
          <w:rStyle w:val="Internetovodkaz"/>
          <w:rFonts w:ascii="Tahoma" w:hAnsi="Tahoma" w:cs="Tahoma"/>
          <w:color w:val="auto"/>
          <w:sz w:val="16"/>
          <w:szCs w:val="16"/>
          <w:u w:val="none"/>
          <w:lang w:val="sk-SK"/>
        </w:rPr>
        <w:t>vychádza z podmienok a cieľov zakotvených v POO, ale aj z opatrení APDTS</w:t>
      </w:r>
      <w:r w:rsidR="00563435">
        <w:rPr>
          <w:rStyle w:val="Internetovodkaz"/>
          <w:rFonts w:ascii="Tahoma" w:hAnsi="Tahoma" w:cs="Tahoma"/>
          <w:color w:val="auto"/>
          <w:sz w:val="16"/>
          <w:szCs w:val="16"/>
          <w:u w:val="none"/>
          <w:lang w:val="sk-SK"/>
        </w:rPr>
        <w:t xml:space="preserve"> a ucelene adresuje potrebu zvyšovania pokročilých digitálnych kompetencií založených na HPC+ technológiách ako AI, HPDA a pokročilé simulácie a to naprieč akademickým, verejným a súkromným sektorom</w:t>
      </w:r>
      <w:r w:rsidR="00072433">
        <w:rPr>
          <w:rStyle w:val="Internetovodkaz"/>
          <w:rFonts w:ascii="Tahoma" w:hAnsi="Tahoma" w:cs="Tahoma"/>
          <w:color w:val="auto"/>
          <w:sz w:val="16"/>
          <w:szCs w:val="16"/>
          <w:u w:val="none"/>
          <w:lang w:val="sk-SK"/>
        </w:rPr>
        <w:t xml:space="preserve"> </w:t>
      </w:r>
      <w:r w:rsidR="00072433">
        <w:rPr>
          <w:rFonts w:ascii="Tahoma" w:hAnsi="Tahoma" w:cs="Tahoma"/>
          <w:sz w:val="16"/>
          <w:szCs w:val="16"/>
          <w:lang w:val="sk-SK"/>
        </w:rPr>
        <w:t>v snahe priniesť pozitívne ekonomicko-spoločenské dopady.</w:t>
      </w:r>
      <w:r w:rsidR="005F6FA9">
        <w:rPr>
          <w:rStyle w:val="Internetovodkaz"/>
          <w:rFonts w:ascii="Tahoma" w:hAnsi="Tahoma" w:cs="Tahoma"/>
          <w:color w:val="auto"/>
          <w:sz w:val="16"/>
          <w:szCs w:val="16"/>
          <w:u w:val="none"/>
          <w:lang w:val="sk-SK"/>
        </w:rPr>
        <w:t xml:space="preserve"> </w:t>
      </w:r>
      <w:r w:rsidR="00563435">
        <w:rPr>
          <w:rStyle w:val="Internetovodkaz"/>
          <w:rFonts w:ascii="Tahoma" w:hAnsi="Tahoma" w:cs="Tahoma"/>
          <w:color w:val="auto"/>
          <w:sz w:val="16"/>
          <w:szCs w:val="16"/>
          <w:u w:val="none"/>
          <w:lang w:val="sk-SK"/>
        </w:rPr>
        <w:t>Dizajn samotného HPC systému vychádza z nutnosti zabezpečenia dlhodobej udržateľnosti</w:t>
      </w:r>
      <w:r w:rsidR="00072433">
        <w:rPr>
          <w:rStyle w:val="Internetovodkaz"/>
          <w:rFonts w:ascii="Tahoma" w:hAnsi="Tahoma" w:cs="Tahoma"/>
          <w:color w:val="auto"/>
          <w:sz w:val="16"/>
          <w:szCs w:val="16"/>
          <w:u w:val="none"/>
          <w:lang w:val="sk-SK"/>
        </w:rPr>
        <w:t xml:space="preserve"> a požiadaviek používateľov</w:t>
      </w:r>
      <w:r w:rsidR="005F6FA9">
        <w:rPr>
          <w:rStyle w:val="Internetovodkaz"/>
          <w:rFonts w:ascii="Tahoma" w:hAnsi="Tahoma" w:cs="Tahoma"/>
          <w:color w:val="auto"/>
          <w:sz w:val="16"/>
          <w:szCs w:val="16"/>
          <w:u w:val="none"/>
          <w:lang w:val="sk-SK"/>
        </w:rPr>
        <w:t>, ako aj zo súčasných trendov v oblasti vysokovýkonného počítania. Projektový zámer popisuje konkrétnu podobu realizácie investície, mitigáciu identifikovaných rizík, harmonogram a plán jej dlhodobej udržateľnosti.</w:t>
      </w:r>
    </w:p>
    <w:p w14:paraId="7571568C" w14:textId="77777777" w:rsidR="00D373AB" w:rsidRPr="0059221F" w:rsidRDefault="00D373AB">
      <w:pPr>
        <w:tabs>
          <w:tab w:val="left" w:pos="851"/>
          <w:tab w:val="center" w:pos="3119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18123192" w14:textId="77777777" w:rsidR="00D373AB" w:rsidRDefault="00000000">
      <w:pPr>
        <w:pStyle w:val="Heading1"/>
        <w:numPr>
          <w:ilvl w:val="1"/>
          <w:numId w:val="2"/>
        </w:numPr>
      </w:pPr>
      <w:bookmarkStart w:id="40" w:name="_Toc132800178"/>
      <w:r>
        <w:t>Motivácia a rozsah projektu</w:t>
      </w:r>
      <w:bookmarkEnd w:id="40"/>
      <w:r>
        <w:t xml:space="preserve"> </w:t>
      </w:r>
    </w:p>
    <w:p w14:paraId="0D04797F" w14:textId="77777777" w:rsidR="00D373AB" w:rsidRDefault="00D373AB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6"/>
          <w:szCs w:val="16"/>
          <w:lang w:val="sk-SK"/>
        </w:rPr>
      </w:pPr>
    </w:p>
    <w:p w14:paraId="2AF2693B" w14:textId="28D5A09D" w:rsidR="00E84BAB" w:rsidRDefault="00000000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Vysokovýkonn</w:t>
      </w:r>
      <w:r w:rsidR="00EB69F3">
        <w:rPr>
          <w:rFonts w:ascii="Tahoma" w:hAnsi="Tahoma" w:cs="Tahoma"/>
          <w:sz w:val="16"/>
          <w:szCs w:val="16"/>
          <w:lang w:val="sk-SK"/>
        </w:rPr>
        <w:t>é</w:t>
      </w:r>
      <w:r>
        <w:rPr>
          <w:rFonts w:ascii="Tahoma" w:hAnsi="Tahoma" w:cs="Tahoma"/>
          <w:sz w:val="16"/>
          <w:szCs w:val="16"/>
          <w:lang w:val="sk-SK"/>
        </w:rPr>
        <w:t xml:space="preserve"> výpočtov</w:t>
      </w:r>
      <w:r w:rsidR="00EB69F3">
        <w:rPr>
          <w:rFonts w:ascii="Tahoma" w:hAnsi="Tahoma" w:cs="Tahoma"/>
          <w:sz w:val="16"/>
          <w:szCs w:val="16"/>
          <w:lang w:val="sk-SK"/>
        </w:rPr>
        <w:t>é systémy</w:t>
      </w:r>
      <w:r>
        <w:rPr>
          <w:rFonts w:ascii="Tahoma" w:hAnsi="Tahoma" w:cs="Tahoma"/>
          <w:sz w:val="16"/>
          <w:szCs w:val="16"/>
          <w:lang w:val="sk-SK"/>
        </w:rPr>
        <w:t xml:space="preserve"> (HPC) </w:t>
      </w:r>
      <w:r w:rsidR="00EB69F3">
        <w:rPr>
          <w:rFonts w:ascii="Tahoma" w:hAnsi="Tahoma" w:cs="Tahoma"/>
          <w:sz w:val="16"/>
          <w:szCs w:val="16"/>
          <w:lang w:val="sk-SK"/>
        </w:rPr>
        <w:t xml:space="preserve">sú </w:t>
      </w:r>
      <w:r>
        <w:rPr>
          <w:rFonts w:ascii="Tahoma" w:hAnsi="Tahoma" w:cs="Tahoma"/>
          <w:sz w:val="16"/>
          <w:szCs w:val="16"/>
          <w:lang w:val="sk-SK"/>
        </w:rPr>
        <w:t>v súčasnosti považovan</w:t>
      </w:r>
      <w:r w:rsidR="00EB69F3">
        <w:rPr>
          <w:rFonts w:ascii="Tahoma" w:hAnsi="Tahoma" w:cs="Tahoma"/>
          <w:sz w:val="16"/>
          <w:szCs w:val="16"/>
          <w:lang w:val="sk-SK"/>
        </w:rPr>
        <w:t>é</w:t>
      </w:r>
      <w:r>
        <w:rPr>
          <w:rFonts w:ascii="Tahoma" w:hAnsi="Tahoma" w:cs="Tahoma"/>
          <w:sz w:val="16"/>
          <w:szCs w:val="16"/>
          <w:lang w:val="sk-SK"/>
        </w:rPr>
        <w:t xml:space="preserve"> za kľúčovú technológiu</w:t>
      </w:r>
      <w:r w:rsidR="00EB69F3">
        <w:rPr>
          <w:rFonts w:ascii="Tahoma" w:hAnsi="Tahoma" w:cs="Tahoma"/>
          <w:sz w:val="16"/>
          <w:szCs w:val="16"/>
          <w:lang w:val="sk-SK"/>
        </w:rPr>
        <w:t xml:space="preserve"> pre</w:t>
      </w:r>
      <w:r>
        <w:rPr>
          <w:rFonts w:ascii="Tahoma" w:hAnsi="Tahoma" w:cs="Tahoma"/>
          <w:sz w:val="16"/>
          <w:szCs w:val="16"/>
          <w:lang w:val="sk-SK"/>
        </w:rPr>
        <w:t xml:space="preserve"> základný a aplikovaný výskum v mnohých vedeckých disciplínach a priemyselných odvetviach. </w:t>
      </w:r>
      <w:r w:rsidR="00EB69F3">
        <w:rPr>
          <w:rFonts w:ascii="Tahoma" w:hAnsi="Tahoma" w:cs="Tahoma"/>
          <w:sz w:val="16"/>
          <w:szCs w:val="16"/>
          <w:lang w:val="sk-SK"/>
        </w:rPr>
        <w:t>Superpočítače</w:t>
      </w:r>
      <w:r>
        <w:rPr>
          <w:rFonts w:ascii="Tahoma" w:hAnsi="Tahoma" w:cs="Tahoma"/>
          <w:sz w:val="16"/>
          <w:szCs w:val="16"/>
          <w:lang w:val="sk-SK"/>
        </w:rPr>
        <w:t xml:space="preserve"> sú kritickým nástrojom</w:t>
      </w:r>
      <w:r w:rsidR="00EB69F3">
        <w:rPr>
          <w:rFonts w:ascii="Tahoma" w:hAnsi="Tahoma" w:cs="Tahoma"/>
          <w:sz w:val="16"/>
          <w:szCs w:val="16"/>
          <w:lang w:val="sk-SK"/>
        </w:rPr>
        <w:t>, ktorý sa čoraz častejšie uplatňuje</w:t>
      </w:r>
      <w:r>
        <w:rPr>
          <w:rFonts w:ascii="Tahoma" w:hAnsi="Tahoma" w:cs="Tahoma"/>
          <w:sz w:val="16"/>
          <w:szCs w:val="16"/>
          <w:lang w:val="sk-SK"/>
        </w:rPr>
        <w:t xml:space="preserve"> pr</w:t>
      </w:r>
      <w:r w:rsidR="00EB69F3">
        <w:rPr>
          <w:rFonts w:ascii="Tahoma" w:hAnsi="Tahoma" w:cs="Tahoma"/>
          <w:sz w:val="16"/>
          <w:szCs w:val="16"/>
          <w:lang w:val="sk-SK"/>
        </w:rPr>
        <w:t>i</w:t>
      </w:r>
      <w:r>
        <w:rPr>
          <w:rFonts w:ascii="Tahoma" w:hAnsi="Tahoma" w:cs="Tahoma"/>
          <w:sz w:val="16"/>
          <w:szCs w:val="16"/>
          <w:lang w:val="sk-SK"/>
        </w:rPr>
        <w:t xml:space="preserve"> </w:t>
      </w:r>
      <w:r w:rsidR="00EB69F3">
        <w:rPr>
          <w:rFonts w:ascii="Tahoma" w:hAnsi="Tahoma" w:cs="Tahoma"/>
          <w:sz w:val="16"/>
          <w:szCs w:val="16"/>
          <w:lang w:val="sk-SK"/>
        </w:rPr>
        <w:t>riešení</w:t>
      </w:r>
      <w:r>
        <w:rPr>
          <w:rFonts w:ascii="Tahoma" w:hAnsi="Tahoma" w:cs="Tahoma"/>
          <w:sz w:val="16"/>
          <w:szCs w:val="16"/>
          <w:lang w:val="sk-SK"/>
        </w:rPr>
        <w:t xml:space="preserve"> zložitých výziev a ich premenu na príležitosť vytvárať inovácie. </w:t>
      </w:r>
      <w:r w:rsidR="00E84BAB">
        <w:rPr>
          <w:rFonts w:ascii="Tahoma" w:hAnsi="Tahoma" w:cs="Tahoma"/>
          <w:sz w:val="16"/>
          <w:szCs w:val="16"/>
          <w:lang w:val="sk-SK"/>
        </w:rPr>
        <w:t xml:space="preserve">Nástroje ako je umelá inteligencia, spracovanie veľkých objemov dát alebo pokročilé simulácie rôznych javov a procesov sú do veľkej miery závislé od dostupnej </w:t>
      </w:r>
      <w:r w:rsidR="00E84BAB">
        <w:rPr>
          <w:rFonts w:ascii="Tahoma" w:hAnsi="Tahoma" w:cs="Tahoma"/>
          <w:sz w:val="16"/>
          <w:szCs w:val="16"/>
          <w:lang w:val="sk-SK"/>
        </w:rPr>
        <w:lastRenderedPageBreak/>
        <w:t>výpočtovej kapacity.</w:t>
      </w:r>
      <w:r w:rsidR="006503C5">
        <w:rPr>
          <w:rFonts w:ascii="Tahoma" w:hAnsi="Tahoma" w:cs="Tahoma"/>
          <w:sz w:val="16"/>
          <w:szCs w:val="16"/>
          <w:lang w:val="sk-SK"/>
        </w:rPr>
        <w:t xml:space="preserve"> </w:t>
      </w:r>
      <w:r w:rsidR="008F4D79">
        <w:rPr>
          <w:rFonts w:ascii="Tahoma" w:hAnsi="Tahoma" w:cs="Tahoma"/>
          <w:sz w:val="16"/>
          <w:szCs w:val="16"/>
          <w:lang w:val="sk-SK"/>
        </w:rPr>
        <w:t>Bežne</w:t>
      </w:r>
      <w:r w:rsidR="006503C5">
        <w:rPr>
          <w:rFonts w:ascii="Tahoma" w:hAnsi="Tahoma" w:cs="Tahoma"/>
          <w:sz w:val="16"/>
          <w:szCs w:val="16"/>
          <w:lang w:val="sk-SK"/>
        </w:rPr>
        <w:t xml:space="preserve"> sa používajú v oblastiach ako </w:t>
      </w:r>
      <w:r w:rsidR="008F4D79">
        <w:rPr>
          <w:rFonts w:ascii="Tahoma" w:hAnsi="Tahoma" w:cs="Tahoma"/>
          <w:sz w:val="16"/>
          <w:szCs w:val="16"/>
          <w:lang w:val="sk-SK"/>
        </w:rPr>
        <w:t>meteorológia, klimatológia</w:t>
      </w:r>
      <w:r w:rsidR="006503C5">
        <w:rPr>
          <w:rFonts w:ascii="Tahoma" w:hAnsi="Tahoma" w:cs="Tahoma"/>
          <w:sz w:val="16"/>
          <w:szCs w:val="16"/>
          <w:lang w:val="sk-SK"/>
        </w:rPr>
        <w:t xml:space="preserve">, </w:t>
      </w:r>
      <w:r w:rsidR="008F4D79">
        <w:rPr>
          <w:rFonts w:ascii="Tahoma" w:hAnsi="Tahoma" w:cs="Tahoma"/>
          <w:sz w:val="16"/>
          <w:szCs w:val="16"/>
          <w:lang w:val="sk-SK"/>
        </w:rPr>
        <w:t>medicína, farmaceutický dizajn, materiálový dizajn a ďalšie domény neustále pribúdajú s</w:t>
      </w:r>
      <w:r w:rsidR="00E72497">
        <w:rPr>
          <w:rFonts w:ascii="Tahoma" w:hAnsi="Tahoma" w:cs="Tahoma"/>
          <w:sz w:val="16"/>
          <w:szCs w:val="16"/>
          <w:lang w:val="sk-SK"/>
        </w:rPr>
        <w:t xml:space="preserve"> vývojom nových aplikácií (určených napríklad pre </w:t>
      </w:r>
      <w:proofErr w:type="spellStart"/>
      <w:r w:rsidR="00E72497">
        <w:rPr>
          <w:rFonts w:ascii="Tahoma" w:hAnsi="Tahoma" w:cs="Tahoma"/>
          <w:sz w:val="16"/>
          <w:szCs w:val="16"/>
          <w:lang w:val="sk-SK"/>
        </w:rPr>
        <w:t>exascale</w:t>
      </w:r>
      <w:proofErr w:type="spellEnd"/>
      <w:r w:rsidR="00E72497">
        <w:rPr>
          <w:rFonts w:ascii="Tahoma" w:hAnsi="Tahoma" w:cs="Tahoma"/>
          <w:sz w:val="16"/>
          <w:szCs w:val="16"/>
          <w:lang w:val="sk-SK"/>
        </w:rPr>
        <w:t xml:space="preserve"> infraštruktúry), rozvojom AI a tiež s rastom výkonu HPC infraštruktúr.</w:t>
      </w:r>
    </w:p>
    <w:p w14:paraId="2C5543F0" w14:textId="77777777" w:rsidR="00E84BAB" w:rsidRDefault="00E84BAB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7F5D6390" w14:textId="7B827325" w:rsidR="00EB69F3" w:rsidRDefault="00E72497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 xml:space="preserve">Keďže projekt je zameraný na rozvoj národnej HPC kapacity </w:t>
      </w:r>
      <w:r w:rsidR="00EB69F3" w:rsidRPr="00EB69F3">
        <w:rPr>
          <w:rFonts w:ascii="Tahoma" w:hAnsi="Tahoma" w:cs="Tahoma"/>
          <w:sz w:val="16"/>
          <w:szCs w:val="16"/>
          <w:lang w:val="sk-SK"/>
        </w:rPr>
        <w:t>z verejných zdrojov, očakávajú</w:t>
      </w:r>
      <w:r>
        <w:rPr>
          <w:rFonts w:ascii="Tahoma" w:hAnsi="Tahoma" w:cs="Tahoma"/>
          <w:sz w:val="16"/>
          <w:szCs w:val="16"/>
          <w:lang w:val="sk-SK"/>
        </w:rPr>
        <w:t xml:space="preserve"> sa</w:t>
      </w:r>
      <w:r w:rsidR="00EB69F3" w:rsidRPr="00EB69F3">
        <w:rPr>
          <w:rFonts w:ascii="Tahoma" w:hAnsi="Tahoma" w:cs="Tahoma"/>
          <w:sz w:val="16"/>
          <w:szCs w:val="16"/>
          <w:lang w:val="sk-SK"/>
        </w:rPr>
        <w:t xml:space="preserve"> prínosy pre </w:t>
      </w:r>
      <w:r>
        <w:rPr>
          <w:rFonts w:ascii="Tahoma" w:hAnsi="Tahoma" w:cs="Tahoma"/>
          <w:sz w:val="16"/>
          <w:szCs w:val="16"/>
          <w:lang w:val="sk-SK"/>
        </w:rPr>
        <w:t xml:space="preserve">slovenskú </w:t>
      </w:r>
      <w:r w:rsidR="00EB69F3" w:rsidRPr="00EB69F3">
        <w:rPr>
          <w:rFonts w:ascii="Tahoma" w:hAnsi="Tahoma" w:cs="Tahoma"/>
          <w:sz w:val="16"/>
          <w:szCs w:val="16"/>
          <w:lang w:val="sk-SK"/>
        </w:rPr>
        <w:t>vedu, spoločnosť a ekonomiku krajiny. Je to príležitosť zvýšiť na Slovensku znalosti a zručnosti v HPC a súvisiacich technológiách (AI/ML, HPDA, pokročilé simulácie) a docieliť, aby firmy používali viac digitálnych riešení založených na HPC, aby sme dokázali vychovať odborníkov a udržať talenty, aby slovenskí vedci a výskumníci mohli byť rovnocennými partnermi svojim európskym kolegom pri riešení komplexných problémov v rôznych odboroch.</w:t>
      </w:r>
    </w:p>
    <w:p w14:paraId="45534712" w14:textId="77777777" w:rsidR="00E72497" w:rsidRDefault="00E72497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080F9827" w14:textId="77777777" w:rsidR="00144E67" w:rsidRDefault="00E7193B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 xml:space="preserve">Budovanie vlastnej centralizovanej výpočtovej infraštruktúry je dôležité pre podporu slovenského výskumu a vývoja. </w:t>
      </w:r>
      <w:r w:rsidR="00EA2D07">
        <w:rPr>
          <w:rFonts w:ascii="Tahoma" w:hAnsi="Tahoma" w:cs="Tahoma"/>
          <w:sz w:val="16"/>
          <w:szCs w:val="16"/>
          <w:lang w:val="sk-SK"/>
        </w:rPr>
        <w:t xml:space="preserve">Menšie HPC systémy, ktoré prevádzkujú jednotlivé vedecké pracoviská, zďaleka nepostačujú pre náročnejšie projekty a aplikácie. </w:t>
      </w:r>
      <w:r>
        <w:rPr>
          <w:rFonts w:ascii="Tahoma" w:hAnsi="Tahoma" w:cs="Tahoma"/>
          <w:sz w:val="16"/>
          <w:szCs w:val="16"/>
          <w:lang w:val="sk-SK"/>
        </w:rPr>
        <w:t xml:space="preserve">Hoci slovenskí vedci majú možnosť žiadať prístup aj k zahraničnej infraštruktúre, tieto príležitosti </w:t>
      </w:r>
      <w:r w:rsidR="00EA2D07">
        <w:rPr>
          <w:rFonts w:ascii="Tahoma" w:hAnsi="Tahoma" w:cs="Tahoma"/>
          <w:sz w:val="16"/>
          <w:szCs w:val="16"/>
          <w:lang w:val="sk-SK"/>
        </w:rPr>
        <w:t>sú časovo a kapacitne obmedzené a tiež je náročnejšie ich získať. Je preto takmer nemožné udržať domáci výskum závislý na HPC na úrovni zodpovedajúcej aktuálnej svetovej či európskej úrovni.</w:t>
      </w:r>
      <w:r w:rsidR="007621F1">
        <w:rPr>
          <w:rFonts w:ascii="Tahoma" w:hAnsi="Tahoma" w:cs="Tahoma"/>
          <w:sz w:val="16"/>
          <w:szCs w:val="16"/>
          <w:lang w:val="sk-SK"/>
        </w:rPr>
        <w:t xml:space="preserve"> </w:t>
      </w:r>
      <w:r w:rsidR="00EA2D07">
        <w:rPr>
          <w:rFonts w:ascii="Tahoma" w:hAnsi="Tahoma" w:cs="Tahoma"/>
          <w:sz w:val="16"/>
          <w:szCs w:val="16"/>
          <w:lang w:val="sk-SK"/>
        </w:rPr>
        <w:t>Pre slovenský súkromný sektor sú možnosti prístupu k takejto infraštruktúre, navyše s portfóliom podporných služieb, neoceniteľné pri zavádzaní inovatívnych digitálnych riešení</w:t>
      </w:r>
      <w:r w:rsidR="007621F1">
        <w:rPr>
          <w:rFonts w:ascii="Tahoma" w:hAnsi="Tahoma" w:cs="Tahoma"/>
          <w:sz w:val="16"/>
          <w:szCs w:val="16"/>
          <w:lang w:val="sk-SK"/>
        </w:rPr>
        <w:t xml:space="preserve">. </w:t>
      </w:r>
    </w:p>
    <w:p w14:paraId="703F8B04" w14:textId="77777777" w:rsidR="00144E67" w:rsidRDefault="00144E67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16492DE6" w14:textId="7B32EDA8" w:rsidR="00EA2D07" w:rsidRDefault="00144E67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V oblasti vzdelávania je „</w:t>
      </w:r>
      <w:proofErr w:type="spellStart"/>
      <w:r w:rsidR="007621F1">
        <w:rPr>
          <w:rFonts w:ascii="Tahoma" w:hAnsi="Tahoma" w:cs="Tahoma"/>
          <w:sz w:val="16"/>
          <w:szCs w:val="16"/>
          <w:lang w:val="sk-SK"/>
        </w:rPr>
        <w:t>hands</w:t>
      </w:r>
      <w:proofErr w:type="spellEnd"/>
      <w:r w:rsidR="007621F1">
        <w:rPr>
          <w:rFonts w:ascii="Tahoma" w:hAnsi="Tahoma" w:cs="Tahoma"/>
          <w:sz w:val="16"/>
          <w:szCs w:val="16"/>
          <w:lang w:val="sk-SK"/>
        </w:rPr>
        <w:t>-on</w:t>
      </w:r>
      <w:r>
        <w:rPr>
          <w:rFonts w:ascii="Tahoma" w:hAnsi="Tahoma" w:cs="Tahoma"/>
          <w:sz w:val="16"/>
          <w:szCs w:val="16"/>
          <w:lang w:val="sk-SK"/>
        </w:rPr>
        <w:t xml:space="preserve">“ skúsenosť so správou a manažmentom HPC systémov veľmi dôležitá a vlastná infraštruktúra pomôže vychovávať nových odborníkov nielen v jednotlivých aplikačných oblastiach, ale aj v technických smeroch zameraných na prácu s technológiami.  </w:t>
      </w:r>
    </w:p>
    <w:p w14:paraId="5B501B48" w14:textId="77777777" w:rsidR="007621F1" w:rsidRDefault="007621F1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73C90486" w14:textId="0CF17846" w:rsidR="007621F1" w:rsidRDefault="007621F1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Vybudovanie takejto infraštruktúry Slovensku tiež zabezpečí možnosť zúčastniť sa medzinárodných aktivít a aktívne sa zapájať do činnosti medzinárodných organizácií, ktorých je členom – PRACE a </w:t>
      </w:r>
      <w:proofErr w:type="spellStart"/>
      <w:r>
        <w:rPr>
          <w:rFonts w:ascii="Tahoma" w:hAnsi="Tahoma" w:cs="Tahoma"/>
          <w:sz w:val="16"/>
          <w:szCs w:val="16"/>
          <w:lang w:val="sk-SK"/>
        </w:rPr>
        <w:t>EuroHPC</w:t>
      </w:r>
      <w:proofErr w:type="spellEnd"/>
      <w:r>
        <w:rPr>
          <w:rFonts w:ascii="Tahoma" w:hAnsi="Tahoma" w:cs="Tahoma"/>
          <w:sz w:val="16"/>
          <w:szCs w:val="16"/>
          <w:lang w:val="sk-SK"/>
        </w:rPr>
        <w:t xml:space="preserve"> JU. </w:t>
      </w:r>
    </w:p>
    <w:p w14:paraId="761DD204" w14:textId="77777777" w:rsidR="00D373AB" w:rsidRDefault="00D373AB">
      <w:pPr>
        <w:rPr>
          <w:rFonts w:ascii="Tahoma" w:hAnsi="Tahoma" w:cs="Tahoma"/>
          <w:sz w:val="16"/>
          <w:szCs w:val="16"/>
          <w:lang w:val="sk-SK"/>
        </w:rPr>
      </w:pPr>
    </w:p>
    <w:p w14:paraId="4C6BAFC0" w14:textId="77777777" w:rsidR="00D373AB" w:rsidRDefault="00D373AB">
      <w:pPr>
        <w:rPr>
          <w:rFonts w:ascii="Tahoma" w:hAnsi="Tahoma" w:cs="Tahoma"/>
          <w:sz w:val="16"/>
          <w:szCs w:val="16"/>
          <w:lang w:val="sk-SK"/>
        </w:rPr>
      </w:pPr>
    </w:p>
    <w:p w14:paraId="5A4237E8" w14:textId="77777777" w:rsidR="00D373AB" w:rsidRDefault="00000000">
      <w:pPr>
        <w:pStyle w:val="Heading1"/>
        <w:numPr>
          <w:ilvl w:val="1"/>
          <w:numId w:val="2"/>
        </w:numPr>
      </w:pPr>
      <w:bookmarkStart w:id="41" w:name="_Toc132800179"/>
      <w:r>
        <w:t>Zainteresované strany/Stakeholderi</w:t>
      </w:r>
      <w:bookmarkEnd w:id="41"/>
      <w:r>
        <w:t xml:space="preserve"> </w:t>
      </w:r>
    </w:p>
    <w:p w14:paraId="3967B359" w14:textId="77777777" w:rsidR="00D373AB" w:rsidRDefault="00D373AB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6"/>
          <w:szCs w:val="16"/>
          <w:lang w:val="sk-SK"/>
        </w:rPr>
      </w:pPr>
    </w:p>
    <w:p w14:paraId="5A581EAB" w14:textId="77777777" w:rsidR="00D373AB" w:rsidRDefault="00D373AB">
      <w:pPr>
        <w:tabs>
          <w:tab w:val="left" w:pos="851"/>
          <w:tab w:val="center" w:pos="3119"/>
        </w:tabs>
        <w:rPr>
          <w:rFonts w:ascii="Tahoma" w:hAnsi="Tahoma" w:cs="Tahoma"/>
          <w:i/>
          <w:color w:val="00B050"/>
          <w:sz w:val="16"/>
          <w:szCs w:val="16"/>
          <w:lang w:val="sk-SK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577"/>
        <w:gridCol w:w="3505"/>
        <w:gridCol w:w="988"/>
        <w:gridCol w:w="2241"/>
        <w:gridCol w:w="1761"/>
      </w:tblGrid>
      <w:tr w:rsidR="00D373AB" w14:paraId="76C46555" w14:textId="77777777" w:rsidTr="009473B0"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7E6E6"/>
            <w:vAlign w:val="center"/>
          </w:tcPr>
          <w:p w14:paraId="019D6EF3" w14:textId="77777777" w:rsidR="00D373AB" w:rsidRDefault="00000000">
            <w:pPr>
              <w:widowControl w:val="0"/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k-SK"/>
              </w:rPr>
              <w:t>ID</w:t>
            </w:r>
          </w:p>
        </w:tc>
        <w:tc>
          <w:tcPr>
            <w:tcW w:w="3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7E6E6"/>
            <w:vAlign w:val="center"/>
          </w:tcPr>
          <w:p w14:paraId="0FB6182D" w14:textId="77777777" w:rsidR="00D373AB" w:rsidRDefault="00000000">
            <w:pPr>
              <w:widowControl w:val="0"/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k-SK"/>
              </w:rPr>
              <w:t>AKTÉR / STAKEHOLDER</w:t>
            </w:r>
          </w:p>
          <w:p w14:paraId="57CA3D28" w14:textId="77777777" w:rsidR="00D373AB" w:rsidRDefault="00D373AB">
            <w:pPr>
              <w:widowControl w:val="0"/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7E6E6"/>
            <w:vAlign w:val="center"/>
          </w:tcPr>
          <w:p w14:paraId="0498FF77" w14:textId="77777777" w:rsidR="00D373AB" w:rsidRDefault="00000000">
            <w:pPr>
              <w:widowControl w:val="0"/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k-SK"/>
              </w:rPr>
              <w:t>SUBJEKT</w:t>
            </w:r>
          </w:p>
          <w:p w14:paraId="7C8D1E71" w14:textId="77777777" w:rsidR="00D373AB" w:rsidRDefault="00000000">
            <w:pPr>
              <w:widowControl w:val="0"/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(názov / skratka)</w:t>
            </w:r>
          </w:p>
        </w:tc>
        <w:tc>
          <w:tcPr>
            <w:tcW w:w="2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7E6E6"/>
            <w:vAlign w:val="center"/>
          </w:tcPr>
          <w:p w14:paraId="4CD5C751" w14:textId="77777777" w:rsidR="00D373AB" w:rsidRDefault="00000000">
            <w:pPr>
              <w:widowControl w:val="0"/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k-SK"/>
              </w:rPr>
              <w:t>ROLA</w:t>
            </w:r>
          </w:p>
          <w:p w14:paraId="404C486A" w14:textId="77777777" w:rsidR="00D373AB" w:rsidRDefault="00000000">
            <w:pPr>
              <w:widowControl w:val="0"/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k-SK"/>
              </w:rPr>
              <w:t>(vlastník procesu/ vlastník dát/zákazník/ užívateľ …. člen tímu atď.)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14:paraId="4982EA1E" w14:textId="77777777" w:rsidR="00D373AB" w:rsidRDefault="00000000">
            <w:pPr>
              <w:widowControl w:val="0"/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k-SK"/>
              </w:rPr>
              <w:t>Informačný systém</w:t>
            </w:r>
          </w:p>
          <w:p w14:paraId="3E5C520C" w14:textId="77777777" w:rsidR="00D373AB" w:rsidRDefault="00000000">
            <w:pPr>
              <w:widowControl w:val="0"/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(názov ISVS a MetaIS kód)</w:t>
            </w:r>
          </w:p>
        </w:tc>
      </w:tr>
      <w:tr w:rsidR="00D373AB" w14:paraId="1E8A6E33" w14:textId="77777777" w:rsidTr="009473B0"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7E6E6"/>
            <w:vAlign w:val="center"/>
          </w:tcPr>
          <w:p w14:paraId="677058F3" w14:textId="77777777" w:rsidR="00D373AB" w:rsidRDefault="00000000">
            <w:pPr>
              <w:widowControl w:val="0"/>
              <w:tabs>
                <w:tab w:val="left" w:pos="851"/>
                <w:tab w:val="center" w:pos="3119"/>
              </w:tabs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1.</w:t>
            </w:r>
          </w:p>
        </w:tc>
        <w:tc>
          <w:tcPr>
            <w:tcW w:w="3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1151D8" w14:textId="77777777" w:rsidR="00D373AB" w:rsidRDefault="00000000">
            <w:pPr>
              <w:widowControl w:val="0"/>
              <w:tabs>
                <w:tab w:val="left" w:pos="851"/>
                <w:tab w:val="center" w:pos="3119"/>
              </w:tabs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Ministerstvo investícií, regionálneho rozvoja a informatizácie SR</w:t>
            </w:r>
          </w:p>
        </w:tc>
        <w:tc>
          <w:tcPr>
            <w:tcW w:w="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7DB711" w14:textId="7DCECC5C" w:rsidR="00D373AB" w:rsidRDefault="00000000">
            <w:pPr>
              <w:widowControl w:val="0"/>
              <w:tabs>
                <w:tab w:val="left" w:pos="851"/>
                <w:tab w:val="center" w:pos="3119"/>
              </w:tabs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MIRRI</w:t>
            </w:r>
            <w:r w:rsidR="005F6FA9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 xml:space="preserve"> SR</w:t>
            </w:r>
          </w:p>
        </w:tc>
        <w:tc>
          <w:tcPr>
            <w:tcW w:w="2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E4DAB9" w14:textId="77777777" w:rsidR="00D373AB" w:rsidRDefault="00000000">
            <w:pPr>
              <w:widowControl w:val="0"/>
              <w:tabs>
                <w:tab w:val="left" w:pos="851"/>
                <w:tab w:val="center" w:pos="3119"/>
              </w:tabs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Vykonávateľ opatrenia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7B2FD" w14:textId="77777777" w:rsidR="00D373AB" w:rsidRDefault="00000000">
            <w:pPr>
              <w:widowControl w:val="0"/>
              <w:tabs>
                <w:tab w:val="left" w:pos="851"/>
                <w:tab w:val="center" w:pos="3119"/>
              </w:tabs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N/A</w:t>
            </w:r>
          </w:p>
        </w:tc>
      </w:tr>
      <w:tr w:rsidR="00D373AB" w14:paraId="07C040ED" w14:textId="77777777" w:rsidTr="009473B0"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7E6E6"/>
            <w:vAlign w:val="center"/>
          </w:tcPr>
          <w:p w14:paraId="3FB26FA5" w14:textId="77777777" w:rsidR="00D373AB" w:rsidRDefault="00000000">
            <w:pPr>
              <w:widowControl w:val="0"/>
              <w:tabs>
                <w:tab w:val="left" w:pos="851"/>
                <w:tab w:val="center" w:pos="3119"/>
              </w:tabs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2.</w:t>
            </w:r>
          </w:p>
        </w:tc>
        <w:tc>
          <w:tcPr>
            <w:tcW w:w="3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71F3F8" w14:textId="18746367" w:rsidR="00D373AB" w:rsidRDefault="00000000">
            <w:pPr>
              <w:widowControl w:val="0"/>
              <w:tabs>
                <w:tab w:val="left" w:pos="851"/>
                <w:tab w:val="center" w:pos="3119"/>
              </w:tabs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Národné Superpočítačové Centrum</w:t>
            </w:r>
            <w:r w:rsidR="005F6FA9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, z. z. p. o.</w:t>
            </w:r>
          </w:p>
        </w:tc>
        <w:tc>
          <w:tcPr>
            <w:tcW w:w="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A94192" w14:textId="77777777" w:rsidR="00D373AB" w:rsidRDefault="00000000">
            <w:pPr>
              <w:widowControl w:val="0"/>
              <w:tabs>
                <w:tab w:val="left" w:pos="851"/>
                <w:tab w:val="center" w:pos="3119"/>
              </w:tabs>
              <w:snapToGrid w:val="0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NSCC</w:t>
            </w:r>
          </w:p>
        </w:tc>
        <w:tc>
          <w:tcPr>
            <w:tcW w:w="2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4534AA" w14:textId="24419839" w:rsidR="00D373AB" w:rsidRDefault="00000000">
            <w:pPr>
              <w:widowControl w:val="0"/>
              <w:tabs>
                <w:tab w:val="left" w:pos="851"/>
                <w:tab w:val="center" w:pos="3119"/>
              </w:tabs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Prijímateľ, realizátor projektu, budúci prevádzkovateľ a </w:t>
            </w:r>
            <w:r w:rsidR="005F6FA9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HPC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 xml:space="preserve"> centrum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22131" w14:textId="77777777" w:rsidR="00D373AB" w:rsidRDefault="00000000">
            <w:pPr>
              <w:widowControl w:val="0"/>
              <w:tabs>
                <w:tab w:val="left" w:pos="851"/>
                <w:tab w:val="center" w:pos="3119"/>
              </w:tabs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N/A</w:t>
            </w:r>
          </w:p>
        </w:tc>
      </w:tr>
    </w:tbl>
    <w:p w14:paraId="75878728" w14:textId="77777777" w:rsidR="00D373AB" w:rsidRDefault="00D373AB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6"/>
          <w:szCs w:val="16"/>
          <w:lang w:val="sk-SK"/>
        </w:rPr>
      </w:pPr>
    </w:p>
    <w:p w14:paraId="6B58F92C" w14:textId="77777777" w:rsidR="00D373AB" w:rsidRDefault="00D373AB">
      <w:pPr>
        <w:tabs>
          <w:tab w:val="left" w:pos="851"/>
          <w:tab w:val="center" w:pos="3119"/>
        </w:tabs>
        <w:rPr>
          <w:rFonts w:ascii="Tahoma" w:hAnsi="Tahoma" w:cs="Tahoma"/>
          <w:color w:val="0070C0"/>
          <w:sz w:val="16"/>
          <w:szCs w:val="16"/>
          <w:lang w:val="sk-SK"/>
        </w:rPr>
      </w:pPr>
    </w:p>
    <w:p w14:paraId="176D5377" w14:textId="77777777" w:rsidR="00D373AB" w:rsidRDefault="00000000" w:rsidP="00D5098B">
      <w:pPr>
        <w:rPr>
          <w:rFonts w:ascii="Tahoma" w:hAnsi="Tahoma" w:cs="Tahoma"/>
          <w:i/>
          <w:color w:val="A6A6A6"/>
          <w:sz w:val="16"/>
          <w:szCs w:val="16"/>
          <w:lang w:val="sk-SK"/>
        </w:rPr>
      </w:pPr>
      <w:r>
        <w:rPr>
          <w:rFonts w:ascii="Tahoma" w:eastAsia="Tahoma" w:hAnsi="Tahoma" w:cs="Tahoma"/>
          <w:i/>
          <w:color w:val="A6A6A6"/>
          <w:sz w:val="16"/>
          <w:szCs w:val="16"/>
          <w:lang w:val="sk-SK"/>
        </w:rPr>
        <w:t xml:space="preserve"> </w:t>
      </w:r>
    </w:p>
    <w:p w14:paraId="087502EF" w14:textId="3FF490DD" w:rsidR="00D373AB" w:rsidRPr="009571F6" w:rsidRDefault="00000000" w:rsidP="009571F6">
      <w:pPr>
        <w:pStyle w:val="Heading1"/>
        <w:numPr>
          <w:ilvl w:val="1"/>
          <w:numId w:val="2"/>
        </w:numPr>
      </w:pPr>
      <w:bookmarkStart w:id="42" w:name="_Toc132362836"/>
      <w:bookmarkStart w:id="43" w:name="_Toc132645635"/>
      <w:bookmarkStart w:id="44" w:name="_Toc132363457"/>
      <w:bookmarkStart w:id="45" w:name="_Toc132646360"/>
      <w:bookmarkStart w:id="46" w:name="_Toc132646279"/>
      <w:bookmarkStart w:id="47" w:name="_Toc132645915"/>
      <w:bookmarkStart w:id="48" w:name="_Toc132646396"/>
      <w:bookmarkStart w:id="49" w:name="_Toc132646431"/>
      <w:bookmarkStart w:id="50" w:name="_Toc132646516"/>
      <w:bookmarkStart w:id="51" w:name="_Toc132646312"/>
      <w:bookmarkStart w:id="52" w:name="_Toc132646551"/>
      <w:bookmarkStart w:id="53" w:name="_Toc132800180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t>Ciele projektu a merateľné ukazovatele</w:t>
      </w:r>
      <w:bookmarkEnd w:id="53"/>
    </w:p>
    <w:p w14:paraId="4596517C" w14:textId="77777777" w:rsidR="009571F6" w:rsidRDefault="009571F6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217C081F" w14:textId="77777777" w:rsidR="008E743B" w:rsidRDefault="008E743B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5993B007" w14:textId="7512DABC" w:rsidR="008E743B" w:rsidRDefault="008E743B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 xml:space="preserve">Cieľom projektu je </w:t>
      </w:r>
      <w:r w:rsidR="006D2262">
        <w:rPr>
          <w:rFonts w:ascii="Tahoma" w:hAnsi="Tahoma" w:cs="Tahoma"/>
          <w:sz w:val="16"/>
          <w:szCs w:val="16"/>
          <w:lang w:val="sk-SK"/>
        </w:rPr>
        <w:t xml:space="preserve">primárne obstaranie s sprevádzkovanie verejne prístupnej národnej vysokovýkonnej výpočtovej infraštruktúry, ktorá bude slúžiť </w:t>
      </w:r>
      <w:r w:rsidR="00D627CF">
        <w:rPr>
          <w:rFonts w:ascii="Tahoma" w:hAnsi="Tahoma" w:cs="Tahoma"/>
          <w:sz w:val="16"/>
          <w:szCs w:val="16"/>
          <w:lang w:val="sk-SK"/>
        </w:rPr>
        <w:t>nielen akademickej obci, ale aj inštitúciám verejnej a štátnej správy, ako aj súkromnému výskumu a vývoju. Ďalším cieľom je aktívna podpora adopcie riešení založených na HPC, teda rozvoj HPC ekosystému.</w:t>
      </w:r>
    </w:p>
    <w:p w14:paraId="0BFE44AC" w14:textId="2E504C81" w:rsidR="00D373AB" w:rsidRDefault="00000000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V</w:t>
      </w:r>
      <w:r w:rsidR="005F6FA9">
        <w:rPr>
          <w:rFonts w:ascii="Tahoma" w:hAnsi="Tahoma" w:cs="Tahoma"/>
          <w:sz w:val="16"/>
          <w:szCs w:val="16"/>
          <w:lang w:val="sk-SK"/>
        </w:rPr>
        <w:t xml:space="preserve"> rámci </w:t>
      </w:r>
      <w:r>
        <w:rPr>
          <w:rFonts w:ascii="Tahoma" w:hAnsi="Tahoma" w:cs="Tahoma"/>
          <w:sz w:val="16"/>
          <w:szCs w:val="16"/>
          <w:lang w:val="sk-SK"/>
        </w:rPr>
        <w:t xml:space="preserve">POO je </w:t>
      </w:r>
      <w:r w:rsidR="009571F6">
        <w:rPr>
          <w:rFonts w:ascii="Tahoma" w:hAnsi="Tahoma" w:cs="Tahoma"/>
          <w:sz w:val="16"/>
          <w:szCs w:val="16"/>
          <w:lang w:val="sk-SK"/>
        </w:rPr>
        <w:t>tento projekt zaradený v komponente 17, investícia 3. K</w:t>
      </w:r>
      <w:r>
        <w:rPr>
          <w:rFonts w:ascii="Tahoma" w:hAnsi="Tahoma" w:cs="Tahoma"/>
          <w:sz w:val="16"/>
          <w:szCs w:val="16"/>
          <w:lang w:val="sk-SK"/>
        </w:rPr>
        <w:t xml:space="preserve">valitatívny ukazovateľ tohto projektu </w:t>
      </w:r>
      <w:r w:rsidR="009571F6">
        <w:rPr>
          <w:rFonts w:ascii="Tahoma" w:hAnsi="Tahoma" w:cs="Tahoma"/>
          <w:sz w:val="16"/>
          <w:szCs w:val="16"/>
          <w:lang w:val="sk-SK"/>
        </w:rPr>
        <w:t>je</w:t>
      </w:r>
      <w:r>
        <w:rPr>
          <w:rFonts w:ascii="Tahoma" w:hAnsi="Tahoma" w:cs="Tahoma"/>
          <w:sz w:val="16"/>
          <w:szCs w:val="16"/>
          <w:lang w:val="sk-SK"/>
        </w:rPr>
        <w:t xml:space="preserve"> „Uvedenie superpočítača do prevádzky a predloženie odovzdávacieho listu“ a termín splnenia </w:t>
      </w:r>
      <w:r w:rsidR="009571F6">
        <w:rPr>
          <w:rFonts w:ascii="Tahoma" w:hAnsi="Tahoma" w:cs="Tahoma"/>
          <w:sz w:val="16"/>
          <w:szCs w:val="16"/>
          <w:lang w:val="sk-SK"/>
        </w:rPr>
        <w:t>míľnika</w:t>
      </w:r>
      <w:r>
        <w:rPr>
          <w:rFonts w:ascii="Tahoma" w:hAnsi="Tahoma" w:cs="Tahoma"/>
          <w:sz w:val="16"/>
          <w:szCs w:val="16"/>
          <w:lang w:val="sk-SK"/>
        </w:rPr>
        <w:t xml:space="preserve"> je štvrtý štvrťrok 2025. </w:t>
      </w:r>
      <w:r w:rsidR="009571F6">
        <w:rPr>
          <w:rFonts w:ascii="Tahoma" w:hAnsi="Tahoma" w:cs="Tahoma"/>
          <w:sz w:val="16"/>
          <w:szCs w:val="16"/>
          <w:lang w:val="sk-SK"/>
        </w:rPr>
        <w:t>Táto investícia je zároveň naviazaná na vybrané opatrenia APDTS. Z týchto opatrení a konkrétnych podmienok POO vyplývajú nasledovné ciele projektu</w:t>
      </w:r>
      <w:r>
        <w:rPr>
          <w:rFonts w:ascii="Tahoma" w:hAnsi="Tahoma" w:cs="Tahoma"/>
          <w:sz w:val="16"/>
          <w:szCs w:val="16"/>
          <w:lang w:val="sk-SK"/>
        </w:rPr>
        <w:t>:</w:t>
      </w:r>
    </w:p>
    <w:p w14:paraId="2A3054E1" w14:textId="77777777" w:rsidR="006D2262" w:rsidRDefault="006D2262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349D36A7" w14:textId="339D35F2" w:rsidR="00D373AB" w:rsidRPr="009571F6" w:rsidRDefault="00000000" w:rsidP="009571F6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9571F6">
        <w:rPr>
          <w:rFonts w:ascii="Tahoma" w:hAnsi="Tahoma" w:cs="Tahoma"/>
          <w:sz w:val="16"/>
          <w:szCs w:val="16"/>
          <w:lang w:val="sk-SK"/>
        </w:rPr>
        <w:t xml:space="preserve">Energetická účinnosť: </w:t>
      </w:r>
      <w:r w:rsidR="00E13024">
        <w:rPr>
          <w:rFonts w:ascii="Tahoma" w:hAnsi="Tahoma" w:cs="Tahoma"/>
          <w:sz w:val="16"/>
          <w:szCs w:val="16"/>
          <w:lang w:val="sk-SK"/>
        </w:rPr>
        <w:t xml:space="preserve">ambícia </w:t>
      </w:r>
      <w:r w:rsidRPr="009571F6">
        <w:rPr>
          <w:rFonts w:ascii="Tahoma" w:hAnsi="Tahoma" w:cs="Tahoma"/>
          <w:sz w:val="16"/>
          <w:szCs w:val="16"/>
          <w:lang w:val="sk-SK"/>
        </w:rPr>
        <w:t>umiest</w:t>
      </w:r>
      <w:r w:rsidR="00E13024">
        <w:rPr>
          <w:rFonts w:ascii="Tahoma" w:hAnsi="Tahoma" w:cs="Tahoma"/>
          <w:sz w:val="16"/>
          <w:szCs w:val="16"/>
          <w:lang w:val="sk-SK"/>
        </w:rPr>
        <w:t>niť sa</w:t>
      </w:r>
      <w:r w:rsidRPr="009571F6">
        <w:rPr>
          <w:rFonts w:ascii="Tahoma" w:hAnsi="Tahoma" w:cs="Tahoma"/>
          <w:sz w:val="16"/>
          <w:szCs w:val="16"/>
          <w:lang w:val="sk-SK"/>
        </w:rPr>
        <w:t xml:space="preserve"> v prvej desiatke svetového rebríčka energeticky účinných superpočítačov „Green 500“ </w:t>
      </w:r>
      <w:r w:rsidR="009571F6">
        <w:rPr>
          <w:rFonts w:ascii="Tahoma" w:hAnsi="Tahoma" w:cs="Tahoma"/>
          <w:sz w:val="16"/>
          <w:szCs w:val="16"/>
          <w:lang w:val="sk-SK"/>
        </w:rPr>
        <w:t>.</w:t>
      </w:r>
    </w:p>
    <w:p w14:paraId="0E46790A" w14:textId="62E6F13C" w:rsidR="00D373AB" w:rsidRPr="009571F6" w:rsidRDefault="00000000" w:rsidP="009571F6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9571F6">
        <w:rPr>
          <w:rFonts w:ascii="Tahoma" w:hAnsi="Tahoma" w:cs="Tahoma"/>
          <w:sz w:val="16"/>
          <w:szCs w:val="16"/>
          <w:lang w:val="sk-SK"/>
        </w:rPr>
        <w:t>Použitie podporných zelených technológií, ktoré prispejú k minimalizácii energetických nárokov na jeho prevádzku</w:t>
      </w:r>
      <w:r w:rsidR="009571F6">
        <w:rPr>
          <w:rFonts w:ascii="Tahoma" w:hAnsi="Tahoma" w:cs="Tahoma"/>
          <w:sz w:val="16"/>
          <w:szCs w:val="16"/>
          <w:lang w:val="sk-SK"/>
        </w:rPr>
        <w:t>.</w:t>
      </w:r>
    </w:p>
    <w:p w14:paraId="117DA8EE" w14:textId="314F0C68" w:rsidR="00D373AB" w:rsidRDefault="00000000" w:rsidP="009571F6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895F3A">
        <w:rPr>
          <w:rFonts w:ascii="Tahoma" w:hAnsi="Tahoma" w:cs="Tahoma"/>
          <w:sz w:val="16"/>
          <w:szCs w:val="16"/>
          <w:lang w:val="sk-SK"/>
        </w:rPr>
        <w:t>Účasť v EuroHPC: poskytovať výpočtový výkon v rámci Spoločného podniku pre európsku vysokovýkonnú výpočtovú techniku (EuroHPC) pre záujemcov zo zúčastnených štátov</w:t>
      </w:r>
      <w:r w:rsidR="009571F6" w:rsidRPr="00895F3A">
        <w:rPr>
          <w:rFonts w:ascii="Tahoma" w:hAnsi="Tahoma" w:cs="Tahoma"/>
          <w:sz w:val="16"/>
          <w:szCs w:val="16"/>
          <w:lang w:val="sk-SK"/>
        </w:rPr>
        <w:t>.</w:t>
      </w:r>
    </w:p>
    <w:p w14:paraId="5B058101" w14:textId="01D0B76C" w:rsidR="004A0518" w:rsidRPr="00E13024" w:rsidRDefault="004A0518" w:rsidP="004A0518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 xml:space="preserve">Vybudovanie </w:t>
      </w:r>
      <w:r w:rsidRPr="00E13024">
        <w:rPr>
          <w:rFonts w:ascii="Tahoma" w:hAnsi="Tahoma" w:cs="Tahoma"/>
          <w:color w:val="000000" w:themeColor="text1"/>
          <w:sz w:val="16"/>
          <w:szCs w:val="16"/>
          <w:lang w:val="sk-SK" w:eastAsia="sk-SK"/>
        </w:rPr>
        <w:t>univerzitn</w:t>
      </w:r>
      <w:r>
        <w:rPr>
          <w:rFonts w:ascii="Tahoma" w:hAnsi="Tahoma" w:cs="Tahoma"/>
          <w:color w:val="000000" w:themeColor="text1"/>
          <w:sz w:val="16"/>
          <w:szCs w:val="16"/>
          <w:lang w:val="sk-SK" w:eastAsia="sk-SK"/>
        </w:rPr>
        <w:t>ých</w:t>
      </w:r>
      <w:r w:rsidRPr="00E13024">
        <w:rPr>
          <w:rFonts w:ascii="Tahoma" w:hAnsi="Tahoma" w:cs="Tahoma"/>
          <w:color w:val="000000" w:themeColor="text1"/>
          <w:sz w:val="16"/>
          <w:szCs w:val="16"/>
          <w:lang w:val="sk-SK" w:eastAsia="sk-SK"/>
        </w:rPr>
        <w:t xml:space="preserve"> špecializovan</w:t>
      </w:r>
      <w:r>
        <w:rPr>
          <w:rFonts w:ascii="Tahoma" w:hAnsi="Tahoma" w:cs="Tahoma"/>
          <w:color w:val="000000" w:themeColor="text1"/>
          <w:sz w:val="16"/>
          <w:szCs w:val="16"/>
          <w:lang w:val="sk-SK" w:eastAsia="sk-SK"/>
        </w:rPr>
        <w:t>ých</w:t>
      </w:r>
      <w:r w:rsidRPr="00E13024">
        <w:rPr>
          <w:rFonts w:ascii="Tahoma" w:hAnsi="Tahoma" w:cs="Tahoma"/>
          <w:color w:val="000000" w:themeColor="text1"/>
          <w:sz w:val="16"/>
          <w:szCs w:val="16"/>
          <w:lang w:val="sk-SK" w:eastAsia="sk-SK"/>
        </w:rPr>
        <w:t xml:space="preserve"> cent</w:t>
      </w:r>
      <w:r>
        <w:rPr>
          <w:rFonts w:ascii="Tahoma" w:hAnsi="Tahoma" w:cs="Tahoma"/>
          <w:color w:val="000000" w:themeColor="text1"/>
          <w:sz w:val="16"/>
          <w:szCs w:val="16"/>
          <w:lang w:val="sk-SK" w:eastAsia="sk-SK"/>
        </w:rPr>
        <w:t xml:space="preserve">ier </w:t>
      </w:r>
      <w:r w:rsidRPr="00E13024">
        <w:rPr>
          <w:rFonts w:ascii="Tahoma" w:hAnsi="Tahoma" w:cs="Tahoma"/>
          <w:color w:val="000000" w:themeColor="text1"/>
          <w:sz w:val="16"/>
          <w:szCs w:val="16"/>
          <w:lang w:val="sk-SK" w:eastAsia="sk-SK"/>
        </w:rPr>
        <w:t>zameran</w:t>
      </w:r>
      <w:r>
        <w:rPr>
          <w:rFonts w:ascii="Tahoma" w:hAnsi="Tahoma" w:cs="Tahoma"/>
          <w:color w:val="000000" w:themeColor="text1"/>
          <w:sz w:val="16"/>
          <w:szCs w:val="16"/>
          <w:lang w:val="sk-SK" w:eastAsia="sk-SK"/>
        </w:rPr>
        <w:t>ých</w:t>
      </w:r>
      <w:r w:rsidRPr="00E13024">
        <w:rPr>
          <w:rFonts w:ascii="Tahoma" w:hAnsi="Tahoma" w:cs="Tahoma"/>
          <w:color w:val="000000" w:themeColor="text1"/>
          <w:sz w:val="16"/>
          <w:szCs w:val="16"/>
          <w:lang w:val="sk-SK" w:eastAsia="sk-SK"/>
        </w:rPr>
        <w:t xml:space="preserve"> na rôzne oblasti </w:t>
      </w:r>
      <w:proofErr w:type="spellStart"/>
      <w:r w:rsidRPr="00E13024">
        <w:rPr>
          <w:rFonts w:ascii="Tahoma" w:hAnsi="Tahoma" w:cs="Tahoma"/>
          <w:color w:val="000000" w:themeColor="text1"/>
          <w:sz w:val="16"/>
          <w:szCs w:val="16"/>
          <w:lang w:val="sk-SK" w:eastAsia="sk-SK"/>
        </w:rPr>
        <w:t>VaV</w:t>
      </w:r>
      <w:proofErr w:type="spellEnd"/>
      <w:r w:rsidRPr="00E13024">
        <w:rPr>
          <w:rFonts w:ascii="Tahoma" w:hAnsi="Tahoma" w:cs="Tahoma"/>
          <w:color w:val="000000" w:themeColor="text1"/>
          <w:sz w:val="16"/>
          <w:szCs w:val="16"/>
          <w:lang w:val="sk-SK" w:eastAsia="sk-SK"/>
        </w:rPr>
        <w:t xml:space="preserve"> opierajúce sa o HPC – centrá </w:t>
      </w:r>
      <w:proofErr w:type="spellStart"/>
      <w:r w:rsidRPr="00E13024">
        <w:rPr>
          <w:rFonts w:ascii="Tahoma" w:hAnsi="Tahoma" w:cs="Tahoma"/>
          <w:color w:val="000000" w:themeColor="text1"/>
          <w:sz w:val="16"/>
          <w:szCs w:val="16"/>
          <w:lang w:val="sk-SK" w:eastAsia="sk-SK"/>
        </w:rPr>
        <w:t>excelentnosti</w:t>
      </w:r>
      <w:proofErr w:type="spellEnd"/>
      <w:r w:rsidRPr="00E13024">
        <w:rPr>
          <w:rFonts w:ascii="Tahoma" w:hAnsi="Tahoma" w:cs="Tahoma"/>
          <w:color w:val="000000" w:themeColor="text1"/>
          <w:sz w:val="16"/>
          <w:szCs w:val="16"/>
          <w:lang w:val="sk-SK" w:eastAsia="sk-SK"/>
        </w:rPr>
        <w:t xml:space="preserve"> v</w:t>
      </w:r>
      <w:r>
        <w:rPr>
          <w:rFonts w:ascii="Tahoma" w:hAnsi="Tahoma" w:cs="Tahoma"/>
          <w:color w:val="000000" w:themeColor="text1"/>
          <w:sz w:val="16"/>
          <w:szCs w:val="16"/>
          <w:lang w:val="sk-SK" w:eastAsia="sk-SK"/>
        </w:rPr>
        <w:t> </w:t>
      </w:r>
      <w:r w:rsidRPr="00E13024">
        <w:rPr>
          <w:rFonts w:ascii="Tahoma" w:hAnsi="Tahoma" w:cs="Tahoma"/>
          <w:color w:val="000000" w:themeColor="text1"/>
          <w:sz w:val="16"/>
          <w:szCs w:val="16"/>
          <w:lang w:val="sk-SK" w:eastAsia="sk-SK"/>
        </w:rPr>
        <w:t>HPC</w:t>
      </w:r>
      <w:r>
        <w:rPr>
          <w:rFonts w:ascii="Tahoma" w:hAnsi="Tahoma" w:cs="Tahoma"/>
          <w:color w:val="000000" w:themeColor="text1"/>
          <w:sz w:val="16"/>
          <w:szCs w:val="16"/>
          <w:lang w:val="sk-SK" w:eastAsia="sk-SK"/>
        </w:rPr>
        <w:t>. (APDTS Opatrenie 2.2.2.4)</w:t>
      </w:r>
    </w:p>
    <w:p w14:paraId="680676B9" w14:textId="2963F8CA" w:rsidR="004A0518" w:rsidRPr="00895F3A" w:rsidRDefault="004A0518" w:rsidP="009571F6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 xml:space="preserve">Vybudovanie siete </w:t>
      </w:r>
      <w:r w:rsidR="007A3C5B">
        <w:rPr>
          <w:rFonts w:ascii="Tahoma" w:hAnsi="Tahoma" w:cs="Tahoma"/>
          <w:sz w:val="16"/>
          <w:szCs w:val="16"/>
          <w:lang w:val="sk-SK"/>
        </w:rPr>
        <w:t>sprostredkovateľov</w:t>
      </w:r>
      <w:r>
        <w:rPr>
          <w:rFonts w:ascii="Tahoma" w:hAnsi="Tahoma" w:cs="Tahoma"/>
          <w:sz w:val="16"/>
          <w:szCs w:val="16"/>
          <w:lang w:val="sk-SK"/>
        </w:rPr>
        <w:t xml:space="preserve"> služieb HPC. (APDTS Opatrenie 2.2.3.5)</w:t>
      </w:r>
    </w:p>
    <w:p w14:paraId="1CC66557" w14:textId="77777777" w:rsidR="00D373AB" w:rsidRPr="00E13024" w:rsidRDefault="00D373AB" w:rsidP="00E13024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022A7AE6" w14:textId="0A3C3F77" w:rsidR="00D373AB" w:rsidRDefault="00E13024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Dlhodobým cieľom SR v oblasti rozvoja HPC by mali byť nasledovné strategické priority s uvedenými predpokladmi pre ich dosiahnutie:</w:t>
      </w:r>
    </w:p>
    <w:p w14:paraId="32B97730" w14:textId="77777777" w:rsidR="00D373AB" w:rsidRDefault="00D373AB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101E37AC" w14:textId="2D139A23" w:rsidR="00D373AB" w:rsidRDefault="00E13024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Stabilita rozvoja - dlhodobá udržateľnosť prevádzky:</w:t>
      </w:r>
    </w:p>
    <w:p w14:paraId="724A73AF" w14:textId="77777777" w:rsidR="00D373AB" w:rsidRDefault="0000000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Zminimalizujeme prevádzkové náklady (kompromis medzi výkonom a spotrebou, používanie OZE)</w:t>
      </w:r>
    </w:p>
    <w:p w14:paraId="2D44F53D" w14:textId="77777777" w:rsidR="00D373AB" w:rsidRDefault="0000000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Pokryjeme dlhodobé náklady na prevádzku (infraštruktúra, personál) mimo ŠR resp. verejných zdrojov</w:t>
      </w:r>
    </w:p>
    <w:p w14:paraId="4980F7F5" w14:textId="77777777" w:rsidR="00D373AB" w:rsidRDefault="0000000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Budeme financovať pravidelný upgrade infraštruktúry zo ŠR resp. verejných zdrojov</w:t>
      </w:r>
    </w:p>
    <w:p w14:paraId="2FD85EC8" w14:textId="6638EF84" w:rsidR="00E13024" w:rsidRDefault="00E13024" w:rsidP="004A0518">
      <w:pPr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lastRenderedPageBreak/>
        <w:t xml:space="preserve">Rastúca </w:t>
      </w:r>
      <w:r w:rsidR="00285940">
        <w:rPr>
          <w:rFonts w:ascii="Tahoma" w:hAnsi="Tahoma" w:cs="Tahoma"/>
          <w:sz w:val="16"/>
          <w:szCs w:val="16"/>
          <w:lang w:val="sk-SK"/>
        </w:rPr>
        <w:t>adopcia</w:t>
      </w:r>
      <w:r>
        <w:rPr>
          <w:rFonts w:ascii="Tahoma" w:hAnsi="Tahoma" w:cs="Tahoma"/>
          <w:sz w:val="16"/>
          <w:szCs w:val="16"/>
          <w:lang w:val="sk-SK"/>
        </w:rPr>
        <w:t xml:space="preserve"> HPC technológií ako nástroja pokročilej digitalizácie:</w:t>
      </w:r>
    </w:p>
    <w:p w14:paraId="0B84E228" w14:textId="0F75A460" w:rsidR="00D373AB" w:rsidRDefault="00000000" w:rsidP="00E13024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Vybudujeme robustný HPC ekosystém</w:t>
      </w:r>
    </w:p>
    <w:p w14:paraId="03E4C39E" w14:textId="77777777" w:rsidR="00D373AB" w:rsidRDefault="0000000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Zostavíme a udržíme silný tím expertnej podpory používateľov</w:t>
      </w:r>
    </w:p>
    <w:p w14:paraId="7A3148E1" w14:textId="77777777" w:rsidR="00D373AB" w:rsidRDefault="0000000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Vytvoríme kapacity na rozvoj HPC v SR (osveta, marketing, produktový manažment v rámci NSCC)</w:t>
      </w:r>
    </w:p>
    <w:p w14:paraId="4FC5E0B0" w14:textId="77777777" w:rsidR="00D373AB" w:rsidRDefault="0000000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Vybudujeme výkonnú sieť sprostredkovateľov (napr. ECDI, univerzity)</w:t>
      </w:r>
    </w:p>
    <w:p w14:paraId="7549B100" w14:textId="77777777" w:rsidR="00D373AB" w:rsidRDefault="00D373AB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2FEB2E60" w14:textId="77777777" w:rsidR="009D0639" w:rsidRDefault="009D0639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 xml:space="preserve">Aktívna rola akademickej obce na digitálnej transformácii: </w:t>
      </w:r>
    </w:p>
    <w:p w14:paraId="271850E0" w14:textId="2F467B6C" w:rsidR="00D373AB" w:rsidRDefault="00000000" w:rsidP="009D063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Zjednotíme akademickú obec k spolupráci</w:t>
      </w:r>
    </w:p>
    <w:p w14:paraId="6AE36F39" w14:textId="77777777" w:rsidR="00D373AB" w:rsidRDefault="0000000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Podporíme vznik HPC sprostredkovateľov na univerzitách (Centers of Excellence)</w:t>
      </w:r>
    </w:p>
    <w:p w14:paraId="322ED358" w14:textId="77777777" w:rsidR="00D373AB" w:rsidRDefault="0000000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Podporíme vznik nových študijných odborov (s priamou väzbou na HPC)</w:t>
      </w:r>
    </w:p>
    <w:p w14:paraId="496EB7B3" w14:textId="77777777" w:rsidR="00D373AB" w:rsidRDefault="0000000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Podporíme vývoj aplikačného softvéru na univerzitách</w:t>
      </w:r>
    </w:p>
    <w:p w14:paraId="378A3AF9" w14:textId="77777777" w:rsidR="00D373AB" w:rsidRDefault="00D373AB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D054057" w14:textId="2386D9DD" w:rsidR="00D373AB" w:rsidRDefault="009D0639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Podpora MSP v adopcii HPC:</w:t>
      </w:r>
    </w:p>
    <w:p w14:paraId="5D823A4C" w14:textId="77777777" w:rsidR="00D373AB" w:rsidRDefault="0000000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Rozbehneme osvetovú činnosť (propagácia, inkubátory...)</w:t>
      </w:r>
    </w:p>
    <w:p w14:paraId="680356A4" w14:textId="77777777" w:rsidR="00D373AB" w:rsidRDefault="0000000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Zabezpečíme synergiu s fin. schémami MH SR na podporu využitia HPC pre malé a stredné podniky (MSP)</w:t>
      </w:r>
    </w:p>
    <w:p w14:paraId="631FB408" w14:textId="77777777" w:rsidR="00D373AB" w:rsidRDefault="00D373AB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524A8AAB" w14:textId="1F4BD670" w:rsidR="00D373AB" w:rsidRDefault="00000000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 xml:space="preserve">Staneme sa </w:t>
      </w:r>
      <w:r w:rsidR="009D0639">
        <w:rPr>
          <w:rFonts w:ascii="Tahoma" w:hAnsi="Tahoma" w:cs="Tahoma"/>
          <w:sz w:val="16"/>
          <w:szCs w:val="16"/>
          <w:lang w:val="sk-SK"/>
        </w:rPr>
        <w:t>rovnocenným partnerom v regióne a európskom HPC ekosystéme</w:t>
      </w:r>
      <w:r w:rsidR="00D5098B">
        <w:rPr>
          <w:rFonts w:ascii="Tahoma" w:hAnsi="Tahoma" w:cs="Tahoma"/>
          <w:sz w:val="16"/>
          <w:szCs w:val="16"/>
          <w:lang w:val="sk-SK"/>
        </w:rPr>
        <w:t>:</w:t>
      </w:r>
    </w:p>
    <w:p w14:paraId="4C303402" w14:textId="24656CDE" w:rsidR="00D373AB" w:rsidRDefault="0000000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Povedieme regionálne podporné programy</w:t>
      </w:r>
      <w:r w:rsidR="009D0639">
        <w:rPr>
          <w:rFonts w:ascii="Tahoma" w:hAnsi="Tahoma" w:cs="Tahoma"/>
          <w:sz w:val="16"/>
          <w:szCs w:val="16"/>
          <w:lang w:val="sk-SK"/>
        </w:rPr>
        <w:t xml:space="preserve"> a aktivity</w:t>
      </w:r>
      <w:r>
        <w:rPr>
          <w:rFonts w:ascii="Tahoma" w:hAnsi="Tahoma" w:cs="Tahoma"/>
          <w:sz w:val="16"/>
          <w:szCs w:val="16"/>
          <w:lang w:val="sk-SK"/>
        </w:rPr>
        <w:t xml:space="preserve"> (osveta, vzdelávanie, podpora)</w:t>
      </w:r>
    </w:p>
    <w:p w14:paraId="70480D7C" w14:textId="77777777" w:rsidR="00D373AB" w:rsidRDefault="00D373AB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173A494F" w14:textId="77777777" w:rsidR="00D373AB" w:rsidRDefault="00D373AB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321B0789" w14:textId="77777777" w:rsidR="00D373AB" w:rsidRDefault="00000000">
      <w:pPr>
        <w:tabs>
          <w:tab w:val="left" w:pos="851"/>
          <w:tab w:val="center" w:pos="3119"/>
        </w:tabs>
        <w:rPr>
          <w:rFonts w:ascii="Tahoma" w:hAnsi="Tahoma" w:cs="Tahoma"/>
          <w:i/>
          <w:color w:val="A6A6A6"/>
          <w:sz w:val="16"/>
          <w:szCs w:val="16"/>
          <w:lang w:val="sk-SK"/>
        </w:rPr>
      </w:pPr>
      <w:r>
        <w:rPr>
          <w:rFonts w:ascii="Tahoma" w:hAnsi="Tahoma" w:cs="Tahoma"/>
          <w:i/>
          <w:color w:val="A6A6A6"/>
          <w:sz w:val="16"/>
          <w:szCs w:val="16"/>
          <w:lang w:val="sk-SK"/>
        </w:rPr>
        <w:tab/>
      </w:r>
    </w:p>
    <w:p w14:paraId="51FCD036" w14:textId="77777777" w:rsidR="00D373AB" w:rsidRDefault="00000000">
      <w:pPr>
        <w:tabs>
          <w:tab w:val="left" w:pos="851"/>
          <w:tab w:val="center" w:pos="3119"/>
        </w:tabs>
        <w:rPr>
          <w:rFonts w:ascii="Tahoma" w:hAnsi="Tahoma" w:cs="Tahoma"/>
          <w:b/>
          <w:sz w:val="16"/>
          <w:szCs w:val="16"/>
          <w:lang w:val="sk-SK"/>
        </w:rPr>
      </w:pPr>
      <w:r>
        <w:rPr>
          <w:rFonts w:ascii="Tahoma" w:hAnsi="Tahoma" w:cs="Tahoma"/>
          <w:b/>
          <w:sz w:val="16"/>
          <w:szCs w:val="16"/>
          <w:lang w:val="sk-SK"/>
        </w:rPr>
        <w:t>Ciele/Merateľné ukazovatele</w:t>
      </w:r>
    </w:p>
    <w:p w14:paraId="6ACC7F5B" w14:textId="77777777" w:rsidR="00D373AB" w:rsidRDefault="00D373AB">
      <w:pPr>
        <w:tabs>
          <w:tab w:val="left" w:pos="851"/>
          <w:tab w:val="center" w:pos="3119"/>
        </w:tabs>
        <w:rPr>
          <w:rFonts w:ascii="Tahoma" w:hAnsi="Tahoma" w:cs="Tahoma"/>
          <w:b/>
          <w:color w:val="0070C0"/>
          <w:sz w:val="16"/>
          <w:szCs w:val="16"/>
          <w:lang w:val="sk-SK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1541"/>
        <w:gridCol w:w="2521"/>
        <w:gridCol w:w="1681"/>
        <w:gridCol w:w="1949"/>
      </w:tblGrid>
      <w:tr w:rsidR="00E13024" w14:paraId="2724028F" w14:textId="77777777" w:rsidTr="006967BF">
        <w:trPr>
          <w:trHeight w:val="10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3EBACC" w14:textId="77777777" w:rsidR="00E13024" w:rsidRDefault="00E1302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13"/>
                <w:szCs w:val="14"/>
                <w:lang w:val="sk-SK" w:eastAsia="sk-SK"/>
              </w:rPr>
            </w:pPr>
          </w:p>
          <w:p w14:paraId="7B90FDF2" w14:textId="77777777" w:rsidR="00E13024" w:rsidRDefault="00E13024">
            <w:pPr>
              <w:widowControl w:val="0"/>
              <w:jc w:val="center"/>
              <w:rPr>
                <w:rFonts w:ascii="Tahoma" w:hAnsi="Tahoma" w:cs="Tahoma"/>
                <w:b/>
                <w:bCs/>
                <w:sz w:val="13"/>
                <w:szCs w:val="14"/>
                <w:lang w:val="sk-SK" w:eastAsia="sk-SK"/>
              </w:rPr>
            </w:pPr>
          </w:p>
          <w:p w14:paraId="046B24F4" w14:textId="77777777" w:rsidR="00E13024" w:rsidRDefault="00E13024">
            <w:pPr>
              <w:widowControl w:val="0"/>
              <w:jc w:val="center"/>
              <w:rPr>
                <w:rFonts w:ascii="Tahoma" w:hAnsi="Tahoma" w:cs="Tahoma"/>
                <w:b/>
                <w:bCs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b/>
                <w:bCs/>
                <w:sz w:val="13"/>
                <w:szCs w:val="14"/>
                <w:lang w:val="sk-SK" w:eastAsia="sk-SK"/>
              </w:rPr>
              <w:t>CIEĽ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D7557D2" w14:textId="77777777" w:rsidR="00E13024" w:rsidRDefault="00E13024">
            <w:pPr>
              <w:widowControl w:val="0"/>
              <w:jc w:val="center"/>
              <w:rPr>
                <w:rFonts w:ascii="Tahoma" w:hAnsi="Tahoma" w:cs="Tahoma"/>
                <w:b/>
                <w:bCs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b/>
                <w:bCs/>
                <w:sz w:val="13"/>
                <w:szCs w:val="14"/>
                <w:lang w:val="sk-SK" w:eastAsia="sk-SK"/>
              </w:rPr>
              <w:t>NÁZOV</w:t>
            </w:r>
            <w:r>
              <w:rPr>
                <w:rFonts w:ascii="Tahoma" w:hAnsi="Tahoma" w:cs="Tahoma"/>
                <w:b/>
                <w:bCs/>
                <w:sz w:val="13"/>
                <w:szCs w:val="14"/>
                <w:lang w:val="sk-SK" w:eastAsia="sk-SK"/>
              </w:rPr>
              <w:br/>
              <w:t>MERATEĽNÉHO A VÝKONNOSTNÉHO UKAZOVATEĽA (KPI)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9B6C917" w14:textId="77777777" w:rsidR="00E13024" w:rsidRDefault="00E13024">
            <w:pPr>
              <w:widowControl w:val="0"/>
              <w:jc w:val="center"/>
              <w:rPr>
                <w:rFonts w:ascii="Tahoma" w:hAnsi="Tahoma" w:cs="Tahoma"/>
                <w:b/>
                <w:bCs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b/>
                <w:bCs/>
                <w:sz w:val="13"/>
                <w:szCs w:val="14"/>
                <w:lang w:val="sk-SK" w:eastAsia="sk-SK"/>
              </w:rPr>
              <w:t>POPIS</w:t>
            </w:r>
            <w:r>
              <w:rPr>
                <w:rFonts w:ascii="Tahoma" w:hAnsi="Tahoma" w:cs="Tahoma"/>
                <w:b/>
                <w:bCs/>
                <w:sz w:val="13"/>
                <w:szCs w:val="14"/>
                <w:lang w:val="sk-SK" w:eastAsia="sk-SK"/>
              </w:rPr>
              <w:br/>
              <w:t>UKAZOVATEĽA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1D82361" w14:textId="77777777" w:rsidR="00E13024" w:rsidRDefault="00E13024">
            <w:pPr>
              <w:widowControl w:val="0"/>
              <w:jc w:val="center"/>
              <w:rPr>
                <w:sz w:val="13"/>
                <w:szCs w:val="14"/>
              </w:rPr>
            </w:pPr>
            <w:r>
              <w:rPr>
                <w:rFonts w:ascii="Tahoma" w:hAnsi="Tahoma" w:cs="Tahoma"/>
                <w:b/>
                <w:bCs/>
                <w:sz w:val="13"/>
                <w:szCs w:val="14"/>
                <w:lang w:val="sk-SK" w:eastAsia="sk-SK"/>
              </w:rPr>
              <w:t xml:space="preserve">TO BE </w:t>
            </w:r>
            <w:r>
              <w:rPr>
                <w:rFonts w:ascii="Tahoma" w:hAnsi="Tahoma" w:cs="Tahoma"/>
                <w:b/>
                <w:bCs/>
                <w:sz w:val="13"/>
                <w:szCs w:val="14"/>
                <w:lang w:val="sk-SK" w:eastAsia="sk-SK"/>
              </w:rPr>
              <w:br/>
              <w:t>MERATEĽNÉ VÝKONNOSTNÉ HODNTOY</w:t>
            </w:r>
            <w:r>
              <w:rPr>
                <w:rFonts w:ascii="Tahoma" w:hAnsi="Tahoma" w:cs="Tahoma"/>
                <w:sz w:val="13"/>
                <w:szCs w:val="14"/>
                <w:lang w:val="sk-SK" w:eastAsia="sk-SK"/>
              </w:rPr>
              <w:br/>
              <w:t>(cieľové hodnoty projektu)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BD1F3B7" w14:textId="77777777" w:rsidR="00E13024" w:rsidRDefault="00E13024">
            <w:pPr>
              <w:widowControl w:val="0"/>
              <w:jc w:val="center"/>
              <w:rPr>
                <w:rFonts w:ascii="Tahoma" w:hAnsi="Tahoma" w:cs="Tahoma"/>
                <w:b/>
                <w:bCs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b/>
                <w:bCs/>
                <w:sz w:val="13"/>
                <w:szCs w:val="14"/>
                <w:lang w:val="sk-SK" w:eastAsia="sk-SK"/>
              </w:rPr>
              <w:t>SPÔSOB ICH MERANIA/</w:t>
            </w:r>
          </w:p>
          <w:p w14:paraId="307F8527" w14:textId="77777777" w:rsidR="00E13024" w:rsidRDefault="00E13024">
            <w:pPr>
              <w:widowControl w:val="0"/>
              <w:jc w:val="center"/>
              <w:rPr>
                <w:sz w:val="13"/>
                <w:szCs w:val="14"/>
              </w:rPr>
            </w:pPr>
            <w:r>
              <w:rPr>
                <w:rFonts w:ascii="Tahoma" w:hAnsi="Tahoma" w:cs="Tahoma"/>
                <w:b/>
                <w:bCs/>
                <w:sz w:val="13"/>
                <w:szCs w:val="14"/>
                <w:lang w:val="sk-SK" w:eastAsia="sk-SK"/>
              </w:rPr>
              <w:t xml:space="preserve">OVERENIA </w:t>
            </w:r>
            <w:r>
              <w:rPr>
                <w:rFonts w:ascii="Tahoma" w:hAnsi="Tahoma" w:cs="Tahoma"/>
                <w:b/>
                <w:bCs/>
                <w:sz w:val="13"/>
                <w:szCs w:val="14"/>
                <w:lang w:val="sk-SK" w:eastAsia="sk-SK"/>
              </w:rPr>
              <w:br/>
              <w:t>PO NASADENÍ</w:t>
            </w:r>
            <w:r>
              <w:rPr>
                <w:rFonts w:ascii="Tahoma" w:hAnsi="Tahoma" w:cs="Tahoma"/>
                <w:b/>
                <w:bCs/>
                <w:sz w:val="13"/>
                <w:szCs w:val="14"/>
                <w:lang w:val="sk-SK" w:eastAsia="sk-SK"/>
              </w:rPr>
              <w:br/>
            </w:r>
            <w:r>
              <w:rPr>
                <w:rFonts w:ascii="Tahoma" w:hAnsi="Tahoma" w:cs="Tahoma"/>
                <w:sz w:val="13"/>
                <w:szCs w:val="14"/>
                <w:lang w:val="sk-SK" w:eastAsia="sk-SK"/>
              </w:rPr>
              <w:t>(overenie naplnenie cieľa)</w:t>
            </w:r>
          </w:p>
        </w:tc>
      </w:tr>
      <w:tr w:rsidR="00E13024" w14:paraId="3D73FD08" w14:textId="77777777" w:rsidTr="006967BF">
        <w:trPr>
          <w:trHeight w:val="26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F62D" w14:textId="77777777" w:rsidR="00E13024" w:rsidRDefault="00E13024">
            <w:pPr>
              <w:widowControl w:val="0"/>
              <w:snapToGrid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Inštalácia a sprevádzkovanie národnej infraštruktúry HPC a jej súčastí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E819" w14:textId="77777777" w:rsidR="00E13024" w:rsidRDefault="00E13024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Výpočtový výkon národnej infraštruktúry HPC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F96C" w14:textId="36B541AB" w:rsidR="00E13024" w:rsidRDefault="00623D51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Výpočtový výkon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A46A" w14:textId="64A1E5C5" w:rsidR="00E13024" w:rsidRDefault="006967BF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 xml:space="preserve">Q4/25 - </w:t>
            </w:r>
            <w:r w:rsidR="00E13024"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 xml:space="preserve">50 </w:t>
            </w:r>
            <w:r w:rsidR="00E13024">
              <w:rPr>
                <w:rFonts w:ascii="Tahoma" w:hAnsi="Tahoma" w:cs="Tahoma"/>
                <w:color w:val="000000"/>
                <w:sz w:val="13"/>
                <w:szCs w:val="14"/>
                <w:lang w:val="sk-SK" w:eastAsia="sk-SK"/>
              </w:rPr>
              <w:t>PFlop/s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7285" w14:textId="77777777" w:rsidR="00E13024" w:rsidRDefault="00E13024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LINPACK bencharking SW</w:t>
            </w:r>
          </w:p>
        </w:tc>
      </w:tr>
      <w:tr w:rsidR="006734F7" w14:paraId="34F0ADC1" w14:textId="77777777" w:rsidTr="006967BF">
        <w:trPr>
          <w:trHeight w:val="26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43C0" w14:textId="6F5E52BC" w:rsidR="006734F7" w:rsidRDefault="00D5098B">
            <w:pPr>
              <w:widowControl w:val="0"/>
              <w:snapToGrid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Ambícia um</w:t>
            </w:r>
            <w:r w:rsidR="00D627CF"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i</w:t>
            </w: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 xml:space="preserve">estniť sa v prvej desiatke rebríčka </w:t>
            </w:r>
            <w:proofErr w:type="spellStart"/>
            <w:r w:rsidR="006734F7"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Green</w:t>
            </w:r>
            <w:proofErr w:type="spellEnd"/>
            <w:r w:rsidR="006734F7"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 xml:space="preserve"> 500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EE6C" w14:textId="1EBBC97D" w:rsidR="006734F7" w:rsidRDefault="00D5098B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 xml:space="preserve">Poradie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Green</w:t>
            </w:r>
            <w:proofErr w:type="spellEnd"/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 xml:space="preserve"> 500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7EA0" w14:textId="2145919E" w:rsidR="006734F7" w:rsidRDefault="00D5098B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Energetická efektívnosť HPC systému alebo jeho časti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8E59" w14:textId="636273B7" w:rsidR="006734F7" w:rsidRDefault="00646F25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1-10 miesto v 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Green</w:t>
            </w:r>
            <w:proofErr w:type="spellEnd"/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 xml:space="preserve"> 500</w:t>
            </w:r>
            <w:r w:rsidR="00D627CF"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br/>
              <w:t>(resp. porovnateľná energetická efektívnosť)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DE72" w14:textId="666E9D50" w:rsidR="006734F7" w:rsidRDefault="00646F25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 xml:space="preserve">Prvý zverejnený rebríček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Green</w:t>
            </w:r>
            <w:proofErr w:type="spellEnd"/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 xml:space="preserve"> 500 po spustení systému.</w:t>
            </w:r>
          </w:p>
        </w:tc>
      </w:tr>
      <w:tr w:rsidR="00E13024" w14:paraId="60A4BBBB" w14:textId="77777777" w:rsidTr="006967BF">
        <w:trPr>
          <w:trHeight w:val="26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92F4" w14:textId="28B74257" w:rsidR="00E13024" w:rsidRDefault="00623D51">
            <w:pPr>
              <w:widowControl w:val="0"/>
              <w:snapToGrid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Minimalizácia energetických nárokov na prevádzku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7947" w14:textId="5E67F986" w:rsidR="00E13024" w:rsidRDefault="00623D51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PUE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5C15" w14:textId="77089622" w:rsidR="00E13024" w:rsidRDefault="00D5098B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Energetická efektívnosť HPC datacentra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C4974" w14:textId="58DB89A4" w:rsidR="00E13024" w:rsidRDefault="00623D51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1.1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AA6FB" w14:textId="79CEAE70" w:rsidR="00E13024" w:rsidRDefault="006967BF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Merania NSCC ako prevádzkovateľa datacentra a HPC infraštruktúry</w:t>
            </w:r>
          </w:p>
        </w:tc>
      </w:tr>
      <w:tr w:rsidR="00E13024" w14:paraId="779C887A" w14:textId="77777777" w:rsidTr="006967BF">
        <w:trPr>
          <w:trHeight w:val="26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A0EB" w14:textId="7A5C3BC2" w:rsidR="00E13024" w:rsidRDefault="00E13024">
            <w:pPr>
              <w:widowControl w:val="0"/>
              <w:snapToGrid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Podporné služby prístupu k HPC pre používateľov</w:t>
            </w:r>
            <w:r w:rsidR="00D5098B"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br/>
            </w:r>
            <w:r w:rsidR="00D5098B"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br/>
              <w:t>(APDTS Opatrenie 2.2.1.3)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4525" w14:textId="77777777" w:rsidR="00E13024" w:rsidRDefault="00E13024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Výzvy pre prístup k vysokovýkonným výpočtovým prostriedkom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53F7" w14:textId="77777777" w:rsidR="00E13024" w:rsidRDefault="00E13024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Rozvinuté a široko dostupné služby prístupu k výpočtovým prostriedkom prostredníctvom Národného superpočítačového centra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5217B" w14:textId="77777777" w:rsidR="00E13024" w:rsidRDefault="00E13024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2026 – min 2. všeobecné výzvy pre projektový prístup v gescii NSCC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24E24" w14:textId="77777777" w:rsidR="00E13024" w:rsidRDefault="00E13024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Interná databáza NSCC ako prevádzkovateľa HPC</w:t>
            </w:r>
          </w:p>
        </w:tc>
      </w:tr>
      <w:tr w:rsidR="00E13024" w14:paraId="6812C872" w14:textId="77777777" w:rsidTr="006967BF">
        <w:trPr>
          <w:trHeight w:val="26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947D" w14:textId="77777777" w:rsidR="00D5098B" w:rsidRDefault="00E13024">
            <w:pPr>
              <w:widowControl w:val="0"/>
              <w:snapToGrid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 xml:space="preserve">Aktívne univerzitné špecializované centrá zamerané na rôzne oblasti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VaV</w:t>
            </w:r>
            <w:proofErr w:type="spellEnd"/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 xml:space="preserve"> opierajúce sa o HPC – centrá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excelentnosti</w:t>
            </w:r>
            <w:proofErr w:type="spellEnd"/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 xml:space="preserve"> v</w:t>
            </w:r>
            <w:r w:rsidR="00D5098B"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 </w:t>
            </w: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HPC</w:t>
            </w:r>
            <w:r w:rsidR="00D5098B"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br/>
            </w:r>
          </w:p>
          <w:p w14:paraId="4B2CA283" w14:textId="33C8FDCE" w:rsidR="00E13024" w:rsidRDefault="00D5098B">
            <w:pPr>
              <w:widowControl w:val="0"/>
              <w:snapToGrid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(</w:t>
            </w:r>
            <w:r w:rsidRPr="00D5098B"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APDTS Opatrenie 2.2.2.4)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4E8A" w14:textId="62AE48E6" w:rsidR="00E13024" w:rsidRDefault="00E13024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 xml:space="preserve">Špecializované </w:t>
            </w:r>
            <w:r w:rsidR="006967BF"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 xml:space="preserve">VaV </w:t>
            </w: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cent</w:t>
            </w:r>
            <w:r w:rsidR="006967BF"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rá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8BA88" w14:textId="5AEF6422" w:rsidR="00E13024" w:rsidRDefault="00E13024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 xml:space="preserve">Založenie špecializovaných </w:t>
            </w:r>
            <w:r w:rsidR="006967BF"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 xml:space="preserve">VaV </w:t>
            </w: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centier na univerzitách zameraných na jednotlivé aplikačné domény využívajúce HPC, vychádzajúce z prioritných oblastí pre inteligentnú špecializáciu. Tieto výpočtové centrá budú úzko spolupracovať s NSCC a budú ponúkať vysoko špecializované riešenia najmä pre akademické využitie, ale aj s presahom na služby pre iných používateľov, ktorí využijú expertízu v oblasti HPC. Zároveň budú mať ambíciu stať sa európskymi Centrami excelentnosti v HPC alebo byť súčasťou takýchto centier v programe Digitálna Európa.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0419" w14:textId="62D18A36" w:rsidR="00E13024" w:rsidRDefault="00E13024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 xml:space="preserve">2026 – </w:t>
            </w:r>
            <w:r w:rsidR="00623D51"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spolu 5 centier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E98E" w14:textId="77777777" w:rsidR="00E13024" w:rsidRDefault="00E13024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Databáza NSCC ako koordinátora centier</w:t>
            </w:r>
          </w:p>
        </w:tc>
      </w:tr>
      <w:tr w:rsidR="00623D51" w14:paraId="4A8E7D72" w14:textId="77777777" w:rsidTr="006967BF">
        <w:trPr>
          <w:trHeight w:val="26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57A2" w14:textId="7D500F45" w:rsidR="00623D51" w:rsidRDefault="00623D51">
            <w:pPr>
              <w:widowControl w:val="0"/>
              <w:snapToGrid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Sieť sprostredkovateľov</w:t>
            </w:r>
            <w:r w:rsidR="006967BF"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 xml:space="preserve"> HPC služieb</w:t>
            </w:r>
            <w:r w:rsidR="00D5098B"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br/>
            </w:r>
            <w:r w:rsidR="00D5098B"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br/>
              <w:t>(</w:t>
            </w:r>
            <w:r w:rsidR="00D5098B" w:rsidRPr="00D5098B"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APDTS Opatrenie 2.2.3.5)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C68E" w14:textId="3C978E27" w:rsidR="00623D51" w:rsidRDefault="006967BF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Sprostredkované kolaboratívne projekty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1438" w14:textId="492C7B2C" w:rsidR="00623D51" w:rsidRDefault="006967BF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 w:rsidRPr="006967BF"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Hoci národná HPC infraštruktúra bude prístupná používateľom naprieč sektormi a regiónmi, lokálne sprostredkovanie podporných nástrojov  a odborného poradenstva môže byť významným faktorom pri rozvoji HPC ekosystému na Slovensku. Sieť ECDI, regionálne inovačné centrá a univerzitné centrá výskumu a vývoja v HPC sa javia ako najvhodnejšie platformy na takúto regionálnu podporu, ktorá bude cielene koordinovaná NSCC.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91FE" w14:textId="35E9C5BF" w:rsidR="00623D51" w:rsidRDefault="006967BF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2026 – 20 sprostredkovaných kolaboratívnych projektov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9B9C" w14:textId="34982183" w:rsidR="00623D51" w:rsidRDefault="006967BF">
            <w:pPr>
              <w:widowControl w:val="0"/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</w:pPr>
            <w:r>
              <w:rPr>
                <w:rFonts w:ascii="Tahoma" w:hAnsi="Tahoma" w:cs="Tahoma"/>
                <w:color w:val="000000" w:themeColor="text1"/>
                <w:sz w:val="13"/>
                <w:szCs w:val="14"/>
                <w:lang w:val="sk-SK" w:eastAsia="sk-SK"/>
              </w:rPr>
              <w:t>Databáza NSCC ako koordinátora opatrenia.</w:t>
            </w:r>
          </w:p>
        </w:tc>
      </w:tr>
    </w:tbl>
    <w:p w14:paraId="33A0B1C7" w14:textId="77777777" w:rsidR="00D373AB" w:rsidRDefault="00D373AB">
      <w:pPr>
        <w:tabs>
          <w:tab w:val="left" w:pos="851"/>
          <w:tab w:val="center" w:pos="3119"/>
        </w:tabs>
        <w:rPr>
          <w:rFonts w:ascii="Tahoma" w:hAnsi="Tahoma" w:cs="Tahoma"/>
          <w:sz w:val="16"/>
          <w:szCs w:val="16"/>
          <w:lang w:val="sk-SK"/>
        </w:rPr>
      </w:pPr>
    </w:p>
    <w:p w14:paraId="36D0FC81" w14:textId="77777777" w:rsidR="00D373AB" w:rsidRDefault="00000000">
      <w:pPr>
        <w:rPr>
          <w:rFonts w:ascii="Tahoma" w:hAnsi="Tahoma" w:cs="Tahoma"/>
          <w:color w:val="A6A6A6"/>
          <w:sz w:val="16"/>
          <w:szCs w:val="16"/>
          <w:lang w:val="sk-SK"/>
        </w:rPr>
      </w:pPr>
      <w:r>
        <w:br w:type="page"/>
      </w:r>
    </w:p>
    <w:p w14:paraId="1494DFA7" w14:textId="77777777" w:rsidR="00D373AB" w:rsidRDefault="00000000">
      <w:pPr>
        <w:pStyle w:val="Heading1"/>
        <w:numPr>
          <w:ilvl w:val="1"/>
          <w:numId w:val="2"/>
        </w:numPr>
      </w:pPr>
      <w:bookmarkStart w:id="54" w:name="_Toc132646296"/>
      <w:bookmarkStart w:id="55" w:name="_Toc132646445"/>
      <w:bookmarkStart w:id="56" w:name="_Toc132646329"/>
      <w:bookmarkStart w:id="57" w:name="_Toc132646377"/>
      <w:bookmarkStart w:id="58" w:name="_Toc132646413"/>
      <w:bookmarkStart w:id="59" w:name="_Toc132646448"/>
      <w:bookmarkStart w:id="60" w:name="_Toc132646326"/>
      <w:bookmarkStart w:id="61" w:name="_Toc132646370"/>
      <w:bookmarkStart w:id="62" w:name="_Toc132646376"/>
      <w:bookmarkStart w:id="63" w:name="_Toc132646532"/>
      <w:bookmarkStart w:id="64" w:name="_Toc132645644"/>
      <w:bookmarkStart w:id="65" w:name="_Toc132645650"/>
      <w:bookmarkStart w:id="66" w:name="_Toc132646406"/>
      <w:bookmarkStart w:id="67" w:name="_Toc132646568"/>
      <w:bookmarkStart w:id="68" w:name="_Toc132646289"/>
      <w:bookmarkStart w:id="69" w:name="_Toc132363473"/>
      <w:bookmarkStart w:id="70" w:name="_Toc132645651"/>
      <w:bookmarkStart w:id="71" w:name="_Toc132645925"/>
      <w:bookmarkStart w:id="72" w:name="_Toc132362852"/>
      <w:bookmarkStart w:id="73" w:name="_Toc132646567"/>
      <w:bookmarkStart w:id="74" w:name="_Toc132646531"/>
      <w:bookmarkStart w:id="75" w:name="_Toc132646411"/>
      <w:bookmarkStart w:id="76" w:name="_Toc132646533"/>
      <w:bookmarkStart w:id="77" w:name="_Toc132646375"/>
      <w:bookmarkStart w:id="78" w:name="_Toc132646294"/>
      <w:bookmarkStart w:id="79" w:name="_Toc132645932"/>
      <w:bookmarkStart w:id="80" w:name="_Toc132645931"/>
      <w:bookmarkStart w:id="81" w:name="_Toc132645649"/>
      <w:bookmarkStart w:id="82" w:name="_Toc132363472"/>
      <w:bookmarkStart w:id="83" w:name="_Toc132646556"/>
      <w:bookmarkStart w:id="84" w:name="_Toc132646566"/>
      <w:bookmarkStart w:id="85" w:name="_Toc132646530"/>
      <w:bookmarkStart w:id="86" w:name="_Toc132646446"/>
      <w:bookmarkStart w:id="87" w:name="_Toc132646412"/>
      <w:bookmarkStart w:id="88" w:name="_Toc132646374"/>
      <w:bookmarkStart w:id="89" w:name="_Toc132646327"/>
      <w:bookmarkStart w:id="90" w:name="_Toc132646295"/>
      <w:bookmarkStart w:id="91" w:name="_Toc132645930"/>
      <w:bookmarkStart w:id="92" w:name="_Toc132645648"/>
      <w:bookmarkStart w:id="93" w:name="_Toc132362851"/>
      <w:bookmarkStart w:id="94" w:name="_Toc132362850"/>
      <w:bookmarkStart w:id="95" w:name="_Toc132646565"/>
      <w:bookmarkStart w:id="96" w:name="_Toc132646409"/>
      <w:bookmarkStart w:id="97" w:name="_Toc132646408"/>
      <w:bookmarkStart w:id="98" w:name="_Toc132646410"/>
      <w:bookmarkStart w:id="99" w:name="_Toc132646528"/>
      <w:bookmarkStart w:id="100" w:name="_Toc132646293"/>
      <w:bookmarkStart w:id="101" w:name="_Toc132645647"/>
      <w:bookmarkStart w:id="102" w:name="_Toc132646564"/>
      <w:bookmarkStart w:id="103" w:name="_Toc132362849"/>
      <w:bookmarkStart w:id="104" w:name="_Toc132645646"/>
      <w:bookmarkStart w:id="105" w:name="_Toc132646529"/>
      <w:bookmarkStart w:id="106" w:name="_Toc132646444"/>
      <w:bookmarkStart w:id="107" w:name="_Toc132646441"/>
      <w:bookmarkStart w:id="108" w:name="_Toc132646322"/>
      <w:bookmarkStart w:id="109" w:name="_Toc132645928"/>
      <w:bookmarkStart w:id="110" w:name="_Toc132363470"/>
      <w:bookmarkStart w:id="111" w:name="_Toc132362848"/>
      <w:bookmarkStart w:id="112" w:name="_Toc132645927"/>
      <w:bookmarkStart w:id="113" w:name="_Toc132646291"/>
      <w:bookmarkStart w:id="114" w:name="_Toc132646324"/>
      <w:bookmarkStart w:id="115" w:name="_Toc132646372"/>
      <w:bookmarkStart w:id="116" w:name="_Toc132363469"/>
      <w:bookmarkStart w:id="117" w:name="_Toc132646373"/>
      <w:bookmarkStart w:id="118" w:name="_Toc132646527"/>
      <w:bookmarkStart w:id="119" w:name="_Toc132646442"/>
      <w:bookmarkStart w:id="120" w:name="_Toc132646292"/>
      <w:bookmarkStart w:id="121" w:name="_Toc132646371"/>
      <w:bookmarkStart w:id="122" w:name="_Toc132646323"/>
      <w:bookmarkStart w:id="123" w:name="_Toc132646443"/>
      <w:bookmarkStart w:id="124" w:name="_Toc132646563"/>
      <w:bookmarkStart w:id="125" w:name="_Toc132645926"/>
      <w:bookmarkStart w:id="126" w:name="_Toc132363468"/>
      <w:bookmarkStart w:id="127" w:name="_Toc132362847"/>
      <w:bookmarkStart w:id="128" w:name="_Toc132646562"/>
      <w:bookmarkStart w:id="129" w:name="_Toc132646447"/>
      <w:bookmarkStart w:id="130" w:name="_Toc132646325"/>
      <w:bookmarkStart w:id="131" w:name="_Toc132646407"/>
      <w:bookmarkStart w:id="132" w:name="_Toc132646328"/>
      <w:bookmarkStart w:id="133" w:name="_Toc132645929"/>
      <w:bookmarkStart w:id="134" w:name="_Toc132646290"/>
      <w:bookmarkStart w:id="135" w:name="_Toc132645645"/>
      <w:bookmarkStart w:id="136" w:name="_Toc132363467"/>
      <w:bookmarkStart w:id="137" w:name="_Toc132362846"/>
      <w:bookmarkStart w:id="138" w:name="_Toc132646561"/>
      <w:bookmarkStart w:id="139" w:name="_Toc132646526"/>
      <w:bookmarkStart w:id="140" w:name="_Toc132646525"/>
      <w:bookmarkStart w:id="141" w:name="_Toc132646440"/>
      <w:bookmarkStart w:id="142" w:name="_Toc132646369"/>
      <w:bookmarkStart w:id="143" w:name="_Toc132646558"/>
      <w:bookmarkStart w:id="144" w:name="_Toc132646321"/>
      <w:bookmarkStart w:id="145" w:name="_Toc132645642"/>
      <w:bookmarkStart w:id="146" w:name="_Toc132646319"/>
      <w:bookmarkStart w:id="147" w:name="_Toc132363466"/>
      <w:bookmarkStart w:id="148" w:name="_Toc132362844"/>
      <w:bookmarkStart w:id="149" w:name="_Toc132362845"/>
      <w:bookmarkStart w:id="150" w:name="_Toc132646560"/>
      <w:bookmarkStart w:id="151" w:name="_Toc132646522"/>
      <w:bookmarkStart w:id="152" w:name="_Toc132646404"/>
      <w:bookmarkStart w:id="153" w:name="_Toc132646405"/>
      <w:bookmarkStart w:id="154" w:name="_Toc132646366"/>
      <w:bookmarkStart w:id="155" w:name="_Toc132646287"/>
      <w:bookmarkStart w:id="156" w:name="_Toc132646288"/>
      <w:bookmarkStart w:id="157" w:name="_Toc132645924"/>
      <w:bookmarkStart w:id="158" w:name="_Toc132645643"/>
      <w:bookmarkStart w:id="159" w:name="_Toc132363465"/>
      <w:bookmarkStart w:id="160" w:name="_Toc132646559"/>
      <w:bookmarkStart w:id="161" w:name="_Toc132646524"/>
      <w:bookmarkStart w:id="162" w:name="_Toc132646437"/>
      <w:bookmarkStart w:id="163" w:name="_Toc132646400"/>
      <w:bookmarkStart w:id="164" w:name="_Toc132363464"/>
      <w:bookmarkStart w:id="165" w:name="_Toc132646368"/>
      <w:bookmarkStart w:id="166" w:name="_Toc132646367"/>
      <w:bookmarkStart w:id="167" w:name="_Toc132646403"/>
      <w:bookmarkStart w:id="168" w:name="_Toc132646438"/>
      <w:bookmarkStart w:id="169" w:name="_Toc132646523"/>
      <w:bookmarkStart w:id="170" w:name="_Toc132645923"/>
      <w:bookmarkStart w:id="171" w:name="_Toc132646283"/>
      <w:bookmarkStart w:id="172" w:name="_Toc132646318"/>
      <w:bookmarkStart w:id="173" w:name="_Toc132646435"/>
      <w:bookmarkStart w:id="174" w:name="_Toc132646286"/>
      <w:bookmarkStart w:id="175" w:name="_Toc132645922"/>
      <w:bookmarkStart w:id="176" w:name="_Toc132646316"/>
      <w:bookmarkStart w:id="177" w:name="_Toc132362843"/>
      <w:bookmarkStart w:id="178" w:name="_Toc132645921"/>
      <w:bookmarkStart w:id="179" w:name="_Toc132645919"/>
      <w:bookmarkStart w:id="180" w:name="_Toc132645641"/>
      <w:bookmarkStart w:id="181" w:name="_Toc132363463"/>
      <w:bookmarkStart w:id="182" w:name="_Toc132362842"/>
      <w:bookmarkStart w:id="183" w:name="_Toc132646557"/>
      <w:bookmarkStart w:id="184" w:name="_Toc132646436"/>
      <w:bookmarkStart w:id="185" w:name="_Toc132646282"/>
      <w:bookmarkStart w:id="186" w:name="_Toc132646365"/>
      <w:bookmarkStart w:id="187" w:name="_Toc132646317"/>
      <w:bookmarkStart w:id="188" w:name="_Toc132362838"/>
      <w:bookmarkStart w:id="189" w:name="_Toc132645920"/>
      <w:bookmarkStart w:id="190" w:name="_Toc132645640"/>
      <w:bookmarkStart w:id="191" w:name="_Toc132645639"/>
      <w:bookmarkStart w:id="192" w:name="_Toc132363462"/>
      <w:bookmarkStart w:id="193" w:name="_Toc132362841"/>
      <w:bookmarkStart w:id="194" w:name="_Toc132646521"/>
      <w:bookmarkStart w:id="195" w:name="_Toc132646315"/>
      <w:bookmarkStart w:id="196" w:name="_Toc132646401"/>
      <w:bookmarkStart w:id="197" w:name="_Toc132646402"/>
      <w:bookmarkStart w:id="198" w:name="_Toc132645918"/>
      <w:bookmarkStart w:id="199" w:name="_Toc132646284"/>
      <w:bookmarkStart w:id="200" w:name="_Toc132646285"/>
      <w:bookmarkStart w:id="201" w:name="_Toc132363460"/>
      <w:bookmarkStart w:id="202" w:name="_Toc132362840"/>
      <w:bookmarkStart w:id="203" w:name="_Toc132363461"/>
      <w:bookmarkStart w:id="204" w:name="_Toc132646555"/>
      <w:bookmarkStart w:id="205" w:name="_Toc132646520"/>
      <w:bookmarkStart w:id="206" w:name="_Toc132646433"/>
      <w:bookmarkStart w:id="207" w:name="_Toc132646439"/>
      <w:bookmarkStart w:id="208" w:name="_Toc132646518"/>
      <w:bookmarkStart w:id="209" w:name="_Toc132646320"/>
      <w:bookmarkStart w:id="210" w:name="_Toc132646281"/>
      <w:bookmarkStart w:id="211" w:name="_Toc132645637"/>
      <w:bookmarkStart w:id="212" w:name="_Toc132362839"/>
      <w:bookmarkStart w:id="213" w:name="_Toc132646554"/>
      <w:bookmarkStart w:id="214" w:name="_Toc132646519"/>
      <w:bookmarkStart w:id="215" w:name="_Toc132646434"/>
      <w:bookmarkStart w:id="216" w:name="_Toc132646399"/>
      <w:bookmarkStart w:id="217" w:name="_Toc132646364"/>
      <w:bookmarkStart w:id="218" w:name="_Toc132363471"/>
      <w:bookmarkStart w:id="219" w:name="_Toc132363459"/>
      <w:bookmarkStart w:id="220" w:name="_Toc132645917"/>
      <w:bookmarkStart w:id="221" w:name="_Toc132646314"/>
      <w:bookmarkStart w:id="222" w:name="_Toc132645638"/>
      <w:bookmarkStart w:id="223" w:name="_Toc132646362"/>
      <w:bookmarkStart w:id="224" w:name="_Toc132646398"/>
      <w:bookmarkStart w:id="225" w:name="_Toc132646553"/>
      <w:bookmarkStart w:id="226" w:name="_Toc132646363"/>
      <w:bookmarkStart w:id="227" w:name="_Toc132800181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r>
        <w:lastRenderedPageBreak/>
        <w:t>Špecifikácia potrieb koncového používateľa</w:t>
      </w:r>
      <w:bookmarkEnd w:id="227"/>
    </w:p>
    <w:p w14:paraId="04B23D10" w14:textId="7C6AD9BE" w:rsidR="00D373AB" w:rsidRDefault="00000000">
      <w:pPr>
        <w:pStyle w:val="paragraph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Prieskum aktuálnych a budúcich potrieb HPC používateľov na Slovensku bol vykonaný pod záštitou CSČ SAV. Respondenti uviedli pracovisko, charakter výpočtových úloh, aktuálne a budúce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požiadavky na výpočtovú kapacitu, úložisko a ďalšie parametre. Respondenti avizovali nasledujúci dopyt po službách HPC, viď nasledovná tabuľka:</w:t>
      </w:r>
    </w:p>
    <w:tbl>
      <w:tblPr>
        <w:tblW w:w="9181" w:type="dxa"/>
        <w:tblInd w:w="108" w:type="dxa"/>
        <w:tblLook w:val="04A0" w:firstRow="1" w:lastRow="0" w:firstColumn="1" w:lastColumn="0" w:noHBand="0" w:noVBand="1"/>
      </w:tblPr>
      <w:tblGrid>
        <w:gridCol w:w="2966"/>
        <w:gridCol w:w="2260"/>
        <w:gridCol w:w="1978"/>
        <w:gridCol w:w="282"/>
        <w:gridCol w:w="1695"/>
      </w:tblGrid>
      <w:tr w:rsidR="00EB69F3" w:rsidRPr="00045C3D" w14:paraId="1F911C20" w14:textId="77777777" w:rsidTr="00EB69F3">
        <w:trPr>
          <w:trHeight w:val="450"/>
        </w:trPr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2F2F2"/>
            <w:vAlign w:val="center"/>
            <w:hideMark/>
          </w:tcPr>
          <w:p w14:paraId="402878E8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b/>
                <w:bCs/>
                <w:color w:val="000000"/>
                <w:sz w:val="15"/>
                <w:szCs w:val="15"/>
                <w:lang w:val="en-SK" w:eastAsia="en-GB"/>
              </w:rPr>
              <w:t>Pracovisko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2F2F2"/>
            <w:noWrap/>
            <w:vAlign w:val="center"/>
            <w:hideMark/>
          </w:tcPr>
          <w:p w14:paraId="6BB333DF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b/>
                <w:bCs/>
                <w:color w:val="000000"/>
                <w:sz w:val="15"/>
                <w:szCs w:val="15"/>
                <w:lang w:val="en-SK" w:eastAsia="en-GB"/>
              </w:rPr>
              <w:t>Predmet výskumu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2F2F2"/>
            <w:vAlign w:val="center"/>
            <w:hideMark/>
          </w:tcPr>
          <w:p w14:paraId="54D9D8D0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b/>
                <w:bCs/>
                <w:color w:val="000000"/>
                <w:sz w:val="15"/>
                <w:szCs w:val="15"/>
                <w:lang w:val="en-SK" w:eastAsia="en-GB"/>
              </w:rPr>
              <w:t>Súčasná požiadavka</w:t>
            </w:r>
            <w:r w:rsidRPr="00045C3D">
              <w:rPr>
                <w:rFonts w:ascii="Tahoma" w:hAnsi="Tahoma" w:cs="Tahoma"/>
                <w:b/>
                <w:bCs/>
                <w:color w:val="000000"/>
                <w:sz w:val="15"/>
                <w:szCs w:val="15"/>
                <w:lang w:val="en-SK" w:eastAsia="en-GB"/>
              </w:rPr>
              <w:br/>
              <w:t>(core-hours na projekt)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2F2F2"/>
            <w:vAlign w:val="center"/>
            <w:hideMark/>
          </w:tcPr>
          <w:p w14:paraId="445F857E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b/>
                <w:bCs/>
                <w:color w:val="000000"/>
                <w:sz w:val="15"/>
                <w:szCs w:val="15"/>
                <w:lang w:val="en-SK" w:eastAsia="en-GB"/>
              </w:rPr>
              <w:t xml:space="preserve">Horizont 5 rokov </w:t>
            </w:r>
            <w:r w:rsidRPr="00045C3D">
              <w:rPr>
                <w:rFonts w:ascii="Tahoma" w:hAnsi="Tahoma" w:cs="Tahoma"/>
                <w:b/>
                <w:bCs/>
                <w:color w:val="000000"/>
                <w:sz w:val="15"/>
                <w:szCs w:val="15"/>
                <w:lang w:val="en-SK" w:eastAsia="en-GB"/>
              </w:rPr>
              <w:br/>
              <w:t>(core-hours na projekt)</w:t>
            </w:r>
          </w:p>
        </w:tc>
      </w:tr>
      <w:tr w:rsidR="00045C3D" w:rsidRPr="00045C3D" w14:paraId="164E07FD" w14:textId="77777777" w:rsidTr="00EB69F3">
        <w:trPr>
          <w:trHeight w:val="450"/>
        </w:trPr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0B9F0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Prírodovedecká fakulta</w:t>
            </w: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br/>
              <w:t>Univerzita Komenského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9FC82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Materiálová veda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8FCA4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&gt; 10 000 000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0EB42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10 000 000</w:t>
            </w:r>
          </w:p>
        </w:tc>
      </w:tr>
      <w:tr w:rsidR="00045C3D" w:rsidRPr="00045C3D" w14:paraId="68D77680" w14:textId="77777777" w:rsidTr="00EB69F3">
        <w:trPr>
          <w:trHeight w:val="450"/>
        </w:trPr>
        <w:tc>
          <w:tcPr>
            <w:tcW w:w="29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5338D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Fakulta prírodných vied</w:t>
            </w: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br/>
              <w:t>Univerzita Mateja Bela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77C5E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Teoretická a počítačová chémia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AFB50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&gt; 10 000 000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80BBF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10 000 000</w:t>
            </w:r>
          </w:p>
        </w:tc>
      </w:tr>
      <w:tr w:rsidR="00045C3D" w:rsidRPr="00045C3D" w14:paraId="195CD7DB" w14:textId="77777777" w:rsidTr="00EB69F3">
        <w:trPr>
          <w:trHeight w:val="450"/>
        </w:trPr>
        <w:tc>
          <w:tcPr>
            <w:tcW w:w="29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E9FDB8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740EE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Kvantová chémia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2B012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1 000 000 - 10 000 000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9728F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50 000 000</w:t>
            </w:r>
          </w:p>
        </w:tc>
      </w:tr>
      <w:tr w:rsidR="00045C3D" w:rsidRPr="00045C3D" w14:paraId="36F5A97C" w14:textId="77777777" w:rsidTr="00EB69F3">
        <w:trPr>
          <w:trHeight w:val="675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1A25C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Fakulta chemickej a potravinárskej technológie</w:t>
            </w: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br/>
              <w:t>Slovenská technická univerzita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E66EF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Chémia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FAB8D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&gt; 10 000 000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51A10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50 000 000</w:t>
            </w:r>
          </w:p>
        </w:tc>
      </w:tr>
      <w:tr w:rsidR="00045C3D" w:rsidRPr="00045C3D" w14:paraId="003F93D0" w14:textId="77777777" w:rsidTr="00EB69F3">
        <w:trPr>
          <w:trHeight w:val="225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3D371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Ústav anorganickej chémie, SAV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33DEA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Kvantová chémia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B05C3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&gt; 10 000 000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8D5D1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20 000 000</w:t>
            </w:r>
          </w:p>
        </w:tc>
      </w:tr>
      <w:tr w:rsidR="00045C3D" w:rsidRPr="00045C3D" w14:paraId="7F2532AB" w14:textId="77777777" w:rsidTr="00EB69F3">
        <w:trPr>
          <w:trHeight w:val="225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640B8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Ústav informatiky, SAV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DA87D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Materiálová veda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59CDF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1 000 000 - 10 000 000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01292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40 000 000</w:t>
            </w:r>
          </w:p>
        </w:tc>
      </w:tr>
      <w:tr w:rsidR="00045C3D" w:rsidRPr="00045C3D" w14:paraId="0285876E" w14:textId="77777777" w:rsidTr="00EB69F3">
        <w:trPr>
          <w:trHeight w:val="675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1040E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Fakulta matematiky, fyziky a informatiky</w:t>
            </w: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br/>
              <w:t>Univerzita Komenského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56174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Fyzika kondenzovaných látok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88D35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1 000 000 - 10 000 000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E23F0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10 000 000</w:t>
            </w:r>
          </w:p>
        </w:tc>
      </w:tr>
      <w:tr w:rsidR="00045C3D" w:rsidRPr="00045C3D" w14:paraId="79E0ECAA" w14:textId="77777777" w:rsidTr="00EB69F3">
        <w:trPr>
          <w:trHeight w:val="225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94740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Ústav anorganickej chémie, SAV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F3640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Pokročilé materiály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0F11F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1 000 000 - 10 000 000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EAC1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10 000 000</w:t>
            </w:r>
          </w:p>
        </w:tc>
      </w:tr>
      <w:tr w:rsidR="00045C3D" w:rsidRPr="00045C3D" w14:paraId="34E05D84" w14:textId="77777777" w:rsidTr="00EB69F3">
        <w:trPr>
          <w:trHeight w:val="450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42DF1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Neuroimunologický ústav, SAV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35DE2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Biofyzika, štruktúrna biológia, proteínová chémia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546B8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1 000 000 - 10 000 000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6F3B6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1 900 000</w:t>
            </w:r>
          </w:p>
        </w:tc>
      </w:tr>
      <w:tr w:rsidR="00045C3D" w:rsidRPr="00045C3D" w14:paraId="29E8439C" w14:textId="77777777" w:rsidTr="00EB69F3">
        <w:trPr>
          <w:trHeight w:val="450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066F9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Ústav fyzikálnych vied,</w:t>
            </w: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br/>
              <w:t>Univerzita Pavla Jozefa Šafárika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B2603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Astrofyzika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E2CD6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100 000 - 1 000 000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AEF3A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10 000 000</w:t>
            </w:r>
          </w:p>
        </w:tc>
      </w:tr>
      <w:tr w:rsidR="00045C3D" w:rsidRPr="00045C3D" w14:paraId="079A458E" w14:textId="77777777" w:rsidTr="00EB69F3">
        <w:trPr>
          <w:trHeight w:val="225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692B6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Fyzikálny ústav, SAV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71E32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Materiálové vedy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E21FA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1 000 000 - 10 000 000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A6E67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10 000 000</w:t>
            </w:r>
          </w:p>
        </w:tc>
      </w:tr>
      <w:tr w:rsidR="00045C3D" w:rsidRPr="00045C3D" w14:paraId="3006F140" w14:textId="77777777" w:rsidTr="00EB69F3">
        <w:trPr>
          <w:trHeight w:val="225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B0DC9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Ústav polymérov, SAV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CB082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Chémia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C58EC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1 000 000 - 10 000 000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C2C93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1 000 000 - 10 000 000</w:t>
            </w:r>
          </w:p>
        </w:tc>
      </w:tr>
      <w:tr w:rsidR="00045C3D" w:rsidRPr="00045C3D" w14:paraId="24D3B7E8" w14:textId="77777777" w:rsidTr="00EB69F3">
        <w:trPr>
          <w:trHeight w:val="450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B6C8B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Prírodovedecká fakulta</w:t>
            </w: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br/>
              <w:t>Univerzita Komenského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FCFF6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Kvantová chémia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9E470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&lt; 100 000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D6EE2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&lt; 100 000</w:t>
            </w:r>
          </w:p>
        </w:tc>
      </w:tr>
      <w:tr w:rsidR="00045C3D" w:rsidRPr="00045C3D" w14:paraId="70FFBBAC" w14:textId="77777777" w:rsidTr="00EB69F3">
        <w:trPr>
          <w:trHeight w:val="675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31705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Fakulta elektrotechniky a informatiky</w:t>
            </w: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br/>
              <w:t>Technická univerzita v Košiciach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70F8E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Spracovanie reči a jazyka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C9446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&lt; 100 000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12B88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100 000 - 1 000 000</w:t>
            </w:r>
          </w:p>
        </w:tc>
      </w:tr>
      <w:tr w:rsidR="00045C3D" w:rsidRPr="00045C3D" w14:paraId="57EF43E8" w14:textId="77777777" w:rsidTr="00EB69F3">
        <w:trPr>
          <w:trHeight w:val="450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FA953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Prírodovedecká fakulta</w:t>
            </w: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br/>
              <w:t>Univerzita Komenského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FA819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Materiálová chémia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0A3D9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100 000 - 1 000 000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A6A5C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100 000 - 1 000 000</w:t>
            </w:r>
          </w:p>
        </w:tc>
      </w:tr>
      <w:tr w:rsidR="00045C3D" w:rsidRPr="00045C3D" w14:paraId="608CAA6A" w14:textId="77777777" w:rsidTr="00EB69F3">
        <w:trPr>
          <w:trHeight w:val="225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D0F33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Ústav vied o Zemi, SAV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CCAEE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Geofyzika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D72A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100 000 - 1 000 000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843C5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100 000 - 1 000 000</w:t>
            </w:r>
          </w:p>
        </w:tc>
      </w:tr>
      <w:tr w:rsidR="00045C3D" w:rsidRPr="00045C3D" w14:paraId="385B6242" w14:textId="77777777" w:rsidTr="00EB69F3">
        <w:trPr>
          <w:trHeight w:val="450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29A26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Ústav experimentálnej fyziky</w:t>
            </w: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br/>
              <w:t>SAV Košice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05E06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Časticová fyzika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3EB30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100 000 - 1 000 000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27691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100 000 - 1 000 000</w:t>
            </w:r>
          </w:p>
        </w:tc>
      </w:tr>
      <w:tr w:rsidR="00045C3D" w:rsidRPr="00045C3D" w14:paraId="2D273283" w14:textId="77777777" w:rsidTr="00EB69F3">
        <w:trPr>
          <w:trHeight w:val="795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53FB1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Chemický ústav, SAV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9283E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Výpočtová chémia, proteomika, biofyzika, molekulová biológia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99C2E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100 000 - 1 000 000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95964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100 000 - 1 000 000</w:t>
            </w:r>
          </w:p>
        </w:tc>
      </w:tr>
      <w:tr w:rsidR="00045C3D" w:rsidRPr="00045C3D" w14:paraId="67B7DC62" w14:textId="77777777" w:rsidTr="00EB69F3">
        <w:trPr>
          <w:trHeight w:val="450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9959E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Prírodovedecká fakulta</w:t>
            </w: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br/>
              <w:t>Univerzita Komenského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DB9EB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Teoretická a počítačová chémia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25F50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100 000 - 1 000 000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F4C1D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100 000 - 1 000 000</w:t>
            </w:r>
          </w:p>
        </w:tc>
      </w:tr>
      <w:tr w:rsidR="00045C3D" w:rsidRPr="00045C3D" w14:paraId="66076388" w14:textId="77777777" w:rsidTr="00EB69F3">
        <w:trPr>
          <w:trHeight w:val="675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E925E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Fakulta matematiky, fyziky a informatiky</w:t>
            </w: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br/>
              <w:t>Univerzita Komenského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1CFCD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Počítačové videnie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DD964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&lt; 100 000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9BD14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&lt; 100 000</w:t>
            </w:r>
          </w:p>
        </w:tc>
      </w:tr>
      <w:tr w:rsidR="00045C3D" w:rsidRPr="00045C3D" w14:paraId="3C3A9A40" w14:textId="77777777" w:rsidTr="00EB69F3">
        <w:trPr>
          <w:trHeight w:val="675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24C3F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Fakulta chemickej a potravinárskej technológie</w:t>
            </w: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br/>
              <w:t>Slovenská technická univerzita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3DFAE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Počítačová chémia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90B65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100 000 - 1 000 000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72531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100 000 - 1 000 000</w:t>
            </w:r>
          </w:p>
        </w:tc>
      </w:tr>
      <w:tr w:rsidR="00045C3D" w:rsidRPr="00045C3D" w14:paraId="31CFB150" w14:textId="77777777" w:rsidTr="00EB69F3">
        <w:trPr>
          <w:trHeight w:val="675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4DBC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spoločnosť Geodeticca Vision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EFFE3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Zber, spracovanie, analýza a publikovanie veľkých geopriestorových dát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B7219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&lt; 100 000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4D944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100 000 - 1 000 000</w:t>
            </w:r>
          </w:p>
        </w:tc>
      </w:tr>
      <w:tr w:rsidR="00045C3D" w:rsidRPr="00045C3D" w14:paraId="5FFABB6A" w14:textId="77777777" w:rsidTr="00EB69F3">
        <w:trPr>
          <w:trHeight w:val="435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218F7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Elektrotechnický ústav, SAV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47979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Superconducting electric power devices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4E436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&lt; 100 000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3A982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&lt; 100 000</w:t>
            </w:r>
          </w:p>
        </w:tc>
      </w:tr>
      <w:tr w:rsidR="00045C3D" w:rsidRPr="00045C3D" w14:paraId="38DD6722" w14:textId="77777777" w:rsidTr="00EB69F3">
        <w:trPr>
          <w:trHeight w:val="492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4AD85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Inštitút finančnej politiky, Ministerstvo financií SR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1A341" w14:textId="77777777" w:rsidR="00045C3D" w:rsidRPr="00045C3D" w:rsidRDefault="00045C3D" w:rsidP="00045C3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Ekonómia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0C994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&lt; 100 000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23238" w14:textId="77777777" w:rsidR="00045C3D" w:rsidRPr="00045C3D" w:rsidRDefault="00045C3D" w:rsidP="00045C3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</w:pPr>
            <w:r w:rsidRPr="00045C3D">
              <w:rPr>
                <w:rFonts w:ascii="Tahoma" w:hAnsi="Tahoma" w:cs="Tahoma"/>
                <w:color w:val="000000"/>
                <w:sz w:val="15"/>
                <w:szCs w:val="15"/>
                <w:lang w:val="en-SK" w:eastAsia="en-GB"/>
              </w:rPr>
              <w:t>&lt; 100 000</w:t>
            </w:r>
          </w:p>
        </w:tc>
      </w:tr>
    </w:tbl>
    <w:p w14:paraId="448ECEE5" w14:textId="66ED264C" w:rsidR="009027D1" w:rsidRPr="00045C3D" w:rsidRDefault="009027D1" w:rsidP="00045C3D">
      <w:pPr>
        <w:pStyle w:val="paragraph"/>
        <w:jc w:val="both"/>
        <w:rPr>
          <w:rFonts w:ascii="Tahoma" w:hAnsi="Tahoma" w:cs="Tahoma"/>
          <w:sz w:val="16"/>
          <w:szCs w:val="16"/>
        </w:rPr>
      </w:pPr>
      <w:r w:rsidRPr="00045C3D">
        <w:rPr>
          <w:rFonts w:ascii="Calibri" w:eastAsia="Calibri" w:hAnsi="Calibri"/>
          <w:b/>
          <w:bCs/>
          <w:color w:val="44546A"/>
          <w:sz w:val="18"/>
          <w:szCs w:val="18"/>
          <w:lang w:eastAsia="en-US"/>
        </w:rPr>
        <w:t xml:space="preserve">Tabuľka1: </w:t>
      </w:r>
      <w:r w:rsidR="00045C3D" w:rsidRPr="00045C3D">
        <w:rPr>
          <w:rFonts w:ascii="Calibri" w:eastAsia="Calibri" w:hAnsi="Calibri"/>
          <w:color w:val="44546A"/>
          <w:sz w:val="18"/>
          <w:szCs w:val="18"/>
          <w:lang w:eastAsia="en-US"/>
        </w:rPr>
        <w:t>Zhrnutie požiadavky na výskumné projekty oslovených súčasných používateľov HPC.</w:t>
      </w:r>
    </w:p>
    <w:p w14:paraId="54A82501" w14:textId="37C29D5B" w:rsidR="00D373AB" w:rsidRDefault="00000000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lastRenderedPageBreak/>
        <w:t xml:space="preserve">V priebehu októbra 2022 prebehol opakovaný prieskum u používateľov HPC, ktorého cieľom bolo spresniť predpokladaný rozsah dopytu a získať podrobnejšie informácie o plánovaných výskumných projektoch, ktoré budú využívať služby HPC. Získané informácie z oboch prieskumov sú podrobne popísané v prílohe 9.1 Prieskum požiadaviek na výkon/kapacity HPC v </w:t>
      </w:r>
      <w:hyperlink r:id="rId10">
        <w:r>
          <w:rPr>
            <w:rStyle w:val="Internetovodkaz"/>
            <w:rFonts w:ascii="Tahoma" w:hAnsi="Tahoma" w:cs="Tahoma"/>
            <w:sz w:val="16"/>
            <w:szCs w:val="16"/>
            <w:lang w:val="sk-SK"/>
          </w:rPr>
          <w:t>Štúdii uskutočniteľnosti</w:t>
        </w:r>
      </w:hyperlink>
      <w:r>
        <w:rPr>
          <w:rStyle w:val="Internetovodkaz"/>
          <w:rFonts w:ascii="Tahoma" w:hAnsi="Tahoma" w:cs="Tahoma"/>
          <w:sz w:val="16"/>
          <w:szCs w:val="16"/>
          <w:lang w:val="sk-SK"/>
        </w:rPr>
        <w:t>.</w:t>
      </w:r>
      <w:r w:rsidR="000F38E7">
        <w:rPr>
          <w:rFonts w:ascii="Tahoma" w:hAnsi="Tahoma" w:cs="Tahoma"/>
          <w:sz w:val="16"/>
          <w:szCs w:val="16"/>
          <w:lang w:val="sk-SK"/>
        </w:rPr>
        <w:t xml:space="preserve"> </w:t>
      </w:r>
      <w:r>
        <w:rPr>
          <w:rFonts w:ascii="Tahoma" w:hAnsi="Tahoma" w:cs="Tahoma"/>
          <w:sz w:val="16"/>
          <w:szCs w:val="16"/>
          <w:lang w:val="sk-SK"/>
        </w:rPr>
        <w:t>Bližšie informácie boli zisťované len pre skupiny s požiadavkou v intervale 1 – 10 miliónov jadrohodín a nad 10 jadrohodín.</w:t>
      </w:r>
    </w:p>
    <w:p w14:paraId="7B9BF256" w14:textId="77777777" w:rsidR="000F38E7" w:rsidRDefault="000F38E7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51A082E2" w14:textId="08D00FBA" w:rsidR="00D373AB" w:rsidRDefault="00000000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 xml:space="preserve">Z dotazníkového prieskumu vyplýva požiadavka na systém, ktorý bude mať približne 57 000 CPU jadier. Hodnota bola získaná prepočtom požiadavky v </w:t>
      </w:r>
      <w:r w:rsidR="00CC32E5">
        <w:rPr>
          <w:rFonts w:ascii="Tahoma" w:hAnsi="Tahoma" w:cs="Tahoma"/>
          <w:sz w:val="16"/>
          <w:szCs w:val="16"/>
          <w:lang w:val="sk-SK"/>
        </w:rPr>
        <w:t>jadro</w:t>
      </w:r>
      <w:r>
        <w:rPr>
          <w:rFonts w:ascii="Tahoma" w:hAnsi="Tahoma" w:cs="Tahoma"/>
          <w:sz w:val="16"/>
          <w:szCs w:val="16"/>
          <w:lang w:val="sk-SK"/>
        </w:rPr>
        <w:t>hodinách na počet jadier za predpokladu realizácie dvoch projektov ročne.</w:t>
      </w:r>
    </w:p>
    <w:p w14:paraId="3E3951A1" w14:textId="77777777" w:rsidR="000F38E7" w:rsidRDefault="000F38E7" w:rsidP="000F38E7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5DC53AB8" w14:textId="53820652" w:rsidR="000F38E7" w:rsidRDefault="000F38E7" w:rsidP="000F38E7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Údaje získané z oboch prieskumov je nutné považovať za odhad spodnej hranice cieľového výkonu/konfigurácie plánovaného národného HPC systému a to z dvoch dôvodov:</w:t>
      </w:r>
    </w:p>
    <w:p w14:paraId="726A9801" w14:textId="0D17D9E7" w:rsidR="000F38E7" w:rsidRDefault="000F38E7" w:rsidP="000F38E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Dotazník vyplnila len časť oslovených respondentov a prieskum sa realizoval len na malej vzorke potenciálnych používateľov.</w:t>
      </w:r>
    </w:p>
    <w:p w14:paraId="7E566588" w14:textId="4E3D5FF6" w:rsidR="000F38E7" w:rsidRDefault="000F38E7" w:rsidP="000F38E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C</w:t>
      </w:r>
      <w:r w:rsidRPr="000F38E7">
        <w:rPr>
          <w:rFonts w:ascii="Tahoma" w:hAnsi="Tahoma" w:cs="Tahoma"/>
          <w:sz w:val="16"/>
          <w:szCs w:val="16"/>
          <w:lang w:val="sk-SK"/>
        </w:rPr>
        <w:t>elonárodne očakávame nárast dopytu, ktorý je momentálne čiastočne saturovaný zahraničnými kapacitami a dosluhujúcimi systémami SIVVP. Očakáva sa aj nárast dopytu po prístupe k akcelerovanému modulu v súvislosti s rozmachom AI technológií a tiež jeho zvyšovanie v dôsledku aktivít zameraných na rozvoj ekosystému a onboarding nových používateľov.</w:t>
      </w:r>
    </w:p>
    <w:p w14:paraId="25FA978F" w14:textId="77777777" w:rsidR="00815377" w:rsidRDefault="00815377" w:rsidP="00815377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A86B428" w14:textId="44F5D509" w:rsidR="00815377" w:rsidRPr="00815377" w:rsidRDefault="00815377" w:rsidP="00815377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815377">
        <w:rPr>
          <w:rFonts w:ascii="Tahoma" w:hAnsi="Tahoma" w:cs="Tahoma"/>
          <w:sz w:val="16"/>
          <w:szCs w:val="16"/>
          <w:lang w:val="sk-SK"/>
        </w:rPr>
        <w:t>Po dokončení ŠU zaslal svoje požiadavky na výpočtové kapacity aj Slovenský hydrometeorologický ústav a tie predstavujú dedikovaný prístup 24/7 k vyše 100 000 CPU jadrám, čo vysoko prevyšuje projektovanú veľkosť systému. Aj so zohľadnením využitia len na príležitostné výskumné a testovacie projekty a nie na operatívnu predpoveď, resp. nowcasting táto požiadavka ilustruje, že dopyt ako ho definujú výsledky dotazníka je skôr podhodnotený a očakáva sa plné a efektívne využitie všetkých dostupných kapacít.</w:t>
      </w:r>
    </w:p>
    <w:p w14:paraId="3C20DED6" w14:textId="77777777" w:rsidR="00815377" w:rsidRPr="00815377" w:rsidRDefault="00815377" w:rsidP="00815377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660F59B5" w14:textId="77777777" w:rsidR="00815377" w:rsidRPr="00B85A18" w:rsidRDefault="00815377" w:rsidP="00815377">
      <w:pPr>
        <w:autoSpaceDE w:val="0"/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Overovanie údajov uvedených respondentmi dotazníka v súvislosti s realizáciou výskumných projektov v minulosti nepovažujeme za relevantné, keďže s rýchlym vývojom HPC aplikácií a technológií sa nedajú použiť pre definíciu požadovanej výpočtovej kapacity v čase plánovaného spustenia predmetnej infraštruktúry.</w:t>
      </w:r>
    </w:p>
    <w:p w14:paraId="1D12478E" w14:textId="77777777" w:rsidR="00815377" w:rsidRDefault="00815377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0EA3313D" w14:textId="26FEEE8C" w:rsidR="00D373AB" w:rsidRDefault="00000000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Výpočtová kapacita bude všetkým projektom (okrem komerčných) prideľovaná na základe nezávislého a transparentného peer-review procesu, pričom sa budú hodnotiť kritériá ako vedecká excelentnosť, metódy a state-of-the-art, inovatívnosť, spoločensko-ekonomické prínosy (všeobecne, bez kvantifikácie) a aj technické kritériá, teda paralelizácia a škálovateľnosť zvolených metód a primeranosť požiadavky na výpočtovú kapacitu.</w:t>
      </w:r>
    </w:p>
    <w:p w14:paraId="266B41B2" w14:textId="77777777" w:rsidR="00D373AB" w:rsidRDefault="00D373AB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727C642B" w14:textId="78A97ED7" w:rsidR="00AC030C" w:rsidRDefault="00AC030C" w:rsidP="00950FBB">
      <w:pPr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Zohľadnenie aktuálne dostupne výpočtovej kapacity pre slovenských používateľov pri určení cieľovej veľkosti systému je definované nasledovne:</w:t>
      </w:r>
    </w:p>
    <w:p w14:paraId="291BB125" w14:textId="77777777" w:rsidR="00AC030C" w:rsidRDefault="00AC030C" w:rsidP="00AC030C">
      <w:pPr>
        <w:tabs>
          <w:tab w:val="left" w:pos="426"/>
          <w:tab w:val="center" w:pos="3119"/>
        </w:tabs>
        <w:spacing w:before="120"/>
        <w:ind w:left="66"/>
        <w:contextualSpacing/>
        <w:jc w:val="both"/>
        <w:rPr>
          <w:rFonts w:ascii="Tahoma" w:hAnsi="Tahoma" w:cs="Tahoma"/>
          <w:sz w:val="16"/>
          <w:szCs w:val="16"/>
          <w:lang w:val="sk-SK"/>
        </w:rPr>
      </w:pPr>
    </w:p>
    <w:p w14:paraId="2667A518" w14:textId="77777777" w:rsidR="00AC030C" w:rsidRDefault="00AC030C" w:rsidP="00950FBB">
      <w:pPr>
        <w:tabs>
          <w:tab w:val="left" w:pos="426"/>
          <w:tab w:val="center" w:pos="3119"/>
        </w:tabs>
        <w:spacing w:before="120"/>
        <w:contextualSpacing/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 xml:space="preserve">Devana – v Q2/2023 bude sprístupnená kapacita nového HPC systému Devana s výkonom približne 800 TFlop/s. Pri predpokladanom štandardnom životnom cykle 5 rokov dôjde k vypnutiu približne v H1/2028. Životné cykly predmetnej infraštruktúry (2026 – 2031) a systému Devana sa teda budú čiastočne prekrývať, čo je príkladom dobrej praxe aj v zahraničí. Zároveň výpočtová kapacity Devany predstavuje len 1.6 % z plánovaného výkonu obstarávaného systému 50 PFlop/s. </w:t>
      </w:r>
    </w:p>
    <w:p w14:paraId="71355C96" w14:textId="77777777" w:rsidR="00AC030C" w:rsidRDefault="00AC030C" w:rsidP="00950FBB">
      <w:pPr>
        <w:tabs>
          <w:tab w:val="left" w:pos="426"/>
          <w:tab w:val="center" w:pos="3119"/>
        </w:tabs>
        <w:spacing w:before="120"/>
        <w:contextualSpacing/>
        <w:jc w:val="both"/>
        <w:rPr>
          <w:rFonts w:ascii="Tahoma" w:hAnsi="Tahoma" w:cs="Tahoma"/>
          <w:sz w:val="16"/>
          <w:szCs w:val="16"/>
          <w:lang w:val="sk-SK"/>
        </w:rPr>
      </w:pPr>
    </w:p>
    <w:p w14:paraId="272DE2A6" w14:textId="77777777" w:rsidR="00AC030C" w:rsidRDefault="00AC030C" w:rsidP="00950FBB">
      <w:pPr>
        <w:tabs>
          <w:tab w:val="left" w:pos="426"/>
          <w:tab w:val="center" w:pos="3119"/>
        </w:tabs>
        <w:spacing w:before="120"/>
        <w:contextualSpacing/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Leonardo – Slovensko je súčasťou konzorcia Leonardo, v rámci ktorého bol v Q4/2022 spustený do prevádzky jeden z najvýkonnejších superpočítačov na svete – Leonardo (250 PFlop/s). Slovenskí používatelia preto budú mať k dispozícii výpočtovú kapacitu približne 56 765 GPU nód-hodín a 25 229 CPU nód-hodín ročne za podmienky, že slovenská strana poskytne 2 FTE pre prácu v tíme pokročilej podpory používateľom. (Pre ilustráciu táto kapacita zodpovedá ročnému poskytnutiu necelých 2 nódov zo 150 projektovaných pre nový systém – 1.3 % a 26 akcelerátorov z projektovaných 1200 - 2%). Tieto personálne kapacity poskytuje VS SAV, pričom bude mať v kompetencii aj prerozdelenie získanej kapacity. Uvedená kapacita je oproti kapacite plánovanej v rámci tohto projektu zanedbateľná a podobne ako kapacita systému Devana nemá vplyv na dimenzovanie cieľovej veľkosti obstarávaného systému.</w:t>
      </w:r>
    </w:p>
    <w:p w14:paraId="2B839874" w14:textId="77777777" w:rsidR="00AC030C" w:rsidRDefault="00AC030C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7BC41EA1" w14:textId="77777777" w:rsidR="00D373AB" w:rsidRDefault="00000000">
      <w:pPr>
        <w:pStyle w:val="Heading1"/>
        <w:numPr>
          <w:ilvl w:val="1"/>
          <w:numId w:val="2"/>
        </w:numPr>
      </w:pPr>
      <w:bookmarkStart w:id="228" w:name="_Toc132800182"/>
      <w:r>
        <w:t>Riziká a závislosti</w:t>
      </w:r>
      <w:bookmarkEnd w:id="228"/>
    </w:p>
    <w:p w14:paraId="2AC7BDB9" w14:textId="77777777" w:rsidR="00EA02CF" w:rsidRDefault="00EA02CF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5368C757" w14:textId="620D1411" w:rsidR="00D373AB" w:rsidRDefault="00000000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Nižšie v tabuľke sú  zhrnuté doposiaľ identifikované riziká pre projekt, spolu s ich hodnotením a návrhom opatrení na ich predchádzanie.</w:t>
      </w:r>
    </w:p>
    <w:p w14:paraId="75B437CF" w14:textId="77777777" w:rsidR="00D373AB" w:rsidRDefault="00000000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 xml:space="preserve">V nasledujúcej tabuľke: </w:t>
      </w:r>
    </w:p>
    <w:p w14:paraId="1DCDECEC" w14:textId="77777777" w:rsidR="00D373AB" w:rsidRDefault="0000000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IKT/DC znamená, že riziko sa týka HPC infraštruktúry (teda IKT) a/alebo DC.</w:t>
      </w:r>
    </w:p>
    <w:p w14:paraId="0006E2CB" w14:textId="77777777" w:rsidR="00D373AB" w:rsidRDefault="0000000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Variant špecifikuje rozsah rizika</w:t>
      </w:r>
    </w:p>
    <w:p w14:paraId="23373D0C" w14:textId="77777777" w:rsidR="00D373AB" w:rsidRDefault="0000000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Z je závažnosť rizika (1 = nízka, 2 = stredná, 3 = vysoká)</w:t>
      </w:r>
    </w:p>
    <w:p w14:paraId="192DAACA" w14:textId="77777777" w:rsidR="00D373AB" w:rsidRDefault="0000000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P je pravdepodobnosť výskytu rizika (1 = nízka, 2 = stredná, 3 = vysoká)</w:t>
      </w:r>
    </w:p>
    <w:p w14:paraId="07FDB5B1" w14:textId="77777777" w:rsidR="00D373AB" w:rsidRDefault="0000000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H je hodnotenie rizika vypočítané ako 2 x Z + P</w:t>
      </w:r>
    </w:p>
    <w:p w14:paraId="2B300485" w14:textId="77777777" w:rsidR="00D373AB" w:rsidRDefault="00D373AB">
      <w:pPr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tbl>
      <w:tblPr>
        <w:tblStyle w:val="KPMGFinancialTable"/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824"/>
        <w:gridCol w:w="1202"/>
        <w:gridCol w:w="1741"/>
        <w:gridCol w:w="316"/>
        <w:gridCol w:w="322"/>
        <w:gridCol w:w="339"/>
        <w:gridCol w:w="1539"/>
        <w:gridCol w:w="2266"/>
      </w:tblGrid>
      <w:tr w:rsidR="00D373AB" w14:paraId="7F47C2B2" w14:textId="77777777" w:rsidTr="00B51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14:paraId="6C2A2526" w14:textId="77777777" w:rsidR="00D373AB" w:rsidRDefault="00000000">
            <w:pPr>
              <w:pStyle w:val="BodyText"/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bCs/>
                <w:sz w:val="16"/>
                <w:szCs w:val="16"/>
                <w:lang w:val="sk-SK"/>
              </w:rPr>
              <w:t>ID</w:t>
            </w:r>
          </w:p>
        </w:tc>
        <w:tc>
          <w:tcPr>
            <w:tcW w:w="824" w:type="dxa"/>
            <w:vAlign w:val="center"/>
          </w:tcPr>
          <w:p w14:paraId="27E023E8" w14:textId="77777777" w:rsidR="00D373AB" w:rsidRDefault="00000000">
            <w:pPr>
              <w:pStyle w:val="BodyText"/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bCs/>
                <w:sz w:val="16"/>
                <w:szCs w:val="16"/>
                <w:lang w:val="sk-SK"/>
              </w:rPr>
              <w:t>IKT/DC</w:t>
            </w:r>
          </w:p>
        </w:tc>
        <w:tc>
          <w:tcPr>
            <w:tcW w:w="1202" w:type="dxa"/>
            <w:vAlign w:val="center"/>
          </w:tcPr>
          <w:p w14:paraId="5CCE53EC" w14:textId="77777777" w:rsidR="00D373AB" w:rsidRDefault="00000000">
            <w:pPr>
              <w:pStyle w:val="BodyText"/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bCs/>
                <w:sz w:val="16"/>
                <w:szCs w:val="16"/>
                <w:lang w:val="sk-SK"/>
              </w:rPr>
              <w:t>Variant</w:t>
            </w:r>
          </w:p>
        </w:tc>
        <w:tc>
          <w:tcPr>
            <w:tcW w:w="1741" w:type="dxa"/>
            <w:vAlign w:val="center"/>
          </w:tcPr>
          <w:p w14:paraId="72765A00" w14:textId="77777777" w:rsidR="00D373AB" w:rsidRDefault="00000000">
            <w:pPr>
              <w:pStyle w:val="BodyText"/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bCs/>
                <w:sz w:val="16"/>
                <w:szCs w:val="16"/>
                <w:lang w:val="sk-SK"/>
              </w:rPr>
              <w:t>Popis rizika</w:t>
            </w:r>
          </w:p>
        </w:tc>
        <w:tc>
          <w:tcPr>
            <w:tcW w:w="316" w:type="dxa"/>
            <w:vAlign w:val="center"/>
          </w:tcPr>
          <w:p w14:paraId="4167A6F7" w14:textId="77777777" w:rsidR="00D373AB" w:rsidRDefault="00000000">
            <w:pPr>
              <w:pStyle w:val="BodyText"/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bCs/>
                <w:sz w:val="16"/>
                <w:szCs w:val="16"/>
                <w:lang w:val="sk-SK"/>
              </w:rPr>
              <w:t>Z</w:t>
            </w:r>
          </w:p>
        </w:tc>
        <w:tc>
          <w:tcPr>
            <w:tcW w:w="322" w:type="dxa"/>
            <w:vAlign w:val="center"/>
          </w:tcPr>
          <w:p w14:paraId="407D1A09" w14:textId="77777777" w:rsidR="00D373AB" w:rsidRDefault="00000000">
            <w:pPr>
              <w:pStyle w:val="BodyText"/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bCs/>
                <w:sz w:val="16"/>
                <w:szCs w:val="16"/>
                <w:lang w:val="sk-SK"/>
              </w:rPr>
              <w:t>P</w:t>
            </w:r>
          </w:p>
        </w:tc>
        <w:tc>
          <w:tcPr>
            <w:tcW w:w="339" w:type="dxa"/>
            <w:vAlign w:val="center"/>
          </w:tcPr>
          <w:p w14:paraId="1A5CAFFA" w14:textId="77777777" w:rsidR="00D373AB" w:rsidRDefault="00000000">
            <w:pPr>
              <w:pStyle w:val="BodyText"/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bCs/>
                <w:sz w:val="16"/>
                <w:szCs w:val="16"/>
                <w:lang w:val="sk-SK"/>
              </w:rPr>
              <w:t>H</w:t>
            </w:r>
          </w:p>
        </w:tc>
        <w:tc>
          <w:tcPr>
            <w:tcW w:w="1539" w:type="dxa"/>
            <w:vAlign w:val="center"/>
          </w:tcPr>
          <w:p w14:paraId="70D7C217" w14:textId="77777777" w:rsidR="00D373AB" w:rsidRDefault="00000000">
            <w:pPr>
              <w:pStyle w:val="BodyText"/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bCs/>
                <w:sz w:val="16"/>
                <w:szCs w:val="16"/>
                <w:lang w:val="sk-SK"/>
              </w:rPr>
              <w:t>Dopad</w:t>
            </w:r>
          </w:p>
        </w:tc>
        <w:tc>
          <w:tcPr>
            <w:tcW w:w="2266" w:type="dxa"/>
            <w:vAlign w:val="center"/>
          </w:tcPr>
          <w:p w14:paraId="203DD602" w14:textId="77777777" w:rsidR="00D373AB" w:rsidRDefault="00000000">
            <w:pPr>
              <w:pStyle w:val="BodyText"/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bCs/>
                <w:sz w:val="16"/>
                <w:szCs w:val="16"/>
                <w:lang w:val="sk-SK"/>
              </w:rPr>
              <w:t>Mitigácia</w:t>
            </w:r>
          </w:p>
        </w:tc>
      </w:tr>
      <w:tr w:rsidR="00D373AB" w14:paraId="43F03B54" w14:textId="77777777" w:rsidTr="00B51BE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14:paraId="7F051ACD" w14:textId="77777777" w:rsidR="00D373AB" w:rsidRDefault="00000000">
            <w:pPr>
              <w:pStyle w:val="BodyText"/>
              <w:widowControl w:val="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1</w:t>
            </w:r>
          </w:p>
        </w:tc>
        <w:tc>
          <w:tcPr>
            <w:tcW w:w="824" w:type="dxa"/>
            <w:vAlign w:val="center"/>
          </w:tcPr>
          <w:p w14:paraId="01E2194C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IKT/DC</w:t>
            </w:r>
          </w:p>
        </w:tc>
        <w:tc>
          <w:tcPr>
            <w:tcW w:w="1202" w:type="dxa"/>
            <w:vAlign w:val="center"/>
          </w:tcPr>
          <w:p w14:paraId="59F11E99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Všeobecné</w:t>
            </w:r>
          </w:p>
        </w:tc>
        <w:tc>
          <w:tcPr>
            <w:tcW w:w="1741" w:type="dxa"/>
            <w:vAlign w:val="center"/>
          </w:tcPr>
          <w:p w14:paraId="122FB0F3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Oneskorenie harmonogramu z dôvodu trvania procesov VO</w:t>
            </w:r>
          </w:p>
        </w:tc>
        <w:tc>
          <w:tcPr>
            <w:tcW w:w="316" w:type="dxa"/>
            <w:vAlign w:val="center"/>
          </w:tcPr>
          <w:p w14:paraId="4AA40AD5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3</w:t>
            </w:r>
          </w:p>
        </w:tc>
        <w:tc>
          <w:tcPr>
            <w:tcW w:w="322" w:type="dxa"/>
            <w:vAlign w:val="center"/>
          </w:tcPr>
          <w:p w14:paraId="12405BD5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1</w:t>
            </w:r>
          </w:p>
        </w:tc>
        <w:tc>
          <w:tcPr>
            <w:tcW w:w="339" w:type="dxa"/>
            <w:vAlign w:val="center"/>
          </w:tcPr>
          <w:p w14:paraId="4A0FB4AC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7</w:t>
            </w:r>
          </w:p>
        </w:tc>
        <w:tc>
          <w:tcPr>
            <w:tcW w:w="1539" w:type="dxa"/>
            <w:vAlign w:val="center"/>
          </w:tcPr>
          <w:p w14:paraId="57931076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Nesplnenie míľnikov v POO</w:t>
            </w:r>
          </w:p>
        </w:tc>
        <w:tc>
          <w:tcPr>
            <w:tcW w:w="2266" w:type="dxa"/>
            <w:vAlign w:val="center"/>
          </w:tcPr>
          <w:p w14:paraId="3FEB60E0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Včasné začatie projektu a procesov VO</w:t>
            </w:r>
          </w:p>
        </w:tc>
      </w:tr>
      <w:tr w:rsidR="00D373AB" w14:paraId="776AE4F3" w14:textId="77777777" w:rsidTr="00B51BEF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14:paraId="7220EA11" w14:textId="77777777" w:rsidR="00D373AB" w:rsidRDefault="00000000">
            <w:pPr>
              <w:pStyle w:val="BodyText"/>
              <w:widowControl w:val="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2</w:t>
            </w:r>
          </w:p>
        </w:tc>
        <w:tc>
          <w:tcPr>
            <w:tcW w:w="824" w:type="dxa"/>
            <w:vAlign w:val="center"/>
          </w:tcPr>
          <w:p w14:paraId="73C0853C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IKT/DC</w:t>
            </w:r>
          </w:p>
        </w:tc>
        <w:tc>
          <w:tcPr>
            <w:tcW w:w="1202" w:type="dxa"/>
            <w:vAlign w:val="center"/>
          </w:tcPr>
          <w:p w14:paraId="3BC440C3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Všeobecné</w:t>
            </w:r>
          </w:p>
        </w:tc>
        <w:tc>
          <w:tcPr>
            <w:tcW w:w="1741" w:type="dxa"/>
            <w:vAlign w:val="center"/>
          </w:tcPr>
          <w:p w14:paraId="72F55D51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 xml:space="preserve">Oneskorenie harmonogramu z dôvodu prieťahov vo </w:t>
            </w: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lastRenderedPageBreak/>
              <w:t>VO</w:t>
            </w:r>
          </w:p>
        </w:tc>
        <w:tc>
          <w:tcPr>
            <w:tcW w:w="316" w:type="dxa"/>
            <w:vAlign w:val="center"/>
          </w:tcPr>
          <w:p w14:paraId="4A09DC85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lastRenderedPageBreak/>
              <w:t>3</w:t>
            </w:r>
          </w:p>
        </w:tc>
        <w:tc>
          <w:tcPr>
            <w:tcW w:w="322" w:type="dxa"/>
            <w:vAlign w:val="center"/>
          </w:tcPr>
          <w:p w14:paraId="775DA9F6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2</w:t>
            </w:r>
          </w:p>
        </w:tc>
        <w:tc>
          <w:tcPr>
            <w:tcW w:w="339" w:type="dxa"/>
            <w:vAlign w:val="center"/>
          </w:tcPr>
          <w:p w14:paraId="5F4E45CA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8</w:t>
            </w:r>
          </w:p>
        </w:tc>
        <w:tc>
          <w:tcPr>
            <w:tcW w:w="1539" w:type="dxa"/>
            <w:vAlign w:val="center"/>
          </w:tcPr>
          <w:p w14:paraId="58D8474C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Nesplnenie míľnikov v POO</w:t>
            </w:r>
          </w:p>
        </w:tc>
        <w:tc>
          <w:tcPr>
            <w:tcW w:w="2266" w:type="dxa"/>
            <w:vAlign w:val="center"/>
          </w:tcPr>
          <w:p w14:paraId="7C34248B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 xml:space="preserve">Predchádzanie námietkam počas VO transparentnosťou celého procesu VO vrátane </w:t>
            </w: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lastRenderedPageBreak/>
              <w:t>využitia predbežných trhových konzultácií</w:t>
            </w: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br/>
              <w:t>Dôsledne a kvalitne pripravené súťažné podklady</w:t>
            </w:r>
          </w:p>
        </w:tc>
      </w:tr>
      <w:tr w:rsidR="00D373AB" w14:paraId="04885387" w14:textId="77777777" w:rsidTr="00B51BEF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14:paraId="5ADE333D" w14:textId="77777777" w:rsidR="00D373AB" w:rsidRDefault="00000000">
            <w:pPr>
              <w:pStyle w:val="BodyText"/>
              <w:widowControl w:val="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3</w:t>
            </w:r>
          </w:p>
        </w:tc>
        <w:tc>
          <w:tcPr>
            <w:tcW w:w="824" w:type="dxa"/>
            <w:vAlign w:val="center"/>
          </w:tcPr>
          <w:p w14:paraId="196099D5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DC</w:t>
            </w:r>
          </w:p>
        </w:tc>
        <w:tc>
          <w:tcPr>
            <w:tcW w:w="1202" w:type="dxa"/>
            <w:vAlign w:val="center"/>
          </w:tcPr>
          <w:p w14:paraId="29FA3EB9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Všeobecné</w:t>
            </w:r>
          </w:p>
        </w:tc>
        <w:tc>
          <w:tcPr>
            <w:tcW w:w="1741" w:type="dxa"/>
            <w:vAlign w:val="center"/>
          </w:tcPr>
          <w:p w14:paraId="0044F77B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Nedostatočný disponibilný príkon DC v čase inštalácie</w:t>
            </w:r>
          </w:p>
        </w:tc>
        <w:tc>
          <w:tcPr>
            <w:tcW w:w="316" w:type="dxa"/>
            <w:vAlign w:val="center"/>
          </w:tcPr>
          <w:p w14:paraId="70D6ECF7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1</w:t>
            </w:r>
          </w:p>
        </w:tc>
        <w:tc>
          <w:tcPr>
            <w:tcW w:w="322" w:type="dxa"/>
            <w:vAlign w:val="center"/>
          </w:tcPr>
          <w:p w14:paraId="004DC449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1</w:t>
            </w:r>
          </w:p>
        </w:tc>
        <w:tc>
          <w:tcPr>
            <w:tcW w:w="339" w:type="dxa"/>
            <w:vAlign w:val="center"/>
          </w:tcPr>
          <w:p w14:paraId="426FCC75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3</w:t>
            </w:r>
          </w:p>
        </w:tc>
        <w:tc>
          <w:tcPr>
            <w:tcW w:w="1539" w:type="dxa"/>
            <w:vAlign w:val="center"/>
          </w:tcPr>
          <w:p w14:paraId="5603773A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Nemožnosť dosiahnuť plný výkon IKT</w:t>
            </w:r>
          </w:p>
        </w:tc>
        <w:tc>
          <w:tcPr>
            <w:tcW w:w="2266" w:type="dxa"/>
            <w:vAlign w:val="center"/>
          </w:tcPr>
          <w:p w14:paraId="5E01C250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Včasný inžiniersky prieskum vybranej lokality</w:t>
            </w: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br/>
              <w:t>Včasné rokovania s distribútorom a získanie záväzného vyjadrenia</w:t>
            </w:r>
          </w:p>
        </w:tc>
      </w:tr>
      <w:tr w:rsidR="00D373AB" w14:paraId="1E99C0F5" w14:textId="77777777" w:rsidTr="00B51BEF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14:paraId="7CF91B0F" w14:textId="77777777" w:rsidR="00D373AB" w:rsidRDefault="00000000">
            <w:pPr>
              <w:pStyle w:val="BodyText"/>
              <w:widowControl w:val="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4</w:t>
            </w:r>
          </w:p>
        </w:tc>
        <w:tc>
          <w:tcPr>
            <w:tcW w:w="824" w:type="dxa"/>
            <w:vAlign w:val="center"/>
          </w:tcPr>
          <w:p w14:paraId="7B90176A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IKT/DC</w:t>
            </w:r>
          </w:p>
        </w:tc>
        <w:tc>
          <w:tcPr>
            <w:tcW w:w="1202" w:type="dxa"/>
            <w:vAlign w:val="center"/>
          </w:tcPr>
          <w:p w14:paraId="61DF3F35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Všeobecné</w:t>
            </w:r>
          </w:p>
        </w:tc>
        <w:tc>
          <w:tcPr>
            <w:tcW w:w="1741" w:type="dxa"/>
            <w:vAlign w:val="center"/>
          </w:tcPr>
          <w:p w14:paraId="4C88BE47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Neprimeraný nárast cien elektriny</w:t>
            </w:r>
          </w:p>
        </w:tc>
        <w:tc>
          <w:tcPr>
            <w:tcW w:w="316" w:type="dxa"/>
            <w:vAlign w:val="center"/>
          </w:tcPr>
          <w:p w14:paraId="34F88475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2</w:t>
            </w:r>
          </w:p>
        </w:tc>
        <w:tc>
          <w:tcPr>
            <w:tcW w:w="322" w:type="dxa"/>
            <w:vAlign w:val="center"/>
          </w:tcPr>
          <w:p w14:paraId="3CFE4E1A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3</w:t>
            </w:r>
          </w:p>
        </w:tc>
        <w:tc>
          <w:tcPr>
            <w:tcW w:w="339" w:type="dxa"/>
            <w:vAlign w:val="center"/>
          </w:tcPr>
          <w:p w14:paraId="03070DDF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7</w:t>
            </w:r>
          </w:p>
        </w:tc>
        <w:tc>
          <w:tcPr>
            <w:tcW w:w="1539" w:type="dxa"/>
            <w:vAlign w:val="center"/>
          </w:tcPr>
          <w:p w14:paraId="40ABCFFF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Výrazné zvýšenie prevádzkových nákladov</w:t>
            </w:r>
          </w:p>
        </w:tc>
        <w:tc>
          <w:tcPr>
            <w:tcW w:w="2266" w:type="dxa"/>
            <w:vAlign w:val="center"/>
          </w:tcPr>
          <w:p w14:paraId="1A573505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 xml:space="preserve">Čiastočná mitigácia </w:t>
            </w: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br/>
              <w:t>- inštalácia OZE (fotovoltaika a pod.)</w:t>
            </w: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br/>
              <w:t>- kompenzácia príjmami za dodávky odpadového tepla</w:t>
            </w:r>
          </w:p>
        </w:tc>
      </w:tr>
      <w:tr w:rsidR="00D373AB" w14:paraId="60D7DC8B" w14:textId="77777777" w:rsidTr="004425D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14:paraId="0B8C3D11" w14:textId="77777777" w:rsidR="00D373AB" w:rsidRDefault="00000000">
            <w:pPr>
              <w:pStyle w:val="BodyText"/>
              <w:widowControl w:val="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5</w:t>
            </w:r>
          </w:p>
        </w:tc>
        <w:tc>
          <w:tcPr>
            <w:tcW w:w="824" w:type="dxa"/>
            <w:vAlign w:val="center"/>
          </w:tcPr>
          <w:p w14:paraId="1E0F6249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IKT/DC</w:t>
            </w:r>
          </w:p>
        </w:tc>
        <w:tc>
          <w:tcPr>
            <w:tcW w:w="1202" w:type="dxa"/>
            <w:vAlign w:val="center"/>
          </w:tcPr>
          <w:p w14:paraId="4F3A4B55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Všeobecné</w:t>
            </w:r>
          </w:p>
        </w:tc>
        <w:tc>
          <w:tcPr>
            <w:tcW w:w="1741" w:type="dxa"/>
            <w:vAlign w:val="center"/>
          </w:tcPr>
          <w:p w14:paraId="0A68DA4B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Nedostupnosť financovania prevádzky po skončení POO</w:t>
            </w:r>
          </w:p>
        </w:tc>
        <w:tc>
          <w:tcPr>
            <w:tcW w:w="316" w:type="dxa"/>
            <w:vAlign w:val="center"/>
          </w:tcPr>
          <w:p w14:paraId="738B1DA0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2</w:t>
            </w:r>
          </w:p>
        </w:tc>
        <w:tc>
          <w:tcPr>
            <w:tcW w:w="322" w:type="dxa"/>
            <w:vAlign w:val="center"/>
          </w:tcPr>
          <w:p w14:paraId="3AFC6DAC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2</w:t>
            </w:r>
          </w:p>
        </w:tc>
        <w:tc>
          <w:tcPr>
            <w:tcW w:w="339" w:type="dxa"/>
            <w:vAlign w:val="center"/>
          </w:tcPr>
          <w:p w14:paraId="010844B7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6</w:t>
            </w:r>
          </w:p>
        </w:tc>
        <w:tc>
          <w:tcPr>
            <w:tcW w:w="1539" w:type="dxa"/>
            <w:vAlign w:val="center"/>
          </w:tcPr>
          <w:p w14:paraId="3540E32B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Porušenie požiadavky na udržateľnosť</w:t>
            </w: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br/>
              <w:t>Reputačné riziko</w:t>
            </w:r>
          </w:p>
        </w:tc>
        <w:tc>
          <w:tcPr>
            <w:tcW w:w="2266" w:type="dxa"/>
            <w:vAlign w:val="center"/>
          </w:tcPr>
          <w:p w14:paraId="1557B56D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 xml:space="preserve">Trvalý proaktívny stakeholder management, napr. </w:t>
            </w: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br/>
              <w:t xml:space="preserve">- získanie súhlasu MF SR s rozpočtom projektu pre obdobia po skončení POO </w:t>
            </w: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br/>
              <w:t xml:space="preserve">- včasné priebežné potvrdzovanie alokácie na jednotlivé roky, </w:t>
            </w: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br/>
              <w:t>- získanie podpory iných rezortov</w:t>
            </w: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br/>
              <w:t>Aktívna externá  komunikácia pozitívnych prínosov projektu pre ekonomiku</w:t>
            </w: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br/>
              <w:t>Aktívne vyhľadávanie a využitie ďalších EU zdrojov</w:t>
            </w:r>
          </w:p>
        </w:tc>
      </w:tr>
      <w:tr w:rsidR="00D373AB" w14:paraId="2EAC8ABF" w14:textId="77777777" w:rsidTr="00B51BEF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14:paraId="54349CB2" w14:textId="77777777" w:rsidR="00D373AB" w:rsidRDefault="00000000">
            <w:pPr>
              <w:pStyle w:val="BodyText"/>
              <w:widowControl w:val="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6</w:t>
            </w:r>
          </w:p>
        </w:tc>
        <w:tc>
          <w:tcPr>
            <w:tcW w:w="824" w:type="dxa"/>
            <w:vAlign w:val="center"/>
          </w:tcPr>
          <w:p w14:paraId="016C32E2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IKT/DC</w:t>
            </w:r>
          </w:p>
        </w:tc>
        <w:tc>
          <w:tcPr>
            <w:tcW w:w="1202" w:type="dxa"/>
            <w:vAlign w:val="center"/>
          </w:tcPr>
          <w:p w14:paraId="2EE8AFE4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Všeobecné</w:t>
            </w:r>
          </w:p>
        </w:tc>
        <w:tc>
          <w:tcPr>
            <w:tcW w:w="1741" w:type="dxa"/>
            <w:vAlign w:val="center"/>
          </w:tcPr>
          <w:p w14:paraId="2FB0829D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Prieťahy resp. výpadky v dodávateľských reťazcoch (IKT, stavebný materiál)</w:t>
            </w:r>
          </w:p>
        </w:tc>
        <w:tc>
          <w:tcPr>
            <w:tcW w:w="316" w:type="dxa"/>
            <w:vAlign w:val="center"/>
          </w:tcPr>
          <w:p w14:paraId="218F9CA3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3</w:t>
            </w:r>
          </w:p>
        </w:tc>
        <w:tc>
          <w:tcPr>
            <w:tcW w:w="322" w:type="dxa"/>
            <w:vAlign w:val="center"/>
          </w:tcPr>
          <w:p w14:paraId="1D78E203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2</w:t>
            </w:r>
          </w:p>
        </w:tc>
        <w:tc>
          <w:tcPr>
            <w:tcW w:w="339" w:type="dxa"/>
            <w:vAlign w:val="center"/>
          </w:tcPr>
          <w:p w14:paraId="41833F2E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8</w:t>
            </w:r>
          </w:p>
        </w:tc>
        <w:tc>
          <w:tcPr>
            <w:tcW w:w="1539" w:type="dxa"/>
            <w:vAlign w:val="center"/>
          </w:tcPr>
          <w:p w14:paraId="631B9EBD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Nesplnenie míľnikov v POO</w:t>
            </w: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br/>
              <w:t>Nesplnenie požiadaviek na kvalitu</w:t>
            </w:r>
          </w:p>
        </w:tc>
        <w:tc>
          <w:tcPr>
            <w:tcW w:w="2266" w:type="dxa"/>
            <w:vAlign w:val="center"/>
          </w:tcPr>
          <w:p w14:paraId="35A5A4B5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br/>
              <w:t>Skoré začatie VO</w:t>
            </w: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br/>
              <w:t>Dôsledný investorský dozor a PM</w:t>
            </w:r>
          </w:p>
        </w:tc>
      </w:tr>
      <w:tr w:rsidR="00D373AB" w14:paraId="34744FD2" w14:textId="77777777" w:rsidTr="00B51BEF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14:paraId="2C5396CE" w14:textId="77777777" w:rsidR="00D373AB" w:rsidRDefault="00000000">
            <w:pPr>
              <w:pStyle w:val="BodyText"/>
              <w:widowControl w:val="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7</w:t>
            </w:r>
          </w:p>
        </w:tc>
        <w:tc>
          <w:tcPr>
            <w:tcW w:w="824" w:type="dxa"/>
            <w:vAlign w:val="center"/>
          </w:tcPr>
          <w:p w14:paraId="1DCD3960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DC</w:t>
            </w:r>
          </w:p>
        </w:tc>
        <w:tc>
          <w:tcPr>
            <w:tcW w:w="1202" w:type="dxa"/>
            <w:vAlign w:val="center"/>
          </w:tcPr>
          <w:p w14:paraId="651ED7DD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Prenájom</w:t>
            </w:r>
          </w:p>
        </w:tc>
        <w:tc>
          <w:tcPr>
            <w:tcW w:w="1741" w:type="dxa"/>
            <w:vAlign w:val="center"/>
          </w:tcPr>
          <w:p w14:paraId="6B4C17C4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Zvýšené náklady na prevádzku oproti ostatným variantom DC</w:t>
            </w:r>
          </w:p>
        </w:tc>
        <w:tc>
          <w:tcPr>
            <w:tcW w:w="316" w:type="dxa"/>
            <w:vAlign w:val="center"/>
          </w:tcPr>
          <w:p w14:paraId="6138BC47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2</w:t>
            </w:r>
          </w:p>
        </w:tc>
        <w:tc>
          <w:tcPr>
            <w:tcW w:w="322" w:type="dxa"/>
            <w:vAlign w:val="center"/>
          </w:tcPr>
          <w:p w14:paraId="589BD638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2</w:t>
            </w:r>
          </w:p>
        </w:tc>
        <w:tc>
          <w:tcPr>
            <w:tcW w:w="339" w:type="dxa"/>
            <w:vAlign w:val="center"/>
          </w:tcPr>
          <w:p w14:paraId="6D7607CB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6</w:t>
            </w:r>
          </w:p>
        </w:tc>
        <w:tc>
          <w:tcPr>
            <w:tcW w:w="1539" w:type="dxa"/>
            <w:vAlign w:val="center"/>
          </w:tcPr>
          <w:p w14:paraId="6415F4B3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Nedostupnosť financovania prevádzky po skončení POO</w:t>
            </w:r>
          </w:p>
        </w:tc>
        <w:tc>
          <w:tcPr>
            <w:tcW w:w="2266" w:type="dxa"/>
            <w:vAlign w:val="center"/>
          </w:tcPr>
          <w:p w14:paraId="39595DE8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Kombinácia tohto variantu s kúpou DC pred skončením POO.</w:t>
            </w: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br/>
              <w:t>De-prioritizácia tohto variantu</w:t>
            </w: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br/>
              <w:t>Ďalšie pozri č. 6</w:t>
            </w:r>
          </w:p>
        </w:tc>
      </w:tr>
      <w:tr w:rsidR="00D373AB" w14:paraId="386FFC3B" w14:textId="77777777" w:rsidTr="00B51BEF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14:paraId="6D26EA27" w14:textId="77777777" w:rsidR="00D373AB" w:rsidRDefault="00000000">
            <w:pPr>
              <w:pStyle w:val="BodyText"/>
              <w:widowControl w:val="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8</w:t>
            </w:r>
          </w:p>
        </w:tc>
        <w:tc>
          <w:tcPr>
            <w:tcW w:w="824" w:type="dxa"/>
            <w:vAlign w:val="center"/>
          </w:tcPr>
          <w:p w14:paraId="08F1C339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DC</w:t>
            </w:r>
          </w:p>
        </w:tc>
        <w:tc>
          <w:tcPr>
            <w:tcW w:w="1202" w:type="dxa"/>
            <w:vAlign w:val="center"/>
          </w:tcPr>
          <w:p w14:paraId="3DDB084C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Rekonštrukcia</w:t>
            </w:r>
          </w:p>
        </w:tc>
        <w:tc>
          <w:tcPr>
            <w:tcW w:w="1741" w:type="dxa"/>
            <w:vAlign w:val="center"/>
          </w:tcPr>
          <w:p w14:paraId="16DA13FE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Oneskorenie stavebných prác z dôvodu prieťahov v stavebnom konaní</w:t>
            </w:r>
          </w:p>
        </w:tc>
        <w:tc>
          <w:tcPr>
            <w:tcW w:w="316" w:type="dxa"/>
            <w:vAlign w:val="center"/>
          </w:tcPr>
          <w:p w14:paraId="473DBC95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3</w:t>
            </w:r>
          </w:p>
        </w:tc>
        <w:tc>
          <w:tcPr>
            <w:tcW w:w="322" w:type="dxa"/>
            <w:vAlign w:val="center"/>
          </w:tcPr>
          <w:p w14:paraId="26787AA5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2</w:t>
            </w:r>
          </w:p>
        </w:tc>
        <w:tc>
          <w:tcPr>
            <w:tcW w:w="339" w:type="dxa"/>
            <w:vAlign w:val="center"/>
          </w:tcPr>
          <w:p w14:paraId="7705CF99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8</w:t>
            </w:r>
          </w:p>
        </w:tc>
        <w:tc>
          <w:tcPr>
            <w:tcW w:w="1539" w:type="dxa"/>
            <w:vAlign w:val="center"/>
          </w:tcPr>
          <w:p w14:paraId="34FA219C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Nesplnenie míľnikov v POO</w:t>
            </w:r>
          </w:p>
        </w:tc>
        <w:tc>
          <w:tcPr>
            <w:tcW w:w="2266" w:type="dxa"/>
            <w:vAlign w:val="center"/>
          </w:tcPr>
          <w:p w14:paraId="7AE82F6A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Predchádzanie prieťahom v stavebnom konaní včasným vykonaním inžinierskeho prieskumu</w:t>
            </w: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br/>
              <w:t>Čiastočná eliminácia stavebného konania (výber variantu, kde nie je potrebné)</w:t>
            </w: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br/>
            </w:r>
          </w:p>
        </w:tc>
      </w:tr>
      <w:tr w:rsidR="00D373AB" w14:paraId="6105B86F" w14:textId="77777777" w:rsidTr="00B51BEF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center"/>
          </w:tcPr>
          <w:p w14:paraId="3B2C2DB0" w14:textId="77777777" w:rsidR="00D373AB" w:rsidRDefault="00000000">
            <w:pPr>
              <w:pStyle w:val="BodyText"/>
              <w:widowControl w:val="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9</w:t>
            </w:r>
          </w:p>
        </w:tc>
        <w:tc>
          <w:tcPr>
            <w:tcW w:w="824" w:type="dxa"/>
            <w:vAlign w:val="center"/>
          </w:tcPr>
          <w:p w14:paraId="28E19301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DC</w:t>
            </w:r>
          </w:p>
        </w:tc>
        <w:tc>
          <w:tcPr>
            <w:tcW w:w="1202" w:type="dxa"/>
            <w:vAlign w:val="center"/>
          </w:tcPr>
          <w:p w14:paraId="70D14D93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Rekonštrukcia</w:t>
            </w:r>
          </w:p>
        </w:tc>
        <w:tc>
          <w:tcPr>
            <w:tcW w:w="1741" w:type="dxa"/>
            <w:vAlign w:val="center"/>
          </w:tcPr>
          <w:p w14:paraId="2899F3CB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Oneskorenie stavebných prác z organizačných dôvodov</w:t>
            </w:r>
          </w:p>
        </w:tc>
        <w:tc>
          <w:tcPr>
            <w:tcW w:w="316" w:type="dxa"/>
            <w:vAlign w:val="center"/>
          </w:tcPr>
          <w:p w14:paraId="352A8219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3</w:t>
            </w:r>
          </w:p>
        </w:tc>
        <w:tc>
          <w:tcPr>
            <w:tcW w:w="322" w:type="dxa"/>
            <w:vAlign w:val="center"/>
          </w:tcPr>
          <w:p w14:paraId="3ACDBA45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1</w:t>
            </w:r>
          </w:p>
        </w:tc>
        <w:tc>
          <w:tcPr>
            <w:tcW w:w="339" w:type="dxa"/>
            <w:vAlign w:val="center"/>
          </w:tcPr>
          <w:p w14:paraId="016FC3F5" w14:textId="77777777" w:rsidR="00D373AB" w:rsidRDefault="00000000">
            <w:pPr>
              <w:pStyle w:val="BodyText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7</w:t>
            </w:r>
          </w:p>
        </w:tc>
        <w:tc>
          <w:tcPr>
            <w:tcW w:w="1539" w:type="dxa"/>
            <w:vAlign w:val="center"/>
          </w:tcPr>
          <w:p w14:paraId="37BD4E25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Nesplnenie míľnikov v POO</w:t>
            </w:r>
          </w:p>
        </w:tc>
        <w:tc>
          <w:tcPr>
            <w:tcW w:w="2266" w:type="dxa"/>
            <w:vAlign w:val="center"/>
          </w:tcPr>
          <w:p w14:paraId="746BA77F" w14:textId="77777777" w:rsidR="00D373AB" w:rsidRDefault="00000000">
            <w:pPr>
              <w:pStyle w:val="BodyText"/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t>Dôsledný investorský dohľad / PM</w:t>
            </w: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br/>
              <w:t>Zabezpečiť dostatočnú expertízu na strane investora</w:t>
            </w:r>
            <w:r>
              <w:rPr>
                <w:rFonts w:ascii="Tahoma" w:eastAsiaTheme="minorEastAsia" w:hAnsi="Tahoma" w:cs="Tahoma"/>
                <w:sz w:val="16"/>
                <w:szCs w:val="16"/>
                <w:lang w:val="sk-SK"/>
              </w:rPr>
              <w:br/>
              <w:t>Zabezpečiť súčinnosť vlastníka objektu</w:t>
            </w:r>
          </w:p>
        </w:tc>
      </w:tr>
    </w:tbl>
    <w:p w14:paraId="5B963F30" w14:textId="76FD2157" w:rsidR="004425D4" w:rsidRDefault="004425D4" w:rsidP="004425D4">
      <w:pPr>
        <w:suppressAutoHyphens w:val="0"/>
        <w:spacing w:after="200"/>
        <w:rPr>
          <w:rFonts w:ascii="Calibri" w:eastAsia="Calibri" w:hAnsi="Calibri"/>
          <w:color w:val="44546A"/>
          <w:sz w:val="18"/>
          <w:szCs w:val="18"/>
          <w:lang w:val="sk-SK" w:eastAsia="en-US"/>
        </w:rPr>
      </w:pPr>
      <w:r w:rsidRPr="00901CEC">
        <w:rPr>
          <w:rFonts w:ascii="Calibri" w:eastAsia="Calibri" w:hAnsi="Calibri"/>
          <w:b/>
          <w:bCs/>
          <w:color w:val="44546A"/>
          <w:sz w:val="18"/>
          <w:szCs w:val="18"/>
          <w:lang w:val="sk-SK" w:eastAsia="en-US"/>
        </w:rPr>
        <w:t>Tabuľka</w:t>
      </w:r>
      <w:r w:rsidR="00DA6189">
        <w:rPr>
          <w:rFonts w:ascii="Calibri" w:eastAsia="Calibri" w:hAnsi="Calibri"/>
          <w:b/>
          <w:bCs/>
          <w:color w:val="44546A"/>
          <w:sz w:val="18"/>
          <w:szCs w:val="18"/>
          <w:lang w:val="sk-SK" w:eastAsia="en-US"/>
        </w:rPr>
        <w:t xml:space="preserve"> 2</w:t>
      </w:r>
      <w:r w:rsidRPr="00901CEC">
        <w:rPr>
          <w:rFonts w:ascii="Calibri" w:eastAsia="Calibri" w:hAnsi="Calibri"/>
          <w:b/>
          <w:bCs/>
          <w:color w:val="44546A"/>
          <w:sz w:val="18"/>
          <w:szCs w:val="18"/>
          <w:lang w:val="sk-SK" w:eastAsia="en-US"/>
        </w:rPr>
        <w:t xml:space="preserve">: </w:t>
      </w:r>
      <w:r w:rsidR="00DA6189">
        <w:rPr>
          <w:rFonts w:ascii="Calibri" w:eastAsia="Calibri" w:hAnsi="Calibri"/>
          <w:color w:val="44546A"/>
          <w:sz w:val="18"/>
          <w:szCs w:val="18"/>
          <w:lang w:val="sk-SK" w:eastAsia="en-US"/>
        </w:rPr>
        <w:t>Riziká a závislosti</w:t>
      </w:r>
    </w:p>
    <w:p w14:paraId="5E21CFF6" w14:textId="77777777" w:rsidR="004425D4" w:rsidRDefault="004425D4" w:rsidP="004425D4">
      <w:pPr>
        <w:suppressAutoHyphens w:val="0"/>
        <w:spacing w:after="200"/>
        <w:rPr>
          <w:rFonts w:ascii="Calibri" w:eastAsia="Calibri" w:hAnsi="Calibri"/>
          <w:color w:val="44546A"/>
          <w:sz w:val="18"/>
          <w:szCs w:val="18"/>
          <w:lang w:val="sk-SK" w:eastAsia="en-US"/>
        </w:rPr>
      </w:pPr>
    </w:p>
    <w:p w14:paraId="0455979F" w14:textId="5E4074A9" w:rsidR="00D373AB" w:rsidRDefault="00000000">
      <w:pPr>
        <w:pStyle w:val="Heading1"/>
        <w:numPr>
          <w:ilvl w:val="0"/>
          <w:numId w:val="2"/>
        </w:numPr>
      </w:pPr>
      <w:bookmarkStart w:id="229" w:name="_Toc132646572"/>
      <w:bookmarkStart w:id="230" w:name="_Toc132646537"/>
      <w:bookmarkStart w:id="231" w:name="_Toc132646301"/>
      <w:bookmarkStart w:id="232" w:name="_Toc132646536"/>
      <w:bookmarkStart w:id="233" w:name="_Toc132646417"/>
      <w:bookmarkStart w:id="234" w:name="_Toc132646573"/>
      <w:bookmarkStart w:id="235" w:name="_Toc132646538"/>
      <w:bookmarkStart w:id="236" w:name="_Toc132646418"/>
      <w:bookmarkStart w:id="237" w:name="_Toc132646382"/>
      <w:bookmarkStart w:id="238" w:name="_Toc132646300"/>
      <w:bookmarkStart w:id="239" w:name="_Toc132646334"/>
      <w:bookmarkStart w:id="240" w:name="_Toc132645655"/>
      <w:bookmarkStart w:id="241" w:name="_Toc132645937"/>
      <w:bookmarkStart w:id="242" w:name="_Toc132645656"/>
      <w:bookmarkStart w:id="243" w:name="_Toc132363478"/>
      <w:bookmarkStart w:id="244" w:name="_Toc132362856"/>
      <w:bookmarkStart w:id="245" w:name="_Toc132645935"/>
      <w:bookmarkStart w:id="246" w:name="_Toc132646332"/>
      <w:bookmarkStart w:id="247" w:name="_Toc132646299"/>
      <w:bookmarkStart w:id="248" w:name="_Toc132646380"/>
      <w:bookmarkStart w:id="249" w:name="_Toc132363476"/>
      <w:bookmarkStart w:id="250" w:name="_Toc132646381"/>
      <w:bookmarkStart w:id="251" w:name="_Toc132646416"/>
      <w:bookmarkStart w:id="252" w:name="_Toc132646333"/>
      <w:bookmarkStart w:id="253" w:name="_Toc132645936"/>
      <w:bookmarkStart w:id="254" w:name="_Toc132363477"/>
      <w:bookmarkStart w:id="255" w:name="_Toc132362855"/>
      <w:bookmarkStart w:id="256" w:name="_Toc132646453"/>
      <w:bookmarkStart w:id="257" w:name="_Toc132646452"/>
      <w:bookmarkStart w:id="258" w:name="_Toc132646451"/>
      <w:bookmarkStart w:id="259" w:name="_Toc132646571"/>
      <w:bookmarkStart w:id="260" w:name="_Toc132645654"/>
      <w:bookmarkStart w:id="261" w:name="_Toc132800183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r>
        <w:lastRenderedPageBreak/>
        <w:t>ŠPECIFIKÁCIA RIEŠENIA</w:t>
      </w:r>
      <w:bookmarkEnd w:id="261"/>
    </w:p>
    <w:p w14:paraId="62A66BFA" w14:textId="77777777" w:rsidR="00D373AB" w:rsidRDefault="00D373AB">
      <w:pPr>
        <w:jc w:val="both"/>
        <w:rPr>
          <w:color w:val="70AD47"/>
          <w:lang w:val="sk-SK"/>
        </w:rPr>
      </w:pPr>
    </w:p>
    <w:p w14:paraId="1D437D8F" w14:textId="1D843C76" w:rsidR="00D373AB" w:rsidRDefault="00000000" w:rsidP="00B51BEF">
      <w:pPr>
        <w:tabs>
          <w:tab w:val="left" w:pos="426"/>
          <w:tab w:val="center" w:pos="3119"/>
        </w:tabs>
        <w:spacing w:before="120"/>
        <w:contextualSpacing/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 xml:space="preserve">Vstupným parametrom pre určenie špecifikácie konfigurácie HPC infraštruktúry je </w:t>
      </w:r>
      <w:r w:rsidR="00E83BA2">
        <w:rPr>
          <w:rFonts w:ascii="Tahoma" w:hAnsi="Tahoma" w:cs="Tahoma"/>
          <w:sz w:val="16"/>
          <w:szCs w:val="16"/>
          <w:lang w:val="sk-SK"/>
        </w:rPr>
        <w:t xml:space="preserve">jednak </w:t>
      </w:r>
      <w:r>
        <w:rPr>
          <w:rFonts w:ascii="Tahoma" w:hAnsi="Tahoma" w:cs="Tahoma"/>
          <w:sz w:val="16"/>
          <w:szCs w:val="16"/>
          <w:lang w:val="sk-SK"/>
        </w:rPr>
        <w:t>predpokladaný dopyt po službách HPC</w:t>
      </w:r>
      <w:r w:rsidR="00E83BA2">
        <w:rPr>
          <w:rFonts w:ascii="Tahoma" w:hAnsi="Tahoma" w:cs="Tahoma"/>
          <w:sz w:val="16"/>
          <w:szCs w:val="16"/>
          <w:lang w:val="sk-SK"/>
        </w:rPr>
        <w:t xml:space="preserve"> a aj </w:t>
      </w:r>
      <w:r w:rsidR="00AC030C">
        <w:rPr>
          <w:rFonts w:ascii="Tahoma" w:hAnsi="Tahoma" w:cs="Tahoma"/>
          <w:sz w:val="16"/>
          <w:szCs w:val="16"/>
          <w:lang w:val="sk-SK"/>
        </w:rPr>
        <w:t>nutnosť</w:t>
      </w:r>
      <w:r w:rsidR="00E83BA2">
        <w:rPr>
          <w:rFonts w:ascii="Tahoma" w:hAnsi="Tahoma" w:cs="Tahoma"/>
          <w:sz w:val="16"/>
          <w:szCs w:val="16"/>
          <w:lang w:val="sk-SK"/>
        </w:rPr>
        <w:t xml:space="preserve"> splneni</w:t>
      </w:r>
      <w:r w:rsidR="00AC030C">
        <w:rPr>
          <w:rFonts w:ascii="Tahoma" w:hAnsi="Tahoma" w:cs="Tahoma"/>
          <w:sz w:val="16"/>
          <w:szCs w:val="16"/>
          <w:lang w:val="sk-SK"/>
        </w:rPr>
        <w:t>a</w:t>
      </w:r>
      <w:r w:rsidR="00E83BA2">
        <w:rPr>
          <w:rFonts w:ascii="Tahoma" w:hAnsi="Tahoma" w:cs="Tahoma"/>
          <w:sz w:val="16"/>
          <w:szCs w:val="16"/>
          <w:lang w:val="sk-SK"/>
        </w:rPr>
        <w:t xml:space="preserve"> cieľov investície ako sú definované v POO</w:t>
      </w:r>
      <w:r>
        <w:rPr>
          <w:rFonts w:ascii="Tahoma" w:hAnsi="Tahoma" w:cs="Tahoma"/>
          <w:sz w:val="16"/>
          <w:szCs w:val="16"/>
          <w:lang w:val="sk-SK"/>
        </w:rPr>
        <w:t xml:space="preserve">. </w:t>
      </w:r>
      <w:r w:rsidR="00AC030C">
        <w:rPr>
          <w:rFonts w:ascii="Tahoma" w:hAnsi="Tahoma" w:cs="Tahoma"/>
          <w:sz w:val="16"/>
          <w:szCs w:val="16"/>
          <w:lang w:val="sk-SK"/>
        </w:rPr>
        <w:t xml:space="preserve">Z uvedených podmienok </w:t>
      </w:r>
      <w:r>
        <w:rPr>
          <w:rFonts w:ascii="Tahoma" w:hAnsi="Tahoma" w:cs="Tahoma"/>
          <w:sz w:val="16"/>
          <w:szCs w:val="16"/>
          <w:lang w:val="sk-SK"/>
        </w:rPr>
        <w:t xml:space="preserve">vyplýva, že výsledná konfigurácia IKT má mať </w:t>
      </w:r>
      <w:r w:rsidR="00E83BA2">
        <w:rPr>
          <w:rFonts w:ascii="Tahoma" w:hAnsi="Tahoma" w:cs="Tahoma"/>
          <w:sz w:val="16"/>
          <w:szCs w:val="16"/>
          <w:lang w:val="sk-SK"/>
        </w:rPr>
        <w:t>výkon</w:t>
      </w:r>
      <w:r>
        <w:rPr>
          <w:rFonts w:ascii="Tahoma" w:hAnsi="Tahoma" w:cs="Tahoma"/>
          <w:sz w:val="16"/>
          <w:szCs w:val="16"/>
          <w:lang w:val="sk-SK"/>
        </w:rPr>
        <w:t xml:space="preserve"> </w:t>
      </w:r>
      <w:r w:rsidR="00E83BA2">
        <w:rPr>
          <w:rFonts w:ascii="Tahoma" w:hAnsi="Tahoma" w:cs="Tahoma"/>
          <w:sz w:val="16"/>
          <w:szCs w:val="16"/>
          <w:lang w:val="sk-SK"/>
        </w:rPr>
        <w:t>približne</w:t>
      </w:r>
      <w:r>
        <w:rPr>
          <w:rFonts w:ascii="Tahoma" w:hAnsi="Tahoma" w:cs="Tahoma"/>
          <w:sz w:val="16"/>
          <w:szCs w:val="16"/>
          <w:lang w:val="sk-SK"/>
        </w:rPr>
        <w:t xml:space="preserve"> 50 PFlop/s. </w:t>
      </w:r>
      <w:r w:rsidR="00815377">
        <w:rPr>
          <w:rFonts w:ascii="Tahoma" w:hAnsi="Tahoma" w:cs="Tahoma"/>
          <w:sz w:val="16"/>
          <w:szCs w:val="16"/>
          <w:lang w:val="sk-SK"/>
        </w:rPr>
        <w:t>Jedinou alternatívou</w:t>
      </w:r>
      <w:r w:rsidR="00E83BA2">
        <w:rPr>
          <w:rFonts w:ascii="Tahoma" w:hAnsi="Tahoma" w:cs="Tahoma"/>
          <w:sz w:val="16"/>
          <w:szCs w:val="16"/>
          <w:lang w:val="sk-SK"/>
        </w:rPr>
        <w:t xml:space="preserve"> realizácie</w:t>
      </w:r>
      <w:r w:rsidR="00815377">
        <w:rPr>
          <w:rFonts w:ascii="Tahoma" w:hAnsi="Tahoma" w:cs="Tahoma"/>
          <w:sz w:val="16"/>
          <w:szCs w:val="16"/>
          <w:lang w:val="sk-SK"/>
        </w:rPr>
        <w:t xml:space="preserve"> vzhľadom na časové riziko je </w:t>
      </w:r>
      <w:r w:rsidR="00E83BA2">
        <w:rPr>
          <w:rFonts w:ascii="Tahoma" w:hAnsi="Tahoma" w:cs="Tahoma"/>
          <w:sz w:val="16"/>
          <w:szCs w:val="16"/>
          <w:lang w:val="sk-SK"/>
        </w:rPr>
        <w:t xml:space="preserve">modifikovaný </w:t>
      </w:r>
      <w:r w:rsidR="00815377">
        <w:rPr>
          <w:rFonts w:ascii="Tahoma" w:hAnsi="Tahoma" w:cs="Tahoma"/>
          <w:sz w:val="16"/>
          <w:szCs w:val="16"/>
          <w:lang w:val="sk-SK"/>
        </w:rPr>
        <w:t xml:space="preserve">scenár „basic“ </w:t>
      </w:r>
      <w:r w:rsidR="00E83BA2">
        <w:rPr>
          <w:rFonts w:ascii="Tahoma" w:hAnsi="Tahoma" w:cs="Tahoma"/>
          <w:sz w:val="16"/>
          <w:szCs w:val="16"/>
          <w:lang w:val="sk-SK"/>
        </w:rPr>
        <w:t>zo </w:t>
      </w:r>
      <w:r w:rsidR="00815377">
        <w:rPr>
          <w:rFonts w:ascii="Tahoma" w:hAnsi="Tahoma" w:cs="Tahoma"/>
          <w:sz w:val="16"/>
          <w:szCs w:val="16"/>
          <w:lang w:val="sk-SK"/>
        </w:rPr>
        <w:t>ŠU.</w:t>
      </w:r>
    </w:p>
    <w:p w14:paraId="41348927" w14:textId="33267FBA" w:rsidR="00D373AB" w:rsidRDefault="00000000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Zrevidovaný model v Tabuľke </w:t>
      </w:r>
      <w:r w:rsidR="00DA6189">
        <w:rPr>
          <w:rFonts w:ascii="Tahoma" w:eastAsia="Arial Narrow" w:hAnsi="Tahoma" w:cs="Tahoma"/>
          <w:iCs/>
          <w:sz w:val="16"/>
          <w:szCs w:val="16"/>
          <w:lang w:val="sk-SK"/>
        </w:rPr>
        <w:t>3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 počíta s mid-range HPC systémom s výkonom cca 50 PFlop/s a s dostatočne robustnou akcelerovanou partíciou a využitím zelených technológií pre splnenie cieľa „Vybudovanie energeticky efektívneho superpočítačového systému s ambíciou umiestniť sa v prvej desiatke svetového rebríčka Green 500.“</w:t>
      </w:r>
    </w:p>
    <w:p w14:paraId="177E6B79" w14:textId="77777777" w:rsidR="00D373AB" w:rsidRDefault="00D373AB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tbl>
      <w:tblPr>
        <w:tblW w:w="3804" w:type="dxa"/>
        <w:jc w:val="center"/>
        <w:tblLook w:val="04A0" w:firstRow="1" w:lastRow="0" w:firstColumn="1" w:lastColumn="0" w:noHBand="0" w:noVBand="1"/>
      </w:tblPr>
      <w:tblGrid>
        <w:gridCol w:w="2485"/>
        <w:gridCol w:w="1319"/>
      </w:tblGrid>
      <w:tr w:rsidR="00D373AB" w:rsidRPr="00815377" w14:paraId="241EC449" w14:textId="77777777" w:rsidTr="0090050B">
        <w:trPr>
          <w:trHeight w:val="299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9CC2E5"/>
            <w:vAlign w:val="bottom"/>
          </w:tcPr>
          <w:p w14:paraId="67EDAD50" w14:textId="77777777" w:rsidR="00D373AB" w:rsidRPr="00815377" w:rsidRDefault="00000000" w:rsidP="0090050B">
            <w:pPr>
              <w:widowControl w:val="0"/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81537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en-GB"/>
              </w:rPr>
              <w:t>Revidovaný návrh HPC systému:</w:t>
            </w:r>
          </w:p>
        </w:tc>
      </w:tr>
      <w:tr w:rsidR="00D373AB" w:rsidRPr="00815377" w14:paraId="54AD5A43" w14:textId="77777777" w:rsidTr="0090050B">
        <w:trPr>
          <w:trHeight w:val="299"/>
          <w:jc w:val="center"/>
        </w:trPr>
        <w:tc>
          <w:tcPr>
            <w:tcW w:w="248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B5CDF6A" w14:textId="77777777" w:rsidR="00D373AB" w:rsidRPr="00815377" w:rsidRDefault="00000000" w:rsidP="0090050B">
            <w:pPr>
              <w:widowControl w:val="0"/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</w:pPr>
            <w:r w:rsidRPr="00815377"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  <w:t>Počet CPU uzlov</w:t>
            </w:r>
          </w:p>
        </w:tc>
        <w:tc>
          <w:tcPr>
            <w:tcW w:w="131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4F3B681" w14:textId="77777777" w:rsidR="00D373AB" w:rsidRPr="00815377" w:rsidRDefault="00000000" w:rsidP="0090050B">
            <w:pPr>
              <w:widowControl w:val="0"/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</w:pPr>
            <w:r w:rsidRPr="00815377"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  <w:t>150</w:t>
            </w:r>
          </w:p>
        </w:tc>
      </w:tr>
      <w:tr w:rsidR="00D373AB" w:rsidRPr="00815377" w14:paraId="5ECD0FD1" w14:textId="77777777" w:rsidTr="0090050B">
        <w:trPr>
          <w:trHeight w:val="299"/>
          <w:jc w:val="center"/>
        </w:trPr>
        <w:tc>
          <w:tcPr>
            <w:tcW w:w="2485" w:type="dxa"/>
            <w:shd w:val="clear" w:color="auto" w:fill="auto"/>
            <w:vAlign w:val="bottom"/>
          </w:tcPr>
          <w:p w14:paraId="196CAFA8" w14:textId="77777777" w:rsidR="00D373AB" w:rsidRPr="00815377" w:rsidRDefault="00000000" w:rsidP="0090050B">
            <w:pPr>
              <w:widowControl w:val="0"/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</w:pPr>
            <w:r w:rsidRPr="00815377"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  <w:t>Počet FAT uzlov</w:t>
            </w:r>
          </w:p>
        </w:tc>
        <w:tc>
          <w:tcPr>
            <w:tcW w:w="1319" w:type="dxa"/>
            <w:shd w:val="clear" w:color="auto" w:fill="auto"/>
            <w:vAlign w:val="bottom"/>
          </w:tcPr>
          <w:p w14:paraId="799B8869" w14:textId="77777777" w:rsidR="00D373AB" w:rsidRPr="00815377" w:rsidRDefault="00000000" w:rsidP="0090050B">
            <w:pPr>
              <w:widowControl w:val="0"/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</w:pPr>
            <w:r w:rsidRPr="00815377"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  <w:t>50</w:t>
            </w:r>
          </w:p>
        </w:tc>
      </w:tr>
      <w:tr w:rsidR="00D373AB" w:rsidRPr="00815377" w14:paraId="7C880BAB" w14:textId="77777777" w:rsidTr="0090050B">
        <w:trPr>
          <w:trHeight w:val="299"/>
          <w:jc w:val="center"/>
        </w:trPr>
        <w:tc>
          <w:tcPr>
            <w:tcW w:w="2485" w:type="dxa"/>
            <w:shd w:val="clear" w:color="auto" w:fill="auto"/>
            <w:vAlign w:val="bottom"/>
          </w:tcPr>
          <w:p w14:paraId="7BE49F83" w14:textId="77777777" w:rsidR="00D373AB" w:rsidRPr="00815377" w:rsidRDefault="00000000" w:rsidP="0090050B">
            <w:pPr>
              <w:widowControl w:val="0"/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</w:pPr>
            <w:r w:rsidRPr="00815377"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  <w:t>Počet GPU uzlov</w:t>
            </w:r>
          </w:p>
        </w:tc>
        <w:tc>
          <w:tcPr>
            <w:tcW w:w="1319" w:type="dxa"/>
            <w:shd w:val="clear" w:color="auto" w:fill="auto"/>
            <w:vAlign w:val="bottom"/>
          </w:tcPr>
          <w:p w14:paraId="0CC85596" w14:textId="77777777" w:rsidR="00D373AB" w:rsidRPr="00815377" w:rsidRDefault="00000000" w:rsidP="0090050B">
            <w:pPr>
              <w:widowControl w:val="0"/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</w:pPr>
            <w:r w:rsidRPr="00815377"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  <w:t>150</w:t>
            </w:r>
          </w:p>
        </w:tc>
      </w:tr>
      <w:tr w:rsidR="00D373AB" w:rsidRPr="00815377" w14:paraId="2DD18647" w14:textId="77777777" w:rsidTr="0090050B">
        <w:trPr>
          <w:trHeight w:val="299"/>
          <w:jc w:val="center"/>
        </w:trPr>
        <w:tc>
          <w:tcPr>
            <w:tcW w:w="2485" w:type="dxa"/>
            <w:shd w:val="clear" w:color="auto" w:fill="auto"/>
            <w:vAlign w:val="bottom"/>
          </w:tcPr>
          <w:p w14:paraId="5D561EB6" w14:textId="77777777" w:rsidR="00D373AB" w:rsidRPr="00815377" w:rsidRDefault="00000000" w:rsidP="0090050B">
            <w:pPr>
              <w:widowControl w:val="0"/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</w:pPr>
            <w:r w:rsidRPr="00815377"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  <w:t>Počet jadier</w:t>
            </w:r>
          </w:p>
        </w:tc>
        <w:tc>
          <w:tcPr>
            <w:tcW w:w="1319" w:type="dxa"/>
            <w:shd w:val="clear" w:color="auto" w:fill="auto"/>
            <w:vAlign w:val="bottom"/>
          </w:tcPr>
          <w:p w14:paraId="4BE51132" w14:textId="77777777" w:rsidR="00D373AB" w:rsidRPr="00815377" w:rsidRDefault="00000000" w:rsidP="0090050B">
            <w:pPr>
              <w:widowControl w:val="0"/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</w:pPr>
            <w:r w:rsidRPr="00815377"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  <w:t>67200</w:t>
            </w:r>
          </w:p>
        </w:tc>
      </w:tr>
      <w:tr w:rsidR="00D373AB" w:rsidRPr="00815377" w14:paraId="4F11F011" w14:textId="77777777" w:rsidTr="0090050B">
        <w:trPr>
          <w:trHeight w:val="299"/>
          <w:jc w:val="center"/>
        </w:trPr>
        <w:tc>
          <w:tcPr>
            <w:tcW w:w="2485" w:type="dxa"/>
            <w:shd w:val="clear" w:color="auto" w:fill="auto"/>
            <w:vAlign w:val="bottom"/>
          </w:tcPr>
          <w:p w14:paraId="5A1926D6" w14:textId="77777777" w:rsidR="00D373AB" w:rsidRPr="00815377" w:rsidRDefault="00000000" w:rsidP="0090050B">
            <w:pPr>
              <w:widowControl w:val="0"/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</w:pPr>
            <w:r w:rsidRPr="00815377"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  <w:t>Počet akcelerátorov</w:t>
            </w:r>
          </w:p>
        </w:tc>
        <w:tc>
          <w:tcPr>
            <w:tcW w:w="1319" w:type="dxa"/>
            <w:shd w:val="clear" w:color="auto" w:fill="auto"/>
            <w:vAlign w:val="bottom"/>
          </w:tcPr>
          <w:p w14:paraId="11F3BFCE" w14:textId="77777777" w:rsidR="00D373AB" w:rsidRPr="00815377" w:rsidRDefault="00000000" w:rsidP="0090050B">
            <w:pPr>
              <w:widowControl w:val="0"/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</w:pPr>
            <w:r w:rsidRPr="00815377"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  <w:t>1200</w:t>
            </w:r>
          </w:p>
        </w:tc>
      </w:tr>
      <w:tr w:rsidR="00D373AB" w:rsidRPr="00815377" w14:paraId="733F980B" w14:textId="77777777" w:rsidTr="006F3F6E">
        <w:trPr>
          <w:trHeight w:val="299"/>
          <w:jc w:val="center"/>
        </w:trPr>
        <w:tc>
          <w:tcPr>
            <w:tcW w:w="2485" w:type="dxa"/>
            <w:shd w:val="clear" w:color="auto" w:fill="auto"/>
            <w:vAlign w:val="bottom"/>
          </w:tcPr>
          <w:p w14:paraId="7E3398C9" w14:textId="77777777" w:rsidR="00D373AB" w:rsidRPr="00815377" w:rsidRDefault="00000000" w:rsidP="0090050B">
            <w:pPr>
              <w:widowControl w:val="0"/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</w:pPr>
            <w:r w:rsidRPr="00815377"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  <w:t>Výpočtový výkon</w:t>
            </w:r>
          </w:p>
        </w:tc>
        <w:tc>
          <w:tcPr>
            <w:tcW w:w="1319" w:type="dxa"/>
            <w:shd w:val="clear" w:color="auto" w:fill="auto"/>
            <w:vAlign w:val="bottom"/>
          </w:tcPr>
          <w:p w14:paraId="1C794458" w14:textId="77777777" w:rsidR="00D373AB" w:rsidRPr="00815377" w:rsidRDefault="00000000" w:rsidP="0090050B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81537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en-GB"/>
              </w:rPr>
              <w:t>50 PFlop/s</w:t>
            </w:r>
          </w:p>
        </w:tc>
      </w:tr>
      <w:tr w:rsidR="00D373AB" w:rsidRPr="00815377" w14:paraId="0A1A8232" w14:textId="77777777" w:rsidTr="006F3F6E">
        <w:trPr>
          <w:trHeight w:val="301"/>
          <w:jc w:val="center"/>
        </w:trPr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B8C10D" w14:textId="77777777" w:rsidR="00D373AB" w:rsidRPr="00815377" w:rsidRDefault="00000000" w:rsidP="0090050B">
            <w:pPr>
              <w:widowControl w:val="0"/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</w:pPr>
            <w:r w:rsidRPr="00815377"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  <w:t>Príkon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D2EEA7" w14:textId="77777777" w:rsidR="00D373AB" w:rsidRPr="00815377" w:rsidRDefault="00000000" w:rsidP="0090050B">
            <w:pPr>
              <w:widowControl w:val="0"/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</w:pPr>
            <w:r w:rsidRPr="00815377">
              <w:rPr>
                <w:rFonts w:ascii="Tahoma" w:hAnsi="Tahoma" w:cs="Tahoma"/>
                <w:color w:val="000000"/>
                <w:sz w:val="16"/>
                <w:szCs w:val="16"/>
                <w:lang w:val="sk-SK" w:eastAsia="en-GB"/>
              </w:rPr>
              <w:t>655,7 kW</w:t>
            </w:r>
          </w:p>
        </w:tc>
      </w:tr>
    </w:tbl>
    <w:p w14:paraId="4BF402C0" w14:textId="3BF97D0E" w:rsidR="00D373AB" w:rsidRDefault="00000000" w:rsidP="0090050B">
      <w:pPr>
        <w:suppressAutoHyphens w:val="0"/>
        <w:spacing w:after="200"/>
        <w:jc w:val="center"/>
        <w:rPr>
          <w:rFonts w:ascii="Calibri" w:eastAsia="Calibri" w:hAnsi="Calibri"/>
          <w:color w:val="44546A"/>
          <w:sz w:val="18"/>
          <w:szCs w:val="18"/>
          <w:lang w:val="sk-SK" w:eastAsia="en-US"/>
        </w:rPr>
      </w:pPr>
      <w:r w:rsidRPr="006F50E5">
        <w:rPr>
          <w:rFonts w:ascii="Calibri" w:eastAsia="Calibri" w:hAnsi="Calibri"/>
          <w:b/>
          <w:bCs/>
          <w:color w:val="44546A"/>
          <w:sz w:val="18"/>
          <w:szCs w:val="18"/>
          <w:lang w:val="sk-SK" w:eastAsia="en-US"/>
        </w:rPr>
        <w:t>Tabuľka</w:t>
      </w:r>
      <w:r>
        <w:rPr>
          <w:rFonts w:ascii="Calibri" w:eastAsia="Calibri" w:hAnsi="Calibri"/>
          <w:b/>
          <w:bCs/>
          <w:color w:val="44546A"/>
          <w:sz w:val="18"/>
          <w:szCs w:val="18"/>
          <w:lang w:eastAsia="en-US"/>
        </w:rPr>
        <w:t xml:space="preserve"> </w:t>
      </w:r>
      <w:r w:rsidR="00DA6189">
        <w:rPr>
          <w:rFonts w:ascii="Calibri" w:eastAsia="Calibri" w:hAnsi="Calibri"/>
          <w:b/>
          <w:bCs/>
          <w:color w:val="44546A"/>
          <w:sz w:val="18"/>
          <w:szCs w:val="18"/>
          <w:lang w:eastAsia="en-US"/>
        </w:rPr>
        <w:t>3</w:t>
      </w:r>
      <w:r>
        <w:rPr>
          <w:rFonts w:ascii="Calibri" w:eastAsia="Calibri" w:hAnsi="Calibri"/>
          <w:b/>
          <w:bCs/>
          <w:color w:val="44546A"/>
          <w:sz w:val="18"/>
          <w:szCs w:val="18"/>
          <w:lang w:val="sk-SK" w:eastAsia="en-US"/>
        </w:rPr>
        <w:t>:</w:t>
      </w:r>
      <w:r>
        <w:rPr>
          <w:rFonts w:ascii="Calibri" w:eastAsia="Calibri" w:hAnsi="Calibri"/>
          <w:color w:val="44546A"/>
          <w:sz w:val="18"/>
          <w:szCs w:val="18"/>
          <w:lang w:val="sk-SK" w:eastAsia="en-US"/>
        </w:rPr>
        <w:t xml:space="preserve"> Navrhované vstupné parametre projektu</w:t>
      </w:r>
    </w:p>
    <w:p w14:paraId="5A5D9103" w14:textId="77777777" w:rsidR="00D373AB" w:rsidRDefault="00D373AB">
      <w:pPr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bookmarkStart w:id="262" w:name="move132362173"/>
      <w:bookmarkEnd w:id="262"/>
    </w:p>
    <w:p w14:paraId="529104DE" w14:textId="77777777" w:rsidR="00D373AB" w:rsidRDefault="00D373AB">
      <w:pPr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5D3446AE" w14:textId="0157E2B8" w:rsidR="00D373AB" w:rsidRPr="005738EA" w:rsidRDefault="00000000">
      <w:pPr>
        <w:jc w:val="both"/>
        <w:rPr>
          <w:rFonts w:ascii="Tahoma" w:eastAsia="Arial Narrow" w:hAnsi="Tahoma" w:cs="Tahoma"/>
          <w:iCs/>
          <w:sz w:val="16"/>
          <w:szCs w:val="16"/>
          <w:u w:val="single"/>
          <w:lang w:val="sk-SK"/>
        </w:rPr>
      </w:pPr>
      <w:r w:rsidRPr="005738EA">
        <w:rPr>
          <w:rFonts w:ascii="Tahoma" w:eastAsia="Arial Narrow" w:hAnsi="Tahoma" w:cs="Tahoma"/>
          <w:iCs/>
          <w:sz w:val="16"/>
          <w:szCs w:val="16"/>
          <w:u w:val="single"/>
          <w:lang w:val="sk-SK"/>
        </w:rPr>
        <w:t>Návrh prevádzkového modelu projektu Budovanie udržateľného HPC ekosystému na Slovensku</w:t>
      </w:r>
      <w:r w:rsidR="00E83BA2" w:rsidRPr="005738EA">
        <w:rPr>
          <w:rFonts w:ascii="Tahoma" w:eastAsia="Arial Narrow" w:hAnsi="Tahoma" w:cs="Tahoma"/>
          <w:iCs/>
          <w:sz w:val="16"/>
          <w:szCs w:val="16"/>
          <w:u w:val="single"/>
          <w:lang w:val="sk-SK"/>
        </w:rPr>
        <w:t xml:space="preserve"> po dobu udržateľnosti projektu</w:t>
      </w:r>
      <w:r w:rsidR="00AC030C" w:rsidRPr="005738EA">
        <w:rPr>
          <w:rFonts w:ascii="Tahoma" w:eastAsia="Arial Narrow" w:hAnsi="Tahoma" w:cs="Tahoma"/>
          <w:iCs/>
          <w:sz w:val="16"/>
          <w:szCs w:val="16"/>
          <w:u w:val="single"/>
          <w:lang w:val="sk-SK"/>
        </w:rPr>
        <w:t xml:space="preserve"> (do roku 2031).</w:t>
      </w:r>
    </w:p>
    <w:p w14:paraId="3988670A" w14:textId="77777777" w:rsidR="00D373AB" w:rsidRDefault="00D373AB">
      <w:pPr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0A80C41E" w14:textId="0A8483BD" w:rsidR="00AC030C" w:rsidRDefault="00AC030C">
      <w:pPr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>Podmienkou EK pri investíciách POO je zabezpečenie udržateľnosti míľnika počas piatich rokov od poslednej platby súvisiacej s ním. Nákup HPC infraštruktúry je spojený s pomerne vysokými nákladmi na jej prevádzku, preto navrhujeme nasledovný model rozdelenia investície:</w:t>
      </w:r>
    </w:p>
    <w:p w14:paraId="48D1D196" w14:textId="77777777" w:rsidR="00D373AB" w:rsidRDefault="00D373AB">
      <w:pPr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34624B4C" w14:textId="467673D6" w:rsidR="00D373AB" w:rsidRDefault="00000000">
      <w:pPr>
        <w:pStyle w:val="ListParagraph"/>
        <w:numPr>
          <w:ilvl w:val="0"/>
          <w:numId w:val="7"/>
        </w:numPr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>Zníž</w:t>
      </w:r>
      <w:r w:rsidR="00AC030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enie 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kapitálov</w:t>
      </w:r>
      <w:r w:rsidR="00AC030C">
        <w:rPr>
          <w:rFonts w:ascii="Tahoma" w:eastAsia="Arial Narrow" w:hAnsi="Tahoma" w:cs="Tahoma"/>
          <w:iCs/>
          <w:sz w:val="16"/>
          <w:szCs w:val="16"/>
          <w:lang w:val="sk-SK"/>
        </w:rPr>
        <w:t>ých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 výdavk</w:t>
      </w:r>
      <w:r w:rsidR="00AC030C">
        <w:rPr>
          <w:rFonts w:ascii="Tahoma" w:eastAsia="Arial Narrow" w:hAnsi="Tahoma" w:cs="Tahoma"/>
          <w:iCs/>
          <w:sz w:val="16"/>
          <w:szCs w:val="16"/>
          <w:lang w:val="sk-SK"/>
        </w:rPr>
        <w:t>ov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 tak, aby výška investície pokrývala aj prevádzkové náklady po dobu udržateľnosti projektu (zvyčajne 5 rokov) pri súčasnom splnení cieľov a míľnikov investície.</w:t>
      </w:r>
    </w:p>
    <w:p w14:paraId="39EF7A5A" w14:textId="77777777" w:rsidR="00D373AB" w:rsidRDefault="00000000">
      <w:pPr>
        <w:pStyle w:val="ListParagraph"/>
        <w:numPr>
          <w:ilvl w:val="0"/>
          <w:numId w:val="7"/>
        </w:numPr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>Pri splnení míľnika sa predpokladá platba zo strany EK v plnej výške 70 M EUR, pričom neminuté prostriedky sa použijú na zabezpečenie budúcej prevádzky pomocou mechanizmu navrhnutým VAIA pre udržateľnosť systémových VVI infraštruktúr v SR (viď. Príloha 2).</w:t>
      </w:r>
    </w:p>
    <w:p w14:paraId="33359D12" w14:textId="77777777" w:rsidR="00D373AB" w:rsidRDefault="00000000">
      <w:pPr>
        <w:pStyle w:val="ListParagraph"/>
        <w:numPr>
          <w:ilvl w:val="0"/>
          <w:numId w:val="7"/>
        </w:numPr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>Okrem samotnej prevádzky navrhovaný mechanizmus umožňuje aj financovanie aktivít na podporu HPC ekosystému.</w:t>
      </w:r>
    </w:p>
    <w:p w14:paraId="2AD7953B" w14:textId="77777777" w:rsidR="00D373AB" w:rsidRDefault="00D373AB">
      <w:pPr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2B84BC2C" w14:textId="77777777" w:rsidR="00D373AB" w:rsidRDefault="00000000">
      <w:pPr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>Harmonogram na Obrázku 1 predpokladá posunutie míľnika v súlade s navrhovanou aktualizáciou POO. V súčasnosti už nie je reálne predpokladať dodanie a akceptáciu obstaraného superpočítačového riešenia do konca roka 2024.</w:t>
      </w:r>
    </w:p>
    <w:p w14:paraId="1E339F41" w14:textId="77777777" w:rsidR="00D373AB" w:rsidRDefault="00D373AB">
      <w:pPr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3D714E17" w14:textId="77777777" w:rsidR="00D373AB" w:rsidRDefault="00000000" w:rsidP="00AA7EE1">
      <w:pPr>
        <w:keepNext/>
        <w:jc w:val="center"/>
      </w:pPr>
      <w:r>
        <w:rPr>
          <w:noProof/>
        </w:rPr>
        <w:drawing>
          <wp:inline distT="0" distB="0" distL="0" distR="0" wp14:anchorId="024C01E4" wp14:editId="6E0F253A">
            <wp:extent cx="4867817" cy="2616741"/>
            <wp:effectExtent l="0" t="0" r="0" b="0"/>
            <wp:docPr id="2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188" cy="262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D9B27" w14:textId="12EA323C" w:rsidR="00D373AB" w:rsidRDefault="00000000">
      <w:pPr>
        <w:pStyle w:val="Caption"/>
        <w:rPr>
          <w:rFonts w:ascii="Calibri" w:eastAsia="Calibri" w:hAnsi="Calibri"/>
          <w:i w:val="0"/>
          <w:iCs w:val="0"/>
          <w:lang w:val="sk-SK" w:eastAsia="en-US"/>
        </w:rPr>
      </w:pPr>
      <w:r>
        <w:rPr>
          <w:rFonts w:ascii="Calibri" w:eastAsia="Calibri" w:hAnsi="Calibri"/>
          <w:b/>
          <w:bCs/>
          <w:i w:val="0"/>
          <w:iCs w:val="0"/>
          <w:lang w:val="sk-SK" w:eastAsia="en-US"/>
        </w:rPr>
        <w:t xml:space="preserve">Obrázok 1: </w:t>
      </w:r>
      <w:r>
        <w:rPr>
          <w:rFonts w:ascii="Calibri" w:eastAsia="Calibri" w:hAnsi="Calibri"/>
          <w:i w:val="0"/>
          <w:iCs w:val="0"/>
          <w:lang w:val="sk-SK" w:eastAsia="en-US"/>
        </w:rPr>
        <w:t>Schéma rozdelenia CAPEX a OPEX výdavkov pre zabezpečenie udržateľnosti projektu s využitím stabilizačného mechanizmu.</w:t>
      </w:r>
    </w:p>
    <w:p w14:paraId="70C5F5FD" w14:textId="5E925C5A" w:rsidR="00D373AB" w:rsidRPr="00847B73" w:rsidRDefault="00847B73">
      <w:pPr>
        <w:rPr>
          <w:rFonts w:ascii="Tahoma" w:eastAsia="Calibri" w:hAnsi="Tahoma" w:cs="Tahoma"/>
          <w:sz w:val="16"/>
          <w:szCs w:val="16"/>
          <w:lang w:val="sk-SK" w:eastAsia="en-US"/>
        </w:rPr>
      </w:pPr>
      <w:r w:rsidRPr="00847B73">
        <w:rPr>
          <w:rFonts w:ascii="Tahoma" w:eastAsia="Calibri" w:hAnsi="Tahoma" w:cs="Tahoma"/>
          <w:sz w:val="16"/>
          <w:szCs w:val="16"/>
          <w:lang w:val="sk-SK" w:eastAsia="en-US"/>
        </w:rPr>
        <w:t>Predpokladá sa tiež komerčný predaj výpočtovej kapacity</w:t>
      </w:r>
      <w:r>
        <w:rPr>
          <w:rFonts w:ascii="Tahoma" w:eastAsia="Calibri" w:hAnsi="Tahoma" w:cs="Tahoma"/>
          <w:sz w:val="16"/>
          <w:szCs w:val="16"/>
          <w:lang w:val="sk-SK" w:eastAsia="en-US"/>
        </w:rPr>
        <w:t xml:space="preserve"> v zmysle pravidiel štátnej pomoci a tým zníženie potreby externých zdrojov pre potreby prevádzky. Miera </w:t>
      </w:r>
      <w:proofErr w:type="spellStart"/>
      <w:r>
        <w:rPr>
          <w:rFonts w:ascii="Tahoma" w:eastAsia="Calibri" w:hAnsi="Tahoma" w:cs="Tahoma"/>
          <w:sz w:val="16"/>
          <w:szCs w:val="16"/>
          <w:lang w:val="sk-SK" w:eastAsia="en-US"/>
        </w:rPr>
        <w:t>komercionalizácie</w:t>
      </w:r>
      <w:proofErr w:type="spellEnd"/>
      <w:r>
        <w:rPr>
          <w:rFonts w:ascii="Tahoma" w:eastAsia="Calibri" w:hAnsi="Tahoma" w:cs="Tahoma"/>
          <w:sz w:val="16"/>
          <w:szCs w:val="16"/>
          <w:lang w:val="sk-SK" w:eastAsia="en-US"/>
        </w:rPr>
        <w:t xml:space="preserve"> je však obmedzená na 20</w:t>
      </w:r>
      <w:r>
        <w:rPr>
          <w:rFonts w:ascii="Tahoma" w:eastAsia="Calibri" w:hAnsi="Tahoma" w:cs="Tahoma"/>
          <w:sz w:val="16"/>
          <w:szCs w:val="16"/>
          <w:lang w:eastAsia="en-US"/>
        </w:rPr>
        <w:t>%</w:t>
      </w:r>
      <w:r>
        <w:rPr>
          <w:rFonts w:ascii="Tahoma" w:eastAsia="Calibri" w:hAnsi="Tahoma" w:cs="Tahoma"/>
          <w:sz w:val="16"/>
          <w:szCs w:val="16"/>
          <w:lang w:val="sk-SK" w:eastAsia="en-US"/>
        </w:rPr>
        <w:t xml:space="preserve">, pričom samotný dopyt na trhu je omnoho </w:t>
      </w:r>
      <w:r>
        <w:rPr>
          <w:rFonts w:ascii="Tahoma" w:eastAsia="Calibri" w:hAnsi="Tahoma" w:cs="Tahoma"/>
          <w:sz w:val="16"/>
          <w:szCs w:val="16"/>
          <w:lang w:val="sk-SK" w:eastAsia="en-US"/>
        </w:rPr>
        <w:lastRenderedPageBreak/>
        <w:t>nižší. Predpokladá sa, že aktivity rozvíjajúce ekosystém významnou mierou dopyt zvýšia. Pre účely finančného modelu v Kapitole 5 počítame s predajom 3</w:t>
      </w:r>
      <w:r>
        <w:rPr>
          <w:rFonts w:ascii="Tahoma" w:eastAsia="Calibri" w:hAnsi="Tahoma" w:cs="Tahoma"/>
          <w:sz w:val="16"/>
          <w:szCs w:val="16"/>
          <w:lang w:eastAsia="en-US"/>
        </w:rPr>
        <w:t xml:space="preserve">% </w:t>
      </w:r>
      <w:proofErr w:type="spellStart"/>
      <w:r>
        <w:rPr>
          <w:rFonts w:ascii="Tahoma" w:eastAsia="Calibri" w:hAnsi="Tahoma" w:cs="Tahoma"/>
          <w:sz w:val="16"/>
          <w:szCs w:val="16"/>
          <w:lang w:eastAsia="en-US"/>
        </w:rPr>
        <w:t>celkovej</w:t>
      </w:r>
      <w:proofErr w:type="spellEnd"/>
      <w:r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sz w:val="16"/>
          <w:szCs w:val="16"/>
          <w:lang w:eastAsia="en-US"/>
        </w:rPr>
        <w:t>kapacity</w:t>
      </w:r>
      <w:proofErr w:type="spellEnd"/>
      <w:r>
        <w:rPr>
          <w:rFonts w:ascii="Tahoma" w:eastAsia="Calibri" w:hAnsi="Tahoma" w:cs="Tahoma"/>
          <w:sz w:val="16"/>
          <w:szCs w:val="16"/>
          <w:lang w:eastAsia="en-US"/>
        </w:rPr>
        <w:t>.</w:t>
      </w:r>
    </w:p>
    <w:p w14:paraId="64B32907" w14:textId="4A11CCA6" w:rsidR="006734F7" w:rsidRPr="0090050B" w:rsidRDefault="0090050B">
      <w:pPr>
        <w:rPr>
          <w:rFonts w:ascii="Tahoma" w:eastAsia="Calibri" w:hAnsi="Tahoma" w:cs="Tahoma"/>
          <w:sz w:val="16"/>
          <w:szCs w:val="16"/>
          <w:lang w:val="sk-SK" w:eastAsia="en-US"/>
        </w:rPr>
      </w:pPr>
      <w:r w:rsidRPr="0090050B">
        <w:rPr>
          <w:rFonts w:ascii="Tahoma" w:eastAsia="Calibri" w:hAnsi="Tahoma" w:cs="Tahoma"/>
          <w:sz w:val="16"/>
          <w:szCs w:val="16"/>
          <w:lang w:val="sk-SK" w:eastAsia="en-US"/>
        </w:rPr>
        <w:t xml:space="preserve">Umiestnenie a </w:t>
      </w:r>
      <w:proofErr w:type="spellStart"/>
      <w:r w:rsidRPr="0090050B">
        <w:rPr>
          <w:rFonts w:ascii="Tahoma" w:eastAsia="Calibri" w:hAnsi="Tahoma" w:cs="Tahoma"/>
          <w:sz w:val="16"/>
          <w:szCs w:val="16"/>
          <w:lang w:val="sk-SK" w:eastAsia="en-US"/>
        </w:rPr>
        <w:t>housing</w:t>
      </w:r>
      <w:proofErr w:type="spellEnd"/>
      <w:r w:rsidRPr="0090050B">
        <w:rPr>
          <w:rFonts w:ascii="Tahoma" w:eastAsia="Calibri" w:hAnsi="Tahoma" w:cs="Tahoma"/>
          <w:sz w:val="16"/>
          <w:szCs w:val="16"/>
          <w:lang w:val="sk-SK" w:eastAsia="en-US"/>
        </w:rPr>
        <w:t xml:space="preserve"> HPC systému bude predmetom analýzy v rámci realizácie projektu. Lokalitu je potrebné určiť pred začiatkom procesu VO.</w:t>
      </w:r>
      <w:r>
        <w:rPr>
          <w:rFonts w:ascii="Tahoma" w:eastAsia="Calibri" w:hAnsi="Tahoma" w:cs="Tahoma"/>
          <w:sz w:val="16"/>
          <w:szCs w:val="16"/>
          <w:lang w:val="sk-SK" w:eastAsia="en-US"/>
        </w:rPr>
        <w:t xml:space="preserve"> V nasledujúcej kapitole 5 sa počíta s nákladmi na kontajnerové riešenie datacentra, do úvahy pripadá aj využitie existujúceho datacentra v prípade vysokého stupňa pripravenosti pre inštaláciu.</w:t>
      </w:r>
    </w:p>
    <w:p w14:paraId="438EC61D" w14:textId="4ED4B05F" w:rsidR="006734F7" w:rsidRPr="0090050B" w:rsidRDefault="0090050B">
      <w:pPr>
        <w:rPr>
          <w:rFonts w:ascii="Tahoma" w:eastAsia="Calibri" w:hAnsi="Tahoma" w:cs="Tahoma"/>
          <w:sz w:val="16"/>
          <w:szCs w:val="16"/>
          <w:lang w:val="sk-SK" w:eastAsia="en-US"/>
        </w:rPr>
      </w:pPr>
      <w:r w:rsidRPr="0090050B">
        <w:rPr>
          <w:rFonts w:ascii="Tahoma" w:eastAsia="Calibri" w:hAnsi="Tahoma" w:cs="Tahoma"/>
          <w:sz w:val="16"/>
          <w:szCs w:val="16"/>
          <w:lang w:val="sk-SK" w:eastAsia="en-US"/>
        </w:rPr>
        <w:t>P</w:t>
      </w:r>
      <w:r w:rsidR="006734F7" w:rsidRPr="0090050B">
        <w:rPr>
          <w:rFonts w:ascii="Tahoma" w:eastAsia="Calibri" w:hAnsi="Tahoma" w:cs="Tahoma"/>
          <w:sz w:val="16"/>
          <w:szCs w:val="16"/>
          <w:lang w:val="sk-SK" w:eastAsia="en-US"/>
        </w:rPr>
        <w:t>rojektov</w:t>
      </w:r>
      <w:r>
        <w:rPr>
          <w:rFonts w:ascii="Tahoma" w:eastAsia="Calibri" w:hAnsi="Tahoma" w:cs="Tahoma"/>
          <w:sz w:val="16"/>
          <w:szCs w:val="16"/>
          <w:lang w:val="sk-SK" w:eastAsia="en-US"/>
        </w:rPr>
        <w:t>ý tím sa opiera o kombináciu interných kapacít NSCC, expertízy jednotlivých členov združenia</w:t>
      </w:r>
      <w:r w:rsidR="006734F7" w:rsidRPr="0090050B">
        <w:rPr>
          <w:rFonts w:ascii="Tahoma" w:eastAsia="Calibri" w:hAnsi="Tahoma" w:cs="Tahoma"/>
          <w:sz w:val="16"/>
          <w:szCs w:val="16"/>
          <w:lang w:val="sk-SK" w:eastAsia="en-US"/>
        </w:rPr>
        <w:t xml:space="preserve"> </w:t>
      </w:r>
      <w:r>
        <w:rPr>
          <w:rFonts w:ascii="Tahoma" w:eastAsia="Calibri" w:hAnsi="Tahoma" w:cs="Tahoma"/>
          <w:sz w:val="16"/>
          <w:szCs w:val="16"/>
          <w:lang w:val="sk-SK" w:eastAsia="en-US"/>
        </w:rPr>
        <w:t xml:space="preserve"> a externých kapacít.</w:t>
      </w:r>
    </w:p>
    <w:p w14:paraId="757AEE68" w14:textId="77777777" w:rsidR="00D373AB" w:rsidRDefault="00000000">
      <w:pPr>
        <w:pStyle w:val="Heading1"/>
        <w:numPr>
          <w:ilvl w:val="0"/>
          <w:numId w:val="2"/>
        </w:numPr>
      </w:pPr>
      <w:bookmarkStart w:id="263" w:name="_Toc132646575"/>
      <w:bookmarkStart w:id="264" w:name="_Toc132646540"/>
      <w:bookmarkStart w:id="265" w:name="_Toc132363480"/>
      <w:bookmarkStart w:id="266" w:name="_Toc132646455"/>
      <w:bookmarkStart w:id="267" w:name="_Toc132646420"/>
      <w:bookmarkStart w:id="268" w:name="_Toc132800184"/>
      <w:bookmarkEnd w:id="263"/>
      <w:bookmarkEnd w:id="264"/>
      <w:bookmarkEnd w:id="265"/>
      <w:bookmarkEnd w:id="266"/>
      <w:bookmarkEnd w:id="267"/>
      <w:r>
        <w:t>ROZPOČET A PRÍNOSY</w:t>
      </w:r>
      <w:bookmarkEnd w:id="268"/>
    </w:p>
    <w:p w14:paraId="08190398" w14:textId="77777777" w:rsidR="00D373AB" w:rsidRDefault="00D373AB">
      <w:pPr>
        <w:suppressAutoHyphens w:val="0"/>
        <w:jc w:val="both"/>
        <w:rPr>
          <w:rFonts w:ascii="Tahoma" w:eastAsia="Calibri" w:hAnsi="Tahoma" w:cs="Tahoma"/>
          <w:sz w:val="16"/>
          <w:szCs w:val="16"/>
          <w:lang w:val="sk-SK" w:eastAsia="en-US"/>
        </w:rPr>
      </w:pPr>
    </w:p>
    <w:p w14:paraId="42ABA2C7" w14:textId="3B7C9CF8" w:rsidR="00D373AB" w:rsidRDefault="00000000">
      <w:pPr>
        <w:suppressAutoHyphens w:val="0"/>
        <w:jc w:val="both"/>
        <w:rPr>
          <w:rFonts w:ascii="Tahoma" w:eastAsia="Calibri" w:hAnsi="Tahoma" w:cs="Tahoma"/>
          <w:sz w:val="16"/>
          <w:szCs w:val="16"/>
          <w:lang w:val="sk-SK" w:eastAsia="en-US"/>
        </w:rPr>
      </w:pPr>
      <w:r>
        <w:rPr>
          <w:rFonts w:ascii="Tahoma" w:eastAsia="Calibri" w:hAnsi="Tahoma" w:cs="Tahoma"/>
          <w:sz w:val="16"/>
          <w:szCs w:val="16"/>
          <w:lang w:val="sk-SK" w:eastAsia="en-US"/>
        </w:rPr>
        <w:t xml:space="preserve">V Tabuľke </w:t>
      </w:r>
      <w:r w:rsidR="00DA6189">
        <w:rPr>
          <w:rFonts w:ascii="Tahoma" w:eastAsia="Calibri" w:hAnsi="Tahoma" w:cs="Tahoma"/>
          <w:sz w:val="16"/>
          <w:szCs w:val="16"/>
          <w:lang w:val="sk-SK" w:eastAsia="en-US"/>
        </w:rPr>
        <w:t>4</w:t>
      </w:r>
      <w:r>
        <w:rPr>
          <w:rFonts w:ascii="Tahoma" w:eastAsia="Calibri" w:hAnsi="Tahoma" w:cs="Tahoma"/>
          <w:sz w:val="16"/>
          <w:szCs w:val="16"/>
          <w:lang w:val="sk-SK" w:eastAsia="en-US"/>
        </w:rPr>
        <w:t xml:space="preserve"> je uvedený zjednodušený finančný model s odhadom nákladov a príjmov v rámci navrhovaného biznis modelu. V ňom predpokladáme obdobie udržateľnosti do konca roku 2031. Model zahŕňa zníženie nákladov využitím fotovoltaiky, predaja výpočtovej kapacity a príjmami zo synergických projektov (EuroCC 2).</w:t>
      </w:r>
    </w:p>
    <w:p w14:paraId="4D908DD9" w14:textId="77777777" w:rsidR="00D373AB" w:rsidRDefault="00D373AB">
      <w:pPr>
        <w:suppressAutoHyphens w:val="0"/>
        <w:jc w:val="both"/>
        <w:rPr>
          <w:rFonts w:ascii="Tahoma" w:eastAsia="Calibri" w:hAnsi="Tahoma" w:cs="Tahoma"/>
          <w:sz w:val="16"/>
          <w:szCs w:val="16"/>
          <w:lang w:val="sk-SK" w:eastAsia="en-US"/>
        </w:rPr>
      </w:pPr>
    </w:p>
    <w:tbl>
      <w:tblPr>
        <w:tblW w:w="9152" w:type="dxa"/>
        <w:tblInd w:w="108" w:type="dxa"/>
        <w:tblLook w:val="04A0" w:firstRow="1" w:lastRow="0" w:firstColumn="1" w:lastColumn="0" w:noHBand="0" w:noVBand="1"/>
      </w:tblPr>
      <w:tblGrid>
        <w:gridCol w:w="1812"/>
        <w:gridCol w:w="273"/>
        <w:gridCol w:w="1639"/>
        <w:gridCol w:w="743"/>
        <w:gridCol w:w="745"/>
        <w:gridCol w:w="1738"/>
        <w:gridCol w:w="2202"/>
      </w:tblGrid>
      <w:tr w:rsidR="00D373AB" w14:paraId="3CEA05D8" w14:textId="77777777" w:rsidTr="00B51BEF">
        <w:trPr>
          <w:trHeight w:val="272"/>
        </w:trPr>
        <w:tc>
          <w:tcPr>
            <w:tcW w:w="2085" w:type="dxa"/>
            <w:gridSpan w:val="2"/>
            <w:tcBorders>
              <w:top w:val="single" w:sz="4" w:space="0" w:color="000000"/>
            </w:tcBorders>
            <w:shd w:val="clear" w:color="auto" w:fill="DEEAF6"/>
            <w:vAlign w:val="bottom"/>
          </w:tcPr>
          <w:p w14:paraId="3D9EAAB4" w14:textId="77777777" w:rsidR="00D373AB" w:rsidRDefault="00D373AB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val="sk-SK" w:eastAsia="en-GB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</w:tcBorders>
            <w:shd w:val="clear" w:color="auto" w:fill="DEEAF6"/>
            <w:vAlign w:val="bottom"/>
          </w:tcPr>
          <w:p w14:paraId="0B079250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 w:eastAsia="en-GB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</w:tcBorders>
            <w:shd w:val="clear" w:color="auto" w:fill="DEEAF6"/>
            <w:vAlign w:val="bottom"/>
          </w:tcPr>
          <w:p w14:paraId="3C84AF26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Príprava a implementácia</w:t>
            </w:r>
          </w:p>
        </w:tc>
        <w:tc>
          <w:tcPr>
            <w:tcW w:w="2202" w:type="dxa"/>
            <w:tcBorders>
              <w:top w:val="single" w:sz="4" w:space="0" w:color="000000"/>
            </w:tcBorders>
            <w:shd w:val="clear" w:color="auto" w:fill="DEEAF6"/>
            <w:vAlign w:val="bottom"/>
          </w:tcPr>
          <w:p w14:paraId="49402576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Obdobie udržateľnosti</w:t>
            </w:r>
          </w:p>
        </w:tc>
      </w:tr>
      <w:tr w:rsidR="00D373AB" w14:paraId="17066426" w14:textId="77777777" w:rsidTr="00B51BEF">
        <w:trPr>
          <w:trHeight w:val="327"/>
        </w:trPr>
        <w:tc>
          <w:tcPr>
            <w:tcW w:w="1812" w:type="dxa"/>
            <w:tcBorders>
              <w:bottom w:val="single" w:sz="4" w:space="0" w:color="000000"/>
            </w:tcBorders>
            <w:shd w:val="clear" w:color="auto" w:fill="BDD6EE"/>
            <w:vAlign w:val="bottom"/>
          </w:tcPr>
          <w:p w14:paraId="78EF1179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Kapitola</w:t>
            </w:r>
          </w:p>
        </w:tc>
        <w:tc>
          <w:tcPr>
            <w:tcW w:w="1912" w:type="dxa"/>
            <w:gridSpan w:val="2"/>
            <w:tcBorders>
              <w:bottom w:val="single" w:sz="4" w:space="0" w:color="000000"/>
            </w:tcBorders>
            <w:shd w:val="clear" w:color="auto" w:fill="BDD6EE"/>
            <w:vAlign w:val="bottom"/>
          </w:tcPr>
          <w:p w14:paraId="067E3F47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Podkapitola</w:t>
            </w:r>
          </w:p>
        </w:tc>
        <w:tc>
          <w:tcPr>
            <w:tcW w:w="1488" w:type="dxa"/>
            <w:gridSpan w:val="2"/>
            <w:tcBorders>
              <w:bottom w:val="single" w:sz="4" w:space="0" w:color="000000"/>
            </w:tcBorders>
            <w:shd w:val="clear" w:color="auto" w:fill="BDD6EE"/>
            <w:vAlign w:val="bottom"/>
          </w:tcPr>
          <w:p w14:paraId="344E450F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2022 - 2024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BDD6EE"/>
            <w:vAlign w:val="bottom"/>
          </w:tcPr>
          <w:p w14:paraId="39BC281E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2025</w:t>
            </w:r>
          </w:p>
        </w:tc>
        <w:tc>
          <w:tcPr>
            <w:tcW w:w="2202" w:type="dxa"/>
            <w:tcBorders>
              <w:bottom w:val="single" w:sz="4" w:space="0" w:color="000000"/>
            </w:tcBorders>
            <w:shd w:val="clear" w:color="auto" w:fill="BDD6EE"/>
            <w:vAlign w:val="bottom"/>
          </w:tcPr>
          <w:p w14:paraId="025BCE4F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2026 - 2031</w:t>
            </w:r>
          </w:p>
        </w:tc>
      </w:tr>
      <w:tr w:rsidR="00D373AB" w14:paraId="5E725B62" w14:textId="77777777" w:rsidTr="00B51BEF">
        <w:trPr>
          <w:trHeight w:val="327"/>
        </w:trPr>
        <w:tc>
          <w:tcPr>
            <w:tcW w:w="181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B3CC92A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Investičné náklady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5FE4C6B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Hardvér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7C65799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173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F1B614B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28 050 000,00 €</w:t>
            </w:r>
          </w:p>
        </w:tc>
        <w:tc>
          <w:tcPr>
            <w:tcW w:w="220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8707CDA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</w:p>
        </w:tc>
      </w:tr>
      <w:tr w:rsidR="00D373AB" w14:paraId="4280F367" w14:textId="77777777" w:rsidTr="00B51BEF">
        <w:trPr>
          <w:trHeight w:val="327"/>
        </w:trPr>
        <w:tc>
          <w:tcPr>
            <w:tcW w:w="1812" w:type="dxa"/>
            <w:shd w:val="clear" w:color="auto" w:fill="auto"/>
            <w:vAlign w:val="bottom"/>
          </w:tcPr>
          <w:p w14:paraId="6428B489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 w:eastAsia="en-GB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bottom"/>
          </w:tcPr>
          <w:p w14:paraId="08A2E83B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Softvér</w:t>
            </w:r>
          </w:p>
        </w:tc>
        <w:tc>
          <w:tcPr>
            <w:tcW w:w="1488" w:type="dxa"/>
            <w:gridSpan w:val="2"/>
            <w:shd w:val="clear" w:color="auto" w:fill="auto"/>
            <w:vAlign w:val="bottom"/>
          </w:tcPr>
          <w:p w14:paraId="6CB3C798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1738" w:type="dxa"/>
            <w:shd w:val="clear" w:color="auto" w:fill="auto"/>
            <w:vAlign w:val="bottom"/>
          </w:tcPr>
          <w:p w14:paraId="47FCF9D8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2202" w:type="dxa"/>
            <w:shd w:val="clear" w:color="auto" w:fill="auto"/>
            <w:vAlign w:val="bottom"/>
          </w:tcPr>
          <w:p w14:paraId="4F09B566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138 000,00 €</w:t>
            </w:r>
          </w:p>
        </w:tc>
      </w:tr>
      <w:tr w:rsidR="00D373AB" w14:paraId="4B53B995" w14:textId="77777777" w:rsidTr="00B51BEF">
        <w:trPr>
          <w:trHeight w:val="327"/>
        </w:trPr>
        <w:tc>
          <w:tcPr>
            <w:tcW w:w="1812" w:type="dxa"/>
            <w:shd w:val="clear" w:color="auto" w:fill="auto"/>
            <w:vAlign w:val="bottom"/>
          </w:tcPr>
          <w:p w14:paraId="68069F17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 w:eastAsia="en-GB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bottom"/>
          </w:tcPr>
          <w:p w14:paraId="61122C0A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Housing</w:t>
            </w:r>
          </w:p>
        </w:tc>
        <w:tc>
          <w:tcPr>
            <w:tcW w:w="1488" w:type="dxa"/>
            <w:gridSpan w:val="2"/>
            <w:shd w:val="clear" w:color="auto" w:fill="auto"/>
            <w:vAlign w:val="bottom"/>
          </w:tcPr>
          <w:p w14:paraId="1130710C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1738" w:type="dxa"/>
            <w:shd w:val="clear" w:color="auto" w:fill="auto"/>
            <w:vAlign w:val="bottom"/>
          </w:tcPr>
          <w:p w14:paraId="0A6DA50A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7 800 000,00 €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2B6135A5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</w:p>
        </w:tc>
      </w:tr>
      <w:tr w:rsidR="00D373AB" w14:paraId="0960D7B6" w14:textId="77777777" w:rsidTr="00B51BEF">
        <w:trPr>
          <w:trHeight w:val="327"/>
        </w:trPr>
        <w:tc>
          <w:tcPr>
            <w:tcW w:w="1812" w:type="dxa"/>
            <w:shd w:val="clear" w:color="auto" w:fill="auto"/>
            <w:vAlign w:val="bottom"/>
          </w:tcPr>
          <w:p w14:paraId="66035D45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 w:eastAsia="en-GB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bottom"/>
          </w:tcPr>
          <w:p w14:paraId="2A1E1F99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Fotovoltika</w:t>
            </w:r>
          </w:p>
        </w:tc>
        <w:tc>
          <w:tcPr>
            <w:tcW w:w="1488" w:type="dxa"/>
            <w:gridSpan w:val="2"/>
            <w:shd w:val="clear" w:color="auto" w:fill="auto"/>
            <w:vAlign w:val="bottom"/>
          </w:tcPr>
          <w:p w14:paraId="60AEE9E7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1738" w:type="dxa"/>
            <w:shd w:val="clear" w:color="auto" w:fill="auto"/>
            <w:vAlign w:val="bottom"/>
          </w:tcPr>
          <w:p w14:paraId="31501B09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799 551,95 €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6929F31F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</w:p>
        </w:tc>
      </w:tr>
      <w:tr w:rsidR="00D373AB" w14:paraId="56C9E515" w14:textId="77777777" w:rsidTr="00B51BEF">
        <w:trPr>
          <w:trHeight w:val="327"/>
        </w:trPr>
        <w:tc>
          <w:tcPr>
            <w:tcW w:w="18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34026B9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 w:eastAsia="en-GB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1A7D98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Total CAPEX</w:t>
            </w:r>
          </w:p>
        </w:tc>
        <w:tc>
          <w:tcPr>
            <w:tcW w:w="14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65109C3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0,00 €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F033A4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36 649 551,95 €</w:t>
            </w:r>
          </w:p>
        </w:tc>
        <w:tc>
          <w:tcPr>
            <w:tcW w:w="22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2F9DE16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138 000,00 €</w:t>
            </w:r>
          </w:p>
        </w:tc>
      </w:tr>
      <w:tr w:rsidR="00D373AB" w14:paraId="431EF419" w14:textId="77777777" w:rsidTr="00B51BEF">
        <w:trPr>
          <w:trHeight w:val="327"/>
        </w:trPr>
        <w:tc>
          <w:tcPr>
            <w:tcW w:w="181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A663078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Prevádzkové náklady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D5E3D44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Personál ekosystém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3613319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1 157 538,97 €</w:t>
            </w:r>
          </w:p>
        </w:tc>
        <w:tc>
          <w:tcPr>
            <w:tcW w:w="173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2F1EDF2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604 942,41 €</w:t>
            </w:r>
          </w:p>
        </w:tc>
        <w:tc>
          <w:tcPr>
            <w:tcW w:w="220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64228AA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4 030 405,92 €</w:t>
            </w:r>
          </w:p>
        </w:tc>
      </w:tr>
      <w:tr w:rsidR="00D373AB" w14:paraId="07FA78E2" w14:textId="77777777" w:rsidTr="00B51BEF">
        <w:trPr>
          <w:trHeight w:val="327"/>
        </w:trPr>
        <w:tc>
          <w:tcPr>
            <w:tcW w:w="1812" w:type="dxa"/>
            <w:shd w:val="clear" w:color="auto" w:fill="auto"/>
            <w:vAlign w:val="bottom"/>
          </w:tcPr>
          <w:p w14:paraId="158743F8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bottom"/>
          </w:tcPr>
          <w:p w14:paraId="01472F41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Personál devops</w:t>
            </w:r>
          </w:p>
        </w:tc>
        <w:tc>
          <w:tcPr>
            <w:tcW w:w="1488" w:type="dxa"/>
            <w:gridSpan w:val="2"/>
            <w:shd w:val="clear" w:color="auto" w:fill="auto"/>
            <w:vAlign w:val="bottom"/>
          </w:tcPr>
          <w:p w14:paraId="22EC7FE5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1 036 752,77 €</w:t>
            </w:r>
          </w:p>
        </w:tc>
        <w:tc>
          <w:tcPr>
            <w:tcW w:w="1738" w:type="dxa"/>
            <w:shd w:val="clear" w:color="auto" w:fill="auto"/>
            <w:vAlign w:val="bottom"/>
          </w:tcPr>
          <w:p w14:paraId="65F33F45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483 953,93 €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3FCF1F8F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3 224 324,74 €</w:t>
            </w:r>
          </w:p>
        </w:tc>
      </w:tr>
      <w:tr w:rsidR="00D373AB" w14:paraId="2EA16810" w14:textId="77777777" w:rsidTr="00B51BEF">
        <w:trPr>
          <w:trHeight w:val="327"/>
        </w:trPr>
        <w:tc>
          <w:tcPr>
            <w:tcW w:w="1812" w:type="dxa"/>
            <w:shd w:val="clear" w:color="auto" w:fill="auto"/>
            <w:vAlign w:val="bottom"/>
          </w:tcPr>
          <w:p w14:paraId="2EFC37F7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 w:eastAsia="en-GB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bottom"/>
          </w:tcPr>
          <w:p w14:paraId="1CFBCB9C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Ekosystém mimo NSCC</w:t>
            </w:r>
          </w:p>
        </w:tc>
        <w:tc>
          <w:tcPr>
            <w:tcW w:w="1488" w:type="dxa"/>
            <w:gridSpan w:val="2"/>
            <w:shd w:val="clear" w:color="auto" w:fill="auto"/>
            <w:vAlign w:val="bottom"/>
          </w:tcPr>
          <w:p w14:paraId="02BEE117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708 000,00 €</w:t>
            </w:r>
          </w:p>
        </w:tc>
        <w:tc>
          <w:tcPr>
            <w:tcW w:w="1738" w:type="dxa"/>
            <w:shd w:val="clear" w:color="auto" w:fill="auto"/>
            <w:vAlign w:val="bottom"/>
          </w:tcPr>
          <w:p w14:paraId="6FCDD26B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val="sk-SK" w:eastAsia="en-GB"/>
              </w:rPr>
              <w:t>750 000,00 €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460E5360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5 940 000,00 €</w:t>
            </w:r>
          </w:p>
        </w:tc>
      </w:tr>
      <w:tr w:rsidR="00D373AB" w14:paraId="7E9AEC39" w14:textId="77777777" w:rsidTr="00B51BEF">
        <w:trPr>
          <w:trHeight w:val="327"/>
        </w:trPr>
        <w:tc>
          <w:tcPr>
            <w:tcW w:w="1812" w:type="dxa"/>
            <w:shd w:val="clear" w:color="auto" w:fill="auto"/>
            <w:vAlign w:val="bottom"/>
          </w:tcPr>
          <w:p w14:paraId="0121EDA8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bottom"/>
          </w:tcPr>
          <w:p w14:paraId="0DA6F038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Prevádzka HW</w:t>
            </w:r>
          </w:p>
        </w:tc>
        <w:tc>
          <w:tcPr>
            <w:tcW w:w="1488" w:type="dxa"/>
            <w:gridSpan w:val="2"/>
            <w:shd w:val="clear" w:color="auto" w:fill="auto"/>
            <w:vAlign w:val="bottom"/>
          </w:tcPr>
          <w:p w14:paraId="585A51EF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1738" w:type="dxa"/>
            <w:shd w:val="clear" w:color="auto" w:fill="auto"/>
            <w:vAlign w:val="bottom"/>
          </w:tcPr>
          <w:p w14:paraId="1C062F02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758 199,02 €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34460E2F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13 647 582,43 €</w:t>
            </w:r>
          </w:p>
        </w:tc>
      </w:tr>
      <w:tr w:rsidR="00D373AB" w14:paraId="1B7D75AD" w14:textId="77777777" w:rsidTr="00B51BEF">
        <w:trPr>
          <w:trHeight w:val="327"/>
        </w:trPr>
        <w:tc>
          <w:tcPr>
            <w:tcW w:w="1812" w:type="dxa"/>
            <w:shd w:val="clear" w:color="auto" w:fill="auto"/>
            <w:vAlign w:val="bottom"/>
          </w:tcPr>
          <w:p w14:paraId="18654E08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bottom"/>
          </w:tcPr>
          <w:p w14:paraId="016F3E2F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Údržba HW, SW a housingu</w:t>
            </w:r>
          </w:p>
        </w:tc>
        <w:tc>
          <w:tcPr>
            <w:tcW w:w="1488" w:type="dxa"/>
            <w:gridSpan w:val="2"/>
            <w:shd w:val="clear" w:color="auto" w:fill="auto"/>
            <w:vAlign w:val="bottom"/>
          </w:tcPr>
          <w:p w14:paraId="23B14A2C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1738" w:type="dxa"/>
            <w:shd w:val="clear" w:color="auto" w:fill="auto"/>
            <w:vAlign w:val="bottom"/>
          </w:tcPr>
          <w:p w14:paraId="63773D32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140 250,00 €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707389E1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3 777 300,00 €</w:t>
            </w:r>
          </w:p>
        </w:tc>
      </w:tr>
      <w:tr w:rsidR="00D373AB" w14:paraId="33BCC29D" w14:textId="77777777" w:rsidTr="00B51BEF">
        <w:trPr>
          <w:trHeight w:val="327"/>
        </w:trPr>
        <w:tc>
          <w:tcPr>
            <w:tcW w:w="1812" w:type="dxa"/>
            <w:shd w:val="clear" w:color="auto" w:fill="auto"/>
            <w:vAlign w:val="bottom"/>
          </w:tcPr>
          <w:p w14:paraId="371827EB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 w:eastAsia="en-GB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bottom"/>
          </w:tcPr>
          <w:p w14:paraId="34C03372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Projektové náklady</w:t>
            </w:r>
          </w:p>
        </w:tc>
        <w:tc>
          <w:tcPr>
            <w:tcW w:w="1488" w:type="dxa"/>
            <w:gridSpan w:val="2"/>
            <w:shd w:val="clear" w:color="auto" w:fill="auto"/>
            <w:vAlign w:val="bottom"/>
          </w:tcPr>
          <w:p w14:paraId="4C82646B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313 071,60€</w:t>
            </w:r>
          </w:p>
        </w:tc>
        <w:tc>
          <w:tcPr>
            <w:tcW w:w="1738" w:type="dxa"/>
            <w:shd w:val="clear" w:color="auto" w:fill="auto"/>
            <w:vAlign w:val="bottom"/>
          </w:tcPr>
          <w:p w14:paraId="41534C11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2202" w:type="dxa"/>
            <w:shd w:val="clear" w:color="auto" w:fill="auto"/>
            <w:vAlign w:val="bottom"/>
          </w:tcPr>
          <w:p w14:paraId="3399F0EF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</w:p>
        </w:tc>
      </w:tr>
      <w:tr w:rsidR="00D373AB" w14:paraId="68415101" w14:textId="77777777" w:rsidTr="00B51BEF">
        <w:trPr>
          <w:trHeight w:val="327"/>
        </w:trPr>
        <w:tc>
          <w:tcPr>
            <w:tcW w:w="18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82C6F1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16F773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TOTAL OPEX</w:t>
            </w:r>
          </w:p>
        </w:tc>
        <w:tc>
          <w:tcPr>
            <w:tcW w:w="14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31FBFD4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3 215 363,34 €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40F2C0B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2 597 095,36 €</w:t>
            </w:r>
          </w:p>
        </w:tc>
        <w:tc>
          <w:tcPr>
            <w:tcW w:w="22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195791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30 619 613,09 €</w:t>
            </w:r>
          </w:p>
        </w:tc>
      </w:tr>
      <w:tr w:rsidR="00D373AB" w14:paraId="2A67F6FE" w14:textId="77777777" w:rsidTr="00B51BEF">
        <w:trPr>
          <w:trHeight w:val="327"/>
        </w:trPr>
        <w:tc>
          <w:tcPr>
            <w:tcW w:w="181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CCD92F8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Redukcia nákladov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58BF461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EuroCC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52B2799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1 333 334,00 €</w:t>
            </w:r>
          </w:p>
        </w:tc>
        <w:tc>
          <w:tcPr>
            <w:tcW w:w="173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39AE3D0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666 666,00 €</w:t>
            </w:r>
          </w:p>
        </w:tc>
        <w:tc>
          <w:tcPr>
            <w:tcW w:w="220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8226421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</w:p>
        </w:tc>
      </w:tr>
      <w:tr w:rsidR="00D373AB" w14:paraId="5BD14FC5" w14:textId="77777777" w:rsidTr="00B51BEF">
        <w:trPr>
          <w:trHeight w:val="327"/>
        </w:trPr>
        <w:tc>
          <w:tcPr>
            <w:tcW w:w="1812" w:type="dxa"/>
            <w:shd w:val="clear" w:color="auto" w:fill="auto"/>
            <w:vAlign w:val="bottom"/>
          </w:tcPr>
          <w:p w14:paraId="717B402B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 w:eastAsia="en-GB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bottom"/>
          </w:tcPr>
          <w:p w14:paraId="20599FEB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Predaj služieb</w:t>
            </w:r>
          </w:p>
        </w:tc>
        <w:tc>
          <w:tcPr>
            <w:tcW w:w="1488" w:type="dxa"/>
            <w:gridSpan w:val="2"/>
            <w:shd w:val="clear" w:color="auto" w:fill="auto"/>
            <w:vAlign w:val="bottom"/>
          </w:tcPr>
          <w:p w14:paraId="2958BC3C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1738" w:type="dxa"/>
            <w:shd w:val="clear" w:color="auto" w:fill="auto"/>
            <w:vAlign w:val="bottom"/>
          </w:tcPr>
          <w:p w14:paraId="4C3A16AC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val="sk-SK" w:eastAsia="en-GB"/>
              </w:rPr>
            </w:pPr>
          </w:p>
        </w:tc>
        <w:tc>
          <w:tcPr>
            <w:tcW w:w="2202" w:type="dxa"/>
            <w:shd w:val="clear" w:color="auto" w:fill="auto"/>
            <w:vAlign w:val="bottom"/>
          </w:tcPr>
          <w:p w14:paraId="6B84AC42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val="sk-SK" w:eastAsia="en-GB"/>
              </w:rPr>
              <w:t>5 175 034,27 €</w:t>
            </w:r>
          </w:p>
        </w:tc>
      </w:tr>
      <w:tr w:rsidR="00D373AB" w14:paraId="16906AEA" w14:textId="77777777" w:rsidTr="00B51BEF">
        <w:trPr>
          <w:trHeight w:val="327"/>
        </w:trPr>
        <w:tc>
          <w:tcPr>
            <w:tcW w:w="1812" w:type="dxa"/>
            <w:shd w:val="clear" w:color="auto" w:fill="auto"/>
            <w:vAlign w:val="bottom"/>
          </w:tcPr>
          <w:p w14:paraId="07EE12B5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 w:eastAsia="en-GB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bottom"/>
          </w:tcPr>
          <w:p w14:paraId="535070EF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  <w:t>Výroba EE</w:t>
            </w:r>
          </w:p>
        </w:tc>
        <w:tc>
          <w:tcPr>
            <w:tcW w:w="1488" w:type="dxa"/>
            <w:gridSpan w:val="2"/>
            <w:shd w:val="clear" w:color="auto" w:fill="auto"/>
            <w:vAlign w:val="bottom"/>
          </w:tcPr>
          <w:p w14:paraId="50097018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1738" w:type="dxa"/>
            <w:shd w:val="clear" w:color="auto" w:fill="auto"/>
            <w:vAlign w:val="bottom"/>
          </w:tcPr>
          <w:p w14:paraId="151E1872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2202" w:type="dxa"/>
            <w:shd w:val="clear" w:color="auto" w:fill="auto"/>
            <w:vAlign w:val="bottom"/>
          </w:tcPr>
          <w:p w14:paraId="3E9C8B15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val="sk-SK" w:eastAsia="en-GB"/>
              </w:rPr>
              <w:t>1 026 162,51 €</w:t>
            </w:r>
          </w:p>
        </w:tc>
      </w:tr>
      <w:tr w:rsidR="00D373AB" w14:paraId="2108E0D3" w14:textId="77777777" w:rsidTr="00B51BEF">
        <w:trPr>
          <w:trHeight w:val="327"/>
        </w:trPr>
        <w:tc>
          <w:tcPr>
            <w:tcW w:w="18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625505" w14:textId="77777777" w:rsidR="00D373AB" w:rsidRDefault="00D373AB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 w:eastAsia="en-GB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647BA2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TOTAL Reduction</w:t>
            </w:r>
          </w:p>
        </w:tc>
        <w:tc>
          <w:tcPr>
            <w:tcW w:w="14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9E7AF06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1 333 332,00 €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32435C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k-SK" w:eastAsia="en-GB"/>
              </w:rPr>
              <w:t>666 666,00 €</w:t>
            </w:r>
          </w:p>
        </w:tc>
        <w:tc>
          <w:tcPr>
            <w:tcW w:w="22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4F01E6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k-SK" w:eastAsia="en-GB"/>
              </w:rPr>
              <w:t>6 201 196,78 €</w:t>
            </w:r>
          </w:p>
        </w:tc>
      </w:tr>
      <w:tr w:rsidR="00D373AB" w14:paraId="21FCE88B" w14:textId="77777777" w:rsidTr="00B51BEF">
        <w:trPr>
          <w:trHeight w:val="327"/>
        </w:trPr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A5B353" w14:textId="77777777" w:rsidR="00D373AB" w:rsidRDefault="00000000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TCO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DD6B98" w14:textId="77777777" w:rsidR="00D373AB" w:rsidRDefault="00D373AB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75642F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k-SK" w:eastAsia="en-GB"/>
              </w:rPr>
              <w:t>1 882 029,34 €</w:t>
            </w: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1413A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38 717 981,31 €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04C53" w14:textId="77777777" w:rsidR="00D373AB" w:rsidRDefault="00000000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24 418 416,31 €</w:t>
            </w:r>
          </w:p>
        </w:tc>
      </w:tr>
    </w:tbl>
    <w:p w14:paraId="7E71CE8B" w14:textId="59354702" w:rsidR="00D373AB" w:rsidRDefault="00000000">
      <w:pPr>
        <w:suppressAutoHyphens w:val="0"/>
        <w:spacing w:after="200"/>
        <w:rPr>
          <w:rFonts w:ascii="Calibri" w:eastAsia="Calibri" w:hAnsi="Calibri"/>
          <w:color w:val="44546A"/>
          <w:sz w:val="24"/>
          <w:szCs w:val="24"/>
          <w:lang w:val="sk-SK" w:eastAsia="en-US"/>
        </w:rPr>
      </w:pPr>
      <w:r w:rsidRPr="006F50E5">
        <w:rPr>
          <w:rFonts w:ascii="Calibri" w:eastAsia="Calibri" w:hAnsi="Calibri"/>
          <w:b/>
          <w:bCs/>
          <w:color w:val="44546A"/>
          <w:sz w:val="18"/>
          <w:szCs w:val="18"/>
          <w:lang w:val="sk-SK" w:eastAsia="en-US"/>
        </w:rPr>
        <w:t>Tabuľka</w:t>
      </w:r>
      <w:r>
        <w:rPr>
          <w:rFonts w:ascii="Calibri" w:eastAsia="Calibri" w:hAnsi="Calibri"/>
          <w:b/>
          <w:bCs/>
          <w:color w:val="44546A"/>
          <w:sz w:val="18"/>
          <w:szCs w:val="18"/>
          <w:lang w:eastAsia="en-US"/>
        </w:rPr>
        <w:t xml:space="preserve"> </w:t>
      </w:r>
      <w:r w:rsidR="00DA6189">
        <w:rPr>
          <w:rFonts w:ascii="Calibri" w:eastAsia="Calibri" w:hAnsi="Calibri"/>
          <w:b/>
          <w:bCs/>
          <w:color w:val="44546A"/>
          <w:sz w:val="18"/>
          <w:szCs w:val="18"/>
          <w:lang w:eastAsia="en-US"/>
        </w:rPr>
        <w:t>4</w:t>
      </w:r>
      <w:r>
        <w:rPr>
          <w:rFonts w:ascii="Calibri" w:eastAsia="Calibri" w:hAnsi="Calibri"/>
          <w:b/>
          <w:bCs/>
          <w:color w:val="44546A"/>
          <w:sz w:val="18"/>
          <w:szCs w:val="18"/>
          <w:lang w:eastAsia="en-US"/>
        </w:rPr>
        <w:t>:</w:t>
      </w:r>
      <w:r>
        <w:rPr>
          <w:rFonts w:ascii="Calibri" w:eastAsia="Calibri" w:hAnsi="Calibri"/>
          <w:color w:val="44546A"/>
          <w:sz w:val="18"/>
          <w:szCs w:val="18"/>
          <w:lang w:eastAsia="en-US"/>
        </w:rPr>
        <w:t xml:space="preserve"> </w:t>
      </w:r>
      <w:r>
        <w:rPr>
          <w:rFonts w:ascii="Calibri" w:eastAsia="Calibri" w:hAnsi="Calibri"/>
          <w:color w:val="44546A"/>
          <w:sz w:val="18"/>
          <w:szCs w:val="18"/>
          <w:lang w:val="sk-SK" w:eastAsia="en-US"/>
        </w:rPr>
        <w:t>Zjednodušený finančný model projektu so zahrnutím obdobia udržateľnosti.</w:t>
      </w:r>
    </w:p>
    <w:p w14:paraId="6F0DB795" w14:textId="77777777" w:rsidR="00D373AB" w:rsidRDefault="00D373AB">
      <w:pPr>
        <w:tabs>
          <w:tab w:val="left" w:pos="851"/>
          <w:tab w:val="center" w:pos="3119"/>
        </w:tabs>
        <w:rPr>
          <w:rFonts w:ascii="Tahoma" w:eastAsia="Arial Narrow" w:hAnsi="Tahoma" w:cs="Tahoma"/>
          <w:iCs/>
          <w:color w:val="A6A6A6"/>
          <w:sz w:val="16"/>
          <w:szCs w:val="16"/>
          <w:lang w:val="sk-SK"/>
        </w:rPr>
      </w:pPr>
    </w:p>
    <w:p w14:paraId="7C48D087" w14:textId="5C0657A4" w:rsidR="00D373AB" w:rsidRDefault="00000000">
      <w:pPr>
        <w:suppressAutoHyphens w:val="0"/>
        <w:jc w:val="both"/>
        <w:rPr>
          <w:rFonts w:ascii="Tahoma" w:eastAsia="Calibri" w:hAnsi="Tahoma" w:cs="Tahoma"/>
          <w:sz w:val="16"/>
          <w:szCs w:val="16"/>
          <w:lang w:val="sk-SK" w:eastAsia="en-US"/>
        </w:rPr>
      </w:pPr>
      <w:r>
        <w:rPr>
          <w:rFonts w:ascii="Tahoma" w:eastAsia="Calibri" w:hAnsi="Tahoma" w:cs="Tahoma"/>
          <w:sz w:val="16"/>
          <w:szCs w:val="16"/>
          <w:lang w:val="sk-SK" w:eastAsia="en-US"/>
        </w:rPr>
        <w:t>Navrhovaný model je možné (a aj nutné) ďalej optimalizovať, základným predpokladom udržateľnosti je však úspora zdrojov z plánovanej investície za súčasného naplnenia cieľov a míľnikov. Rozdiel medzi predpokladaným TCO a plánovanou výškou investície poskytuje priestor na kompenzáciu prípadného zvýšenia cien, resp. na intenzívnejšiu podporu ekosystému na Slovensku.</w:t>
      </w:r>
    </w:p>
    <w:p w14:paraId="1074BF8F" w14:textId="77777777" w:rsidR="00D373AB" w:rsidRDefault="00D373AB">
      <w:pPr>
        <w:suppressAutoHyphens w:val="0"/>
        <w:jc w:val="both"/>
        <w:rPr>
          <w:rFonts w:ascii="Tahoma" w:eastAsia="Calibri" w:hAnsi="Tahoma" w:cs="Tahoma"/>
          <w:sz w:val="16"/>
          <w:szCs w:val="16"/>
          <w:lang w:val="sk-SK" w:eastAsia="en-US"/>
        </w:rPr>
      </w:pPr>
    </w:p>
    <w:p w14:paraId="69E595CE" w14:textId="77777777" w:rsidR="00D373AB" w:rsidRDefault="00000000">
      <w:pPr>
        <w:suppressAutoHyphens w:val="0"/>
        <w:jc w:val="both"/>
        <w:rPr>
          <w:rFonts w:ascii="Tahoma" w:eastAsia="Calibri" w:hAnsi="Tahoma" w:cs="Tahoma"/>
          <w:sz w:val="16"/>
          <w:szCs w:val="16"/>
          <w:lang w:val="sk-SK" w:eastAsia="en-US"/>
        </w:rPr>
      </w:pPr>
      <w:r>
        <w:rPr>
          <w:rFonts w:ascii="Tahoma" w:eastAsia="Calibri" w:hAnsi="Tahoma" w:cs="Tahoma"/>
          <w:sz w:val="16"/>
          <w:szCs w:val="16"/>
          <w:lang w:val="sk-SK" w:eastAsia="en-US"/>
        </w:rPr>
        <w:t>Samotné nastavenie činnosti stabilizačného mechanizmu predpokladá schválenie Vládou SR. Táto aktivita je v kompetencii VAIA.</w:t>
      </w:r>
    </w:p>
    <w:p w14:paraId="27B0FD45" w14:textId="77777777" w:rsidR="00D373AB" w:rsidRDefault="00D373AB">
      <w:pPr>
        <w:suppressAutoHyphens w:val="0"/>
        <w:jc w:val="both"/>
        <w:rPr>
          <w:rFonts w:ascii="Tahoma" w:eastAsia="Calibri" w:hAnsi="Tahoma" w:cs="Tahoma"/>
          <w:sz w:val="16"/>
          <w:szCs w:val="16"/>
          <w:lang w:val="sk-SK" w:eastAsia="en-US"/>
        </w:rPr>
      </w:pPr>
    </w:p>
    <w:p w14:paraId="7D9FAD44" w14:textId="23ABF8C4" w:rsidR="00D373AB" w:rsidRPr="00847B73" w:rsidRDefault="00000000" w:rsidP="00847B73">
      <w:pPr>
        <w:suppressAutoHyphens w:val="0"/>
        <w:jc w:val="both"/>
        <w:rPr>
          <w:rFonts w:ascii="Tahoma" w:eastAsia="Calibri" w:hAnsi="Tahoma" w:cs="Tahoma"/>
          <w:sz w:val="16"/>
          <w:szCs w:val="16"/>
          <w:lang w:val="sk-SK" w:eastAsia="en-US"/>
        </w:rPr>
      </w:pPr>
      <w:r>
        <w:rPr>
          <w:rFonts w:ascii="Tahoma" w:eastAsia="Calibri" w:hAnsi="Tahoma" w:cs="Tahoma"/>
          <w:sz w:val="16"/>
          <w:szCs w:val="16"/>
          <w:lang w:val="sk-SK" w:eastAsia="en-US"/>
        </w:rPr>
        <w:t xml:space="preserve">Navrhovaný dizajn superpočítača je spôsobilý pokryť potreby slovenského prostredia definované v ŠU používateľským prieskumom aj extrapoláciou na výkon ekonomiky a počet obyvateľov. </w:t>
      </w:r>
      <w:r>
        <w:rPr>
          <w:rFonts w:ascii="Tahoma" w:eastAsia="Calibri" w:hAnsi="Tahoma" w:cs="Tahoma"/>
          <w:b/>
          <w:bCs/>
          <w:sz w:val="16"/>
          <w:szCs w:val="16"/>
          <w:lang w:val="sk-SK" w:eastAsia="en-US"/>
        </w:rPr>
        <w:t>S využitím pripravovaného stabilizačného mechanizmu je navyše možné zabezpečiť prevádzku systému, služby a rozvoj ekosystému bez ďalších nárokov na ŠR.</w:t>
      </w:r>
    </w:p>
    <w:p w14:paraId="71C70029" w14:textId="77777777" w:rsidR="00D373AB" w:rsidRDefault="00000000">
      <w:pPr>
        <w:pStyle w:val="Heading1"/>
        <w:numPr>
          <w:ilvl w:val="0"/>
          <w:numId w:val="2"/>
        </w:numPr>
      </w:pPr>
      <w:bookmarkStart w:id="269" w:name="_Toc132800185"/>
      <w:r>
        <w:t>HARMONOGRAM JEDNOTLIVÝCH FÁZ PROJEKTU a METÓDA JEHO RIADENIA</w:t>
      </w:r>
      <w:bookmarkEnd w:id="269"/>
      <w:r>
        <w:t xml:space="preserve"> </w:t>
      </w:r>
    </w:p>
    <w:p w14:paraId="7A5E2BD6" w14:textId="77777777" w:rsidR="00D373AB" w:rsidRDefault="00D373AB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6"/>
          <w:szCs w:val="16"/>
          <w:lang w:val="sk-SK"/>
        </w:rPr>
      </w:pPr>
    </w:p>
    <w:p w14:paraId="09C4B631" w14:textId="77777777" w:rsidR="00D373AB" w:rsidRDefault="00000000">
      <w:pPr>
        <w:tabs>
          <w:tab w:val="left" w:pos="851"/>
          <w:tab w:val="center" w:pos="3119"/>
        </w:tabs>
        <w:rPr>
          <w:rFonts w:ascii="Tahoma" w:hAnsi="Tahoma" w:cs="Tahoma"/>
          <w:iCs/>
          <w:sz w:val="16"/>
          <w:szCs w:val="16"/>
          <w:lang w:val="sk-SK"/>
        </w:rPr>
      </w:pPr>
      <w:r>
        <w:rPr>
          <w:rFonts w:ascii="Tahoma" w:hAnsi="Tahoma" w:cs="Tahoma"/>
          <w:iCs/>
          <w:sz w:val="16"/>
          <w:szCs w:val="16"/>
          <w:lang w:val="sk-SK"/>
        </w:rPr>
        <w:t xml:space="preserve">Indikatívny harmonogram pre prípravu a obstarávanie kontajnerového DC riešenia a IKT. </w:t>
      </w:r>
    </w:p>
    <w:p w14:paraId="5A8E3C9B" w14:textId="77777777" w:rsidR="00D373AB" w:rsidRDefault="00D373AB">
      <w:pPr>
        <w:pStyle w:val="Svetlmriekazvraznenie31"/>
        <w:tabs>
          <w:tab w:val="left" w:pos="851"/>
          <w:tab w:val="center" w:pos="3119"/>
        </w:tabs>
        <w:ind w:left="0"/>
        <w:rPr>
          <w:rFonts w:ascii="Tahoma" w:hAnsi="Tahoma" w:cs="Tahoma"/>
          <w:iCs/>
          <w:color w:val="auto"/>
          <w:sz w:val="16"/>
          <w:szCs w:val="16"/>
        </w:rPr>
      </w:pPr>
    </w:p>
    <w:p w14:paraId="1DB7F91A" w14:textId="77777777" w:rsidR="00D373AB" w:rsidRDefault="00000000">
      <w:pPr>
        <w:pStyle w:val="Svetlmriekazvraznenie31"/>
        <w:tabs>
          <w:tab w:val="left" w:pos="851"/>
          <w:tab w:val="center" w:pos="3119"/>
        </w:tabs>
        <w:ind w:left="0"/>
        <w:rPr>
          <w:rFonts w:ascii="Tahoma" w:hAnsi="Tahoma" w:cs="Tahoma"/>
          <w:iCs/>
          <w:color w:val="auto"/>
          <w:sz w:val="16"/>
          <w:szCs w:val="16"/>
        </w:rPr>
      </w:pPr>
      <w:r>
        <w:rPr>
          <w:rFonts w:ascii="Tahoma" w:hAnsi="Tahoma" w:cs="Tahoma"/>
          <w:iCs/>
          <w:color w:val="auto"/>
          <w:sz w:val="16"/>
          <w:szCs w:val="16"/>
        </w:rPr>
        <w:t>Za predpokladu dosiahnutia míľnika k 12/2025 a podpisu zmluvy s dodávateľom k 05/2024 – začiatok procesu implementácie sa očakáva v 03/2023.</w:t>
      </w:r>
    </w:p>
    <w:p w14:paraId="35DC1869" w14:textId="77777777" w:rsidR="00D373AB" w:rsidRDefault="00000000">
      <w:pPr>
        <w:pStyle w:val="Svetlmriekazvraznenie31"/>
        <w:tabs>
          <w:tab w:val="left" w:pos="851"/>
          <w:tab w:val="center" w:pos="3119"/>
        </w:tabs>
        <w:ind w:left="0"/>
        <w:rPr>
          <w:rFonts w:ascii="Tahoma" w:hAnsi="Tahoma" w:cs="Tahoma"/>
          <w:iCs/>
          <w:color w:val="auto"/>
          <w:sz w:val="16"/>
          <w:szCs w:val="16"/>
        </w:rPr>
      </w:pPr>
      <w:r>
        <w:rPr>
          <w:rFonts w:ascii="Tahoma" w:hAnsi="Tahoma" w:cs="Tahoma"/>
          <w:iCs/>
          <w:color w:val="auto"/>
          <w:sz w:val="16"/>
          <w:szCs w:val="16"/>
        </w:rPr>
        <w:t>Je tiež potrebné rátať s prípadnými komplikáciami v procese VO (námietky, odvolania) a s prípadnými lehotami pre vyjadrenia relevantných úradov.</w:t>
      </w:r>
    </w:p>
    <w:p w14:paraId="57A1564D" w14:textId="77777777" w:rsidR="00D373AB" w:rsidRDefault="00D373AB">
      <w:pPr>
        <w:pStyle w:val="Svetlmriekazvraznenie31"/>
        <w:tabs>
          <w:tab w:val="left" w:pos="851"/>
          <w:tab w:val="center" w:pos="3119"/>
        </w:tabs>
        <w:ind w:left="0"/>
        <w:rPr>
          <w:rFonts w:ascii="Tahoma" w:hAnsi="Tahoma" w:cs="Tahoma"/>
          <w:iCs/>
          <w:color w:val="auto"/>
          <w:sz w:val="16"/>
          <w:szCs w:val="16"/>
        </w:rPr>
      </w:pPr>
    </w:p>
    <w:p w14:paraId="63789FDD" w14:textId="77777777" w:rsidR="00D373AB" w:rsidRDefault="00000000">
      <w:pPr>
        <w:pStyle w:val="Svetlmriekazvraznenie31"/>
        <w:tabs>
          <w:tab w:val="left" w:pos="851"/>
          <w:tab w:val="center" w:pos="3119"/>
        </w:tabs>
        <w:ind w:left="0"/>
        <w:rPr>
          <w:rFonts w:ascii="Tahoma" w:hAnsi="Tahoma" w:cs="Tahoma"/>
          <w:iCs/>
          <w:color w:val="auto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BBBD726" wp14:editId="10398441">
            <wp:extent cx="5756275" cy="2319020"/>
            <wp:effectExtent l="0" t="0" r="0" b="0"/>
            <wp:docPr id="3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9BD99" w14:textId="77777777" w:rsidR="00D373AB" w:rsidRDefault="00D373AB">
      <w:pPr>
        <w:pStyle w:val="Svetlmriekazvraznenie31"/>
        <w:tabs>
          <w:tab w:val="left" w:pos="851"/>
          <w:tab w:val="center" w:pos="3119"/>
        </w:tabs>
        <w:ind w:left="0"/>
        <w:rPr>
          <w:rFonts w:ascii="Tahoma" w:hAnsi="Tahoma" w:cs="Tahoma"/>
          <w:iCs/>
          <w:color w:val="auto"/>
          <w:sz w:val="16"/>
          <w:szCs w:val="16"/>
        </w:rPr>
      </w:pPr>
    </w:p>
    <w:p w14:paraId="160B6808" w14:textId="77777777" w:rsidR="00D373AB" w:rsidRDefault="00D373AB">
      <w:pPr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4EA2BF64" w14:textId="77777777" w:rsidR="00D373AB" w:rsidRDefault="00000000">
      <w:pPr>
        <w:pStyle w:val="Svetlmriekazvraznenie31"/>
        <w:tabs>
          <w:tab w:val="left" w:pos="851"/>
          <w:tab w:val="center" w:pos="3119"/>
        </w:tabs>
        <w:ind w:left="0"/>
        <w:rPr>
          <w:rFonts w:ascii="Tahoma" w:hAnsi="Tahoma" w:cs="Tahoma"/>
          <w:iCs/>
          <w:color w:val="auto"/>
          <w:sz w:val="16"/>
          <w:szCs w:val="16"/>
        </w:rPr>
      </w:pPr>
      <w:r>
        <w:rPr>
          <w:rFonts w:ascii="Tahoma" w:hAnsi="Tahoma" w:cs="Tahoma"/>
          <w:iCs/>
          <w:color w:val="auto"/>
          <w:sz w:val="16"/>
          <w:szCs w:val="16"/>
        </w:rPr>
        <w:t>Indikatívny harmonogram pre dodávku kontajnerového DC riešenia a IKT</w:t>
      </w:r>
    </w:p>
    <w:p w14:paraId="549539EA" w14:textId="77777777" w:rsidR="00D373AB" w:rsidRDefault="00D373AB">
      <w:pPr>
        <w:pStyle w:val="Svetlmriekazvraznenie31"/>
        <w:tabs>
          <w:tab w:val="left" w:pos="851"/>
          <w:tab w:val="center" w:pos="3119"/>
        </w:tabs>
        <w:ind w:left="0"/>
        <w:rPr>
          <w:rFonts w:ascii="Tahoma" w:hAnsi="Tahoma" w:cs="Tahoma"/>
          <w:iCs/>
          <w:color w:val="auto"/>
          <w:sz w:val="16"/>
          <w:szCs w:val="16"/>
        </w:rPr>
      </w:pPr>
    </w:p>
    <w:p w14:paraId="7BDBB6FF" w14:textId="77777777" w:rsidR="00D373AB" w:rsidRDefault="00000000">
      <w:pPr>
        <w:pStyle w:val="Svetlmriekazvraznenie31"/>
        <w:tabs>
          <w:tab w:val="left" w:pos="851"/>
          <w:tab w:val="center" w:pos="3119"/>
        </w:tabs>
        <w:ind w:left="0"/>
        <w:rPr>
          <w:rFonts w:ascii="Tahoma" w:hAnsi="Tahoma" w:cs="Tahoma"/>
          <w:iCs/>
          <w:color w:val="auto"/>
          <w:sz w:val="16"/>
          <w:szCs w:val="16"/>
        </w:rPr>
      </w:pPr>
      <w:r>
        <w:rPr>
          <w:rFonts w:ascii="Tahoma" w:hAnsi="Tahoma" w:cs="Tahoma"/>
          <w:iCs/>
          <w:color w:val="auto"/>
          <w:sz w:val="16"/>
          <w:szCs w:val="16"/>
        </w:rPr>
        <w:t>Vychádzajúc z predpokladu dosiahnutia míľnika k 12/2025 - podpis zmluvy na dodávku pri tejto variante sa očakáva najneskôr 5/2024. Stavebné úpravy predstavujú úpravu podložia pre zabezpečenie nosnosti kontajnerov a dotiahnutie infraštruktúrnych prípojok</w:t>
      </w:r>
    </w:p>
    <w:p w14:paraId="3708518B" w14:textId="77777777" w:rsidR="00D373AB" w:rsidRDefault="00D373AB">
      <w:pPr>
        <w:pStyle w:val="Svetlmriekazvraznenie31"/>
        <w:tabs>
          <w:tab w:val="left" w:pos="851"/>
          <w:tab w:val="center" w:pos="3119"/>
        </w:tabs>
        <w:ind w:left="0"/>
        <w:rPr>
          <w:rFonts w:ascii="Tahoma" w:hAnsi="Tahoma" w:cs="Tahoma"/>
          <w:iCs/>
          <w:color w:val="auto"/>
          <w:sz w:val="16"/>
          <w:szCs w:val="16"/>
        </w:rPr>
      </w:pPr>
    </w:p>
    <w:p w14:paraId="552D138B" w14:textId="77777777" w:rsidR="00D373AB" w:rsidRDefault="00D373AB">
      <w:pPr>
        <w:pStyle w:val="Svetlmriekazvraznenie31"/>
        <w:tabs>
          <w:tab w:val="left" w:pos="851"/>
          <w:tab w:val="center" w:pos="3119"/>
        </w:tabs>
        <w:ind w:left="0"/>
        <w:rPr>
          <w:rFonts w:ascii="Tahoma" w:hAnsi="Tahoma" w:cs="Tahoma"/>
          <w:iCs/>
          <w:color w:val="auto"/>
          <w:sz w:val="16"/>
          <w:szCs w:val="16"/>
        </w:rPr>
      </w:pPr>
    </w:p>
    <w:p w14:paraId="3D53915D" w14:textId="77777777" w:rsidR="00D373AB" w:rsidRDefault="00000000">
      <w:pPr>
        <w:pStyle w:val="Svetlmriekazvraznenie31"/>
        <w:tabs>
          <w:tab w:val="left" w:pos="851"/>
          <w:tab w:val="center" w:pos="3119"/>
        </w:tabs>
        <w:ind w:left="0"/>
        <w:rPr>
          <w:rFonts w:ascii="Tahoma" w:hAnsi="Tahoma" w:cs="Tahoma"/>
          <w:iCs/>
          <w:color w:val="auto"/>
          <w:sz w:val="16"/>
          <w:szCs w:val="16"/>
        </w:rPr>
      </w:pPr>
      <w:r>
        <w:rPr>
          <w:noProof/>
        </w:rPr>
        <w:drawing>
          <wp:inline distT="0" distB="0" distL="0" distR="0" wp14:anchorId="099374FA" wp14:editId="78FB599B">
            <wp:extent cx="5749290" cy="2777490"/>
            <wp:effectExtent l="0" t="0" r="0" b="0"/>
            <wp:docPr id="4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C7CC5" w14:textId="77777777" w:rsidR="00D373AB" w:rsidRDefault="00D373AB">
      <w:pPr>
        <w:pStyle w:val="Svetlmriekazvraznenie31"/>
        <w:tabs>
          <w:tab w:val="left" w:pos="851"/>
          <w:tab w:val="center" w:pos="3119"/>
        </w:tabs>
        <w:ind w:left="0"/>
        <w:rPr>
          <w:rFonts w:ascii="Tahoma" w:hAnsi="Tahoma" w:cs="Tahoma"/>
          <w:iCs/>
          <w:color w:val="auto"/>
          <w:sz w:val="16"/>
          <w:szCs w:val="16"/>
        </w:rPr>
      </w:pPr>
    </w:p>
    <w:p w14:paraId="55E78398" w14:textId="1773486E" w:rsidR="00D373AB" w:rsidRDefault="00D373AB">
      <w:pPr>
        <w:rPr>
          <w:rFonts w:ascii="Tahoma" w:hAnsi="Tahoma" w:cs="Tahoma"/>
          <w:b/>
          <w:bCs/>
          <w:sz w:val="16"/>
          <w:szCs w:val="16"/>
          <w:lang w:val="sk-SK"/>
        </w:rPr>
      </w:pPr>
      <w:bookmarkStart w:id="270" w:name="_Toc132362864"/>
      <w:bookmarkStart w:id="271" w:name="_Toc132363486"/>
      <w:bookmarkStart w:id="272" w:name="_Toc132362860"/>
      <w:bookmarkStart w:id="273" w:name="_Toc132363483"/>
      <w:bookmarkStart w:id="274" w:name="_Toc132363484"/>
      <w:bookmarkStart w:id="275" w:name="_Toc132363487"/>
      <w:bookmarkStart w:id="276" w:name="_Toc132362861"/>
      <w:bookmarkStart w:id="277" w:name="_Toc132362865"/>
      <w:bookmarkStart w:id="278" w:name="_Toc132363485"/>
      <w:bookmarkStart w:id="279" w:name="_Toc132363488"/>
      <w:bookmarkStart w:id="280" w:name="_Toc132363489"/>
      <w:bookmarkStart w:id="281" w:name="_Toc132362866"/>
      <w:bookmarkStart w:id="282" w:name="_Toc132362867"/>
      <w:bookmarkStart w:id="283" w:name="_Toc132363490"/>
      <w:bookmarkStart w:id="284" w:name="_Toc132362863"/>
      <w:bookmarkStart w:id="285" w:name="_Toc132362862"/>
      <w:bookmarkStart w:id="286" w:name="_Toc132363573"/>
      <w:bookmarkStart w:id="287" w:name="_Toc132363571"/>
      <w:bookmarkStart w:id="288" w:name="_Toc132362951"/>
      <w:bookmarkStart w:id="289" w:name="_Toc132362952"/>
      <w:bookmarkStart w:id="290" w:name="_Toc132362953"/>
      <w:bookmarkStart w:id="291" w:name="_Toc132363576"/>
      <w:bookmarkStart w:id="292" w:name="_Toc132363577"/>
      <w:bookmarkStart w:id="293" w:name="_Toc132362954"/>
      <w:bookmarkStart w:id="294" w:name="_Toc132363578"/>
      <w:bookmarkStart w:id="295" w:name="_Toc132362955"/>
      <w:bookmarkStart w:id="296" w:name="_Toc132362956"/>
      <w:bookmarkStart w:id="297" w:name="_Toc132363579"/>
      <w:bookmarkStart w:id="298" w:name="_Toc132362957"/>
      <w:bookmarkStart w:id="299" w:name="_Toc132363580"/>
      <w:bookmarkStart w:id="300" w:name="_Toc132362944"/>
      <w:bookmarkStart w:id="301" w:name="_Toc132362950"/>
      <w:bookmarkStart w:id="302" w:name="_Toc132363572"/>
      <w:bookmarkStart w:id="303" w:name="_Toc132363574"/>
      <w:bookmarkStart w:id="304" w:name="_Toc132362949"/>
      <w:bookmarkStart w:id="305" w:name="_Toc132362948"/>
      <w:bookmarkStart w:id="306" w:name="_Toc132363570"/>
      <w:bookmarkStart w:id="307" w:name="_Toc132362947"/>
      <w:bookmarkStart w:id="308" w:name="_Toc132363569"/>
      <w:bookmarkStart w:id="309" w:name="_Toc132362946"/>
      <w:bookmarkStart w:id="310" w:name="_Toc132363568"/>
      <w:bookmarkStart w:id="311" w:name="_Toc132362945"/>
      <w:bookmarkStart w:id="312" w:name="_Toc132363567"/>
      <w:bookmarkStart w:id="313" w:name="_Toc132363566"/>
      <w:bookmarkStart w:id="314" w:name="_Toc132362943"/>
      <w:bookmarkStart w:id="315" w:name="_Toc132363575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</w:p>
    <w:sectPr w:rsidR="00D373AB">
      <w:footerReference w:type="default" r:id="rId14"/>
      <w:pgSz w:w="11906" w:h="16838"/>
      <w:pgMar w:top="1417" w:right="1417" w:bottom="1417" w:left="1417" w:header="397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2F67" w14:textId="77777777" w:rsidR="007344AF" w:rsidRDefault="007344AF">
      <w:r>
        <w:separator/>
      </w:r>
    </w:p>
  </w:endnote>
  <w:endnote w:type="continuationSeparator" w:id="0">
    <w:p w14:paraId="5511CEF4" w14:textId="77777777" w:rsidR="007344AF" w:rsidRDefault="0073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Nirmala UI"/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Roboto Slab;Times New Roman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6E41" w14:textId="77777777" w:rsidR="00D373AB" w:rsidRDefault="00000000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16"/>
        <w:szCs w:val="16"/>
      </w:rPr>
    </w:pPr>
    <w:r w:rsidRPr="00113228">
      <w:rPr>
        <w:rFonts w:ascii="Tahoma" w:hAnsi="Tahoma" w:cs="Tahoma"/>
        <w:sz w:val="16"/>
        <w:szCs w:val="16"/>
        <w:lang w:val="sk-SK"/>
      </w:rPr>
      <w:t xml:space="preserve">Strana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>PAGE</w:instrText>
    </w:r>
    <w:r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  <w:lang w:val="sk-SK"/>
      </w:rPr>
      <w:t>/</w:t>
    </w:r>
    <w:r>
      <w:rPr>
        <w:rFonts w:ascii="Tahoma" w:hAnsi="Tahoma" w:cs="Tahoma"/>
        <w:sz w:val="16"/>
        <w:szCs w:val="16"/>
        <w:lang w:val="sk-SK"/>
      </w:rPr>
      <w:fldChar w:fldCharType="begin"/>
    </w:r>
    <w:r>
      <w:rPr>
        <w:rFonts w:ascii="Tahoma" w:hAnsi="Tahoma" w:cs="Tahoma"/>
        <w:sz w:val="16"/>
        <w:szCs w:val="16"/>
        <w:lang w:val="sk-SK"/>
      </w:rPr>
      <w:instrText>NUMPAGES</w:instrText>
    </w:r>
    <w:r>
      <w:rPr>
        <w:rFonts w:ascii="Tahoma" w:hAnsi="Tahoma" w:cs="Tahoma"/>
        <w:sz w:val="16"/>
        <w:szCs w:val="16"/>
        <w:lang w:val="sk-SK"/>
      </w:rPr>
      <w:fldChar w:fldCharType="separate"/>
    </w:r>
    <w:r>
      <w:rPr>
        <w:rFonts w:ascii="Tahoma" w:hAnsi="Tahoma" w:cs="Tahoma"/>
        <w:sz w:val="16"/>
        <w:szCs w:val="16"/>
        <w:lang w:val="sk-SK"/>
      </w:rPr>
      <w:t>12</w:t>
    </w:r>
    <w:r>
      <w:rPr>
        <w:rFonts w:ascii="Tahoma" w:hAnsi="Tahoma" w:cs="Tahoma"/>
        <w:sz w:val="16"/>
        <w:szCs w:val="16"/>
        <w:lang w:val="sk-SK"/>
      </w:rPr>
      <w:fldChar w:fldCharType="end"/>
    </w:r>
  </w:p>
  <w:p w14:paraId="07706140" w14:textId="77777777" w:rsidR="00D373AB" w:rsidRDefault="00D373AB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CEC8" w14:textId="77777777" w:rsidR="007344AF" w:rsidRDefault="007344AF">
      <w:r>
        <w:separator/>
      </w:r>
    </w:p>
  </w:footnote>
  <w:footnote w:type="continuationSeparator" w:id="0">
    <w:p w14:paraId="5A7993FC" w14:textId="77777777" w:rsidR="007344AF" w:rsidRDefault="0073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6CD3"/>
    <w:multiLevelType w:val="multilevel"/>
    <w:tmpl w:val="6B50615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725D4E"/>
    <w:multiLevelType w:val="multilevel"/>
    <w:tmpl w:val="7D6644F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C4374"/>
    <w:multiLevelType w:val="multilevel"/>
    <w:tmpl w:val="D4A6A6C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numFmt w:val="bullet"/>
      <w:lvlText w:val="—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BF6A0B"/>
    <w:multiLevelType w:val="hybridMultilevel"/>
    <w:tmpl w:val="EE9A1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18A3"/>
    <w:multiLevelType w:val="multilevel"/>
    <w:tmpl w:val="A346506E"/>
    <w:lvl w:ilvl="0">
      <w:start w:val="1"/>
      <w:numFmt w:val="decimal"/>
      <w:lvlText w:val="%1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" w15:restartNumberingAfterBreak="0">
    <w:nsid w:val="70511CD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71DF3D64"/>
    <w:multiLevelType w:val="multilevel"/>
    <w:tmpl w:val="F1FCD7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aps/>
        <w:sz w:val="16"/>
        <w:szCs w:val="32"/>
        <w:lang w:val="sk-SK" w:bidi="sk-SK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7" w15:restartNumberingAfterBreak="0">
    <w:nsid w:val="77390ADD"/>
    <w:multiLevelType w:val="multilevel"/>
    <w:tmpl w:val="F1FCD54E"/>
    <w:lvl w:ilvl="0">
      <w:start w:val="1"/>
      <w:numFmt w:val="decimal"/>
      <w:pStyle w:val="Heading2"/>
      <w:lvlText w:val="%1."/>
      <w:lvlJc w:val="left"/>
      <w:pPr>
        <w:tabs>
          <w:tab w:val="num" w:pos="0"/>
        </w:tabs>
        <w:ind w:left="360" w:hanging="360"/>
      </w:pPr>
      <w:rPr>
        <w:b/>
        <w:caps/>
        <w:sz w:val="16"/>
        <w:szCs w:val="32"/>
        <w:lang w:val="sk-SK" w:bidi="sk-SK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7723430"/>
    <w:multiLevelType w:val="multilevel"/>
    <w:tmpl w:val="B2F01D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55850631">
    <w:abstractNumId w:val="7"/>
  </w:num>
  <w:num w:numId="2" w16cid:durableId="853373916">
    <w:abstractNumId w:val="6"/>
  </w:num>
  <w:num w:numId="3" w16cid:durableId="1876116000">
    <w:abstractNumId w:val="4"/>
  </w:num>
  <w:num w:numId="4" w16cid:durableId="1125924804">
    <w:abstractNumId w:val="2"/>
  </w:num>
  <w:num w:numId="5" w16cid:durableId="807169981">
    <w:abstractNumId w:val="1"/>
  </w:num>
  <w:num w:numId="6" w16cid:durableId="1385836372">
    <w:abstractNumId w:val="0"/>
  </w:num>
  <w:num w:numId="7" w16cid:durableId="2124375006">
    <w:abstractNumId w:val="8"/>
  </w:num>
  <w:num w:numId="8" w16cid:durableId="79835513">
    <w:abstractNumId w:val="5"/>
  </w:num>
  <w:num w:numId="9" w16cid:durableId="1097677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3AB"/>
    <w:rsid w:val="00045C3D"/>
    <w:rsid w:val="00072433"/>
    <w:rsid w:val="000D36A0"/>
    <w:rsid w:val="000F38E7"/>
    <w:rsid w:val="00112355"/>
    <w:rsid w:val="00113228"/>
    <w:rsid w:val="00144E67"/>
    <w:rsid w:val="00147D9B"/>
    <w:rsid w:val="002158E4"/>
    <w:rsid w:val="00285940"/>
    <w:rsid w:val="002D4494"/>
    <w:rsid w:val="003D63D4"/>
    <w:rsid w:val="004425D4"/>
    <w:rsid w:val="004A0518"/>
    <w:rsid w:val="00563435"/>
    <w:rsid w:val="005738EA"/>
    <w:rsid w:val="00587761"/>
    <w:rsid w:val="0059221F"/>
    <w:rsid w:val="005F6FA9"/>
    <w:rsid w:val="00617282"/>
    <w:rsid w:val="00623D51"/>
    <w:rsid w:val="00646F25"/>
    <w:rsid w:val="006503C5"/>
    <w:rsid w:val="006734F7"/>
    <w:rsid w:val="006967BF"/>
    <w:rsid w:val="006D2262"/>
    <w:rsid w:val="006F3F6E"/>
    <w:rsid w:val="006F50E5"/>
    <w:rsid w:val="00704550"/>
    <w:rsid w:val="00720D43"/>
    <w:rsid w:val="007344AF"/>
    <w:rsid w:val="007621F1"/>
    <w:rsid w:val="007A3C5B"/>
    <w:rsid w:val="007F3F0C"/>
    <w:rsid w:val="00812892"/>
    <w:rsid w:val="00815377"/>
    <w:rsid w:val="00847B73"/>
    <w:rsid w:val="00895F3A"/>
    <w:rsid w:val="008E743B"/>
    <w:rsid w:val="008F4D79"/>
    <w:rsid w:val="0090050B"/>
    <w:rsid w:val="00901CEC"/>
    <w:rsid w:val="00901E22"/>
    <w:rsid w:val="009027D1"/>
    <w:rsid w:val="00941A94"/>
    <w:rsid w:val="009473B0"/>
    <w:rsid w:val="00950FBB"/>
    <w:rsid w:val="009571F6"/>
    <w:rsid w:val="009D0639"/>
    <w:rsid w:val="00A34810"/>
    <w:rsid w:val="00AA7EE1"/>
    <w:rsid w:val="00AC030C"/>
    <w:rsid w:val="00AC3D2A"/>
    <w:rsid w:val="00B1399C"/>
    <w:rsid w:val="00B51BEF"/>
    <w:rsid w:val="00C26CD8"/>
    <w:rsid w:val="00C3057F"/>
    <w:rsid w:val="00CC32E5"/>
    <w:rsid w:val="00D054E8"/>
    <w:rsid w:val="00D373AB"/>
    <w:rsid w:val="00D5098B"/>
    <w:rsid w:val="00D627CF"/>
    <w:rsid w:val="00DA6189"/>
    <w:rsid w:val="00E13024"/>
    <w:rsid w:val="00E7193B"/>
    <w:rsid w:val="00E72497"/>
    <w:rsid w:val="00E83BA2"/>
    <w:rsid w:val="00E84BAB"/>
    <w:rsid w:val="00EA02CF"/>
    <w:rsid w:val="00EA2D07"/>
    <w:rsid w:val="00EB69F3"/>
    <w:rsid w:val="00F005CE"/>
    <w:rsid w:val="00F15400"/>
    <w:rsid w:val="00F5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F3FAA3"/>
  <w15:docId w15:val="{9081E04A-7604-7449-995A-C01089AD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Noto Sans SC Regular" w:hAnsi="Carlito" w:cs="Noto Sans Devanagari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2"/>
      <w:szCs w:val="20"/>
      <w:lang w:val="en-US" w:bidi="ar-SA"/>
    </w:rPr>
  </w:style>
  <w:style w:type="paragraph" w:styleId="Heading1">
    <w:name w:val="heading 1"/>
    <w:basedOn w:val="Normal"/>
    <w:next w:val="Nadpis2"/>
    <w:uiPriority w:val="9"/>
    <w:qFormat/>
    <w:pPr>
      <w:keepNext/>
      <w:keepLines/>
      <w:spacing w:before="240"/>
      <w:outlineLvl w:val="0"/>
    </w:pPr>
    <w:rPr>
      <w:rFonts w:ascii="Tahoma" w:hAnsi="Tahoma" w:cs="Tahoma"/>
      <w:b/>
      <w:caps/>
      <w:sz w:val="16"/>
      <w:szCs w:val="32"/>
      <w:lang w:val="sk-SK"/>
    </w:rPr>
  </w:style>
  <w:style w:type="paragraph" w:styleId="Heading2">
    <w:name w:val="heading 2"/>
    <w:basedOn w:val="Nadpis1"/>
    <w:next w:val="Nadpis3"/>
    <w:uiPriority w:val="9"/>
    <w:semiHidden/>
    <w:unhideWhenUsed/>
    <w:qFormat/>
    <w:pPr>
      <w:keepLines/>
      <w:numPr>
        <w:numId w:val="1"/>
      </w:numPr>
      <w:spacing w:before="40"/>
      <w:ind w:left="1224" w:hanging="504"/>
      <w:jc w:val="both"/>
      <w:outlineLvl w:val="1"/>
    </w:pPr>
    <w:rPr>
      <w:rFonts w:cs="Tahoma"/>
      <w:b/>
    </w:rPr>
  </w:style>
  <w:style w:type="paragraph" w:styleId="Heading3">
    <w:name w:val="heading 3"/>
    <w:basedOn w:val="Nadpis3"/>
    <w:next w:val="Normal"/>
    <w:uiPriority w:val="9"/>
    <w:semiHidden/>
    <w:unhideWhenUsed/>
    <w:qFormat/>
    <w:pPr>
      <w:keepLines/>
      <w:spacing w:before="40" w:after="120"/>
      <w:outlineLvl w:val="2"/>
    </w:pPr>
    <w:rPr>
      <w:b w:val="0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before="40" w:after="80" w:line="259" w:lineRule="auto"/>
      <w:ind w:left="3600" w:hanging="360"/>
      <w:jc w:val="both"/>
      <w:outlineLvl w:val="4"/>
    </w:pPr>
    <w:rPr>
      <w:rFonts w:ascii="Roboto Slab;Times New Roman" w:eastAsia="Roboto Slab;Times New Roman" w:hAnsi="Roboto Slab;Times New Roman" w:cs="Roboto Slab;Times New Roman"/>
      <w:color w:val="17365D"/>
      <w:sz w:val="18"/>
      <w:szCs w:val="18"/>
      <w:lang w:val="sk-SK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120"/>
      <w:ind w:left="4320" w:hanging="360"/>
      <w:jc w:val="both"/>
      <w:outlineLvl w:val="5"/>
    </w:pPr>
    <w:rPr>
      <w:rFonts w:ascii="Roboto Slab;Times New Roman" w:eastAsia="Roboto Slab;Times New Roman" w:hAnsi="Roboto Slab;Times New Roman" w:cs="Roboto Slab;Times New Roman"/>
      <w:sz w:val="18"/>
      <w:szCs w:val="18"/>
      <w:lang w:val="sk-SK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ind w:left="5040" w:hanging="360"/>
      <w:jc w:val="both"/>
      <w:outlineLvl w:val="6"/>
    </w:pPr>
    <w:rPr>
      <w:rFonts w:ascii="Calibri Light" w:hAnsi="Calibri Light"/>
      <w:i/>
      <w:iCs/>
      <w:color w:val="1F4D78"/>
      <w:sz w:val="18"/>
      <w:szCs w:val="18"/>
      <w:lang w:val="sk-SK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ind w:left="5760" w:hanging="360"/>
      <w:jc w:val="both"/>
      <w:outlineLvl w:val="7"/>
    </w:pPr>
    <w:rPr>
      <w:rFonts w:ascii="Calibri Light" w:hAnsi="Calibri Light"/>
      <w:color w:val="272727"/>
      <w:sz w:val="21"/>
      <w:szCs w:val="21"/>
      <w:lang w:val="sk-SK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ind w:left="6480" w:hanging="360"/>
      <w:jc w:val="both"/>
      <w:outlineLvl w:val="8"/>
    </w:pPr>
    <w:rPr>
      <w:rFonts w:ascii="Calibri Light" w:hAnsi="Calibri Light"/>
      <w:i/>
      <w:iCs/>
      <w:color w:val="272727"/>
      <w:sz w:val="21"/>
      <w:szCs w:val="21"/>
      <w:lang w:val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 Narrow" w:eastAsia="Times New Roman" w:hAnsi="Arial Narrow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Calibri" w:hAnsi="Calibri" w:cs="Calibri"/>
      <w:sz w:val="22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A6A6A6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color w:val="A6A6A6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eastAsia="Times New Roman" w:hAnsi="Symbol" w:cs="Symbol"/>
      <w:color w:val="A6A6A6"/>
      <w:sz w:val="16"/>
      <w:szCs w:val="1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lang w:val="sk-SK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lang w:val="sk-SK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Arial Narrow" w:hAnsi="Symbol" w:cs="Symbol"/>
      <w:color w:val="A6A6A6"/>
      <w:sz w:val="16"/>
      <w:szCs w:val="16"/>
      <w:lang w:val="sk-SK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  <w:color w:val="A6A6A6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Calibri" w:eastAsia="Times New Roman" w:hAnsi="Calibri" w:cs="Calibri"/>
    </w:rPr>
  </w:style>
  <w:style w:type="character" w:customStyle="1" w:styleId="WW8Num14z1">
    <w:name w:val="WW8Num14z1"/>
    <w:qFormat/>
    <w:rPr>
      <w:rFonts w:ascii="Courier New" w:eastAsia="Arial Narrow" w:hAnsi="Courier New" w:cs="Courier New"/>
      <w:color w:val="A6A6A6"/>
      <w:sz w:val="16"/>
      <w:szCs w:val="16"/>
      <w:lang w:val="sk-SK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Tahoma" w:hAnsi="Tahoma" w:cs="Tahoma"/>
      <w:i/>
      <w:iCs/>
      <w:color w:val="A6A6A6"/>
      <w:sz w:val="16"/>
      <w:szCs w:val="16"/>
      <w:lang w:eastAsia="sk-SK"/>
    </w:rPr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Courier New" w:hAnsi="Courier New" w:cs="Courier New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eastAsia="Arial Narrow" w:hAnsi="Symbol" w:cs="Symbol"/>
      <w:color w:val="A6A6A6"/>
      <w:sz w:val="16"/>
      <w:szCs w:val="16"/>
      <w:lang w:val="sk-SK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b/>
      <w:caps/>
      <w:sz w:val="16"/>
      <w:szCs w:val="32"/>
      <w:lang w:val="sk-SK" w:bidi="sk-SK"/>
    </w:rPr>
  </w:style>
  <w:style w:type="character" w:customStyle="1" w:styleId="WW8Num21z1">
    <w:name w:val="WW8Num21z1"/>
    <w:qFormat/>
    <w:rPr>
      <w:color w:val="000000"/>
    </w:rPr>
  </w:style>
  <w:style w:type="character" w:customStyle="1" w:styleId="WW8Num21z2">
    <w:name w:val="WW8Num21z2"/>
    <w:qFormat/>
  </w:style>
  <w:style w:type="character" w:customStyle="1" w:styleId="WW8Num22z0">
    <w:name w:val="WW8Num22z0"/>
    <w:qFormat/>
    <w:rPr>
      <w:rFonts w:ascii="Symbol" w:hAnsi="Symbol" w:cs="Symbol"/>
      <w:color w:val="A6A6A6"/>
      <w:sz w:val="16"/>
      <w:szCs w:val="16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Calibri" w:hAnsi="Calibri" w:cs="Calibri"/>
      <w:sz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Wingdings" w:hAnsi="Wingdings" w:cs="Wingdings"/>
      <w:color w:val="808080"/>
      <w:sz w:val="16"/>
      <w:szCs w:val="16"/>
      <w:lang w:val="sk-SK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Calibri" w:hAnsi="Calibri" w:cs="Calibri"/>
      <w:sz w:val="22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1z0">
    <w:name w:val="WW8Num31z0"/>
    <w:qFormat/>
    <w:rPr>
      <w:rFonts w:ascii="Wingdings" w:hAnsi="Wingdings" w:cs="Wingdings"/>
      <w:sz w:val="20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eastAsia="Arial Narrow" w:hAnsi="Symbol" w:cs="Symbol"/>
      <w:color w:val="A6A6A6"/>
      <w:sz w:val="16"/>
      <w:szCs w:val="16"/>
      <w:lang w:val="sk-SK"/>
    </w:rPr>
  </w:style>
  <w:style w:type="character" w:customStyle="1" w:styleId="WW8Num35z1">
    <w:name w:val="WW8Num35z1"/>
    <w:qFormat/>
    <w:rPr>
      <w:rFonts w:ascii="Courier New" w:hAnsi="Courier New" w:cs="Courier New"/>
      <w:color w:val="A6A6A6"/>
      <w:sz w:val="16"/>
      <w:szCs w:val="16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Nadpis1Char">
    <w:name w:val="Nadpis 1 Char"/>
    <w:qFormat/>
    <w:rPr>
      <w:rFonts w:ascii="Tahoma" w:eastAsia="Times New Roman" w:hAnsi="Tahoma" w:cs="Tahoma"/>
      <w:b/>
      <w:caps/>
      <w:sz w:val="16"/>
      <w:szCs w:val="32"/>
    </w:rPr>
  </w:style>
  <w:style w:type="character" w:customStyle="1" w:styleId="Nadpis2Char">
    <w:name w:val="Nadpis 2 Char"/>
    <w:qFormat/>
    <w:rPr>
      <w:rFonts w:ascii="Tahoma" w:eastAsia="Times New Roman" w:hAnsi="Tahoma" w:cs="Tahoma"/>
      <w:b/>
      <w:bCs/>
      <w:kern w:val="2"/>
      <w:sz w:val="16"/>
      <w:szCs w:val="32"/>
    </w:rPr>
  </w:style>
  <w:style w:type="character" w:customStyle="1" w:styleId="Nadpis3Char">
    <w:name w:val="Nadpis 3 Char"/>
    <w:qFormat/>
    <w:rPr>
      <w:rFonts w:ascii="Tahoma" w:eastAsia="Times New Roman" w:hAnsi="Tahoma" w:cs="Tahoma"/>
      <w:bCs/>
      <w:iCs/>
      <w:caps/>
      <w:sz w:val="16"/>
      <w:szCs w:val="24"/>
      <w:lang w:val="en-US"/>
    </w:rPr>
  </w:style>
  <w:style w:type="character" w:customStyle="1" w:styleId="Nadpis4Char">
    <w:name w:val="Nadpis 4 Char"/>
    <w:qFormat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qFormat/>
    <w:rPr>
      <w:rFonts w:ascii="Roboto Slab;Times New Roman" w:eastAsia="Roboto Slab;Times New Roman" w:hAnsi="Roboto Slab;Times New Roman" w:cs="Roboto Slab;Times New Roman"/>
      <w:color w:val="17365D"/>
      <w:sz w:val="18"/>
      <w:szCs w:val="18"/>
    </w:rPr>
  </w:style>
  <w:style w:type="character" w:customStyle="1" w:styleId="Nadpis6Char">
    <w:name w:val="Nadpis 6 Char"/>
    <w:qFormat/>
    <w:rPr>
      <w:rFonts w:ascii="Roboto Slab;Times New Roman" w:eastAsia="Roboto Slab;Times New Roman" w:hAnsi="Roboto Slab;Times New Roman" w:cs="Roboto Slab;Times New Roman"/>
      <w:sz w:val="18"/>
      <w:szCs w:val="18"/>
    </w:rPr>
  </w:style>
  <w:style w:type="character" w:customStyle="1" w:styleId="Nadpis7Char">
    <w:name w:val="Nadpis 7 Char"/>
    <w:qFormat/>
    <w:rPr>
      <w:rFonts w:ascii="Calibri Light" w:eastAsia="Times New Roman" w:hAnsi="Calibri Light" w:cs="Calibri Light"/>
      <w:i/>
      <w:iCs/>
      <w:color w:val="1F4D78"/>
      <w:sz w:val="18"/>
      <w:szCs w:val="18"/>
    </w:rPr>
  </w:style>
  <w:style w:type="character" w:customStyle="1" w:styleId="Nadpis8Char">
    <w:name w:val="Nadpis 8 Char"/>
    <w:qFormat/>
    <w:rPr>
      <w:rFonts w:ascii="Calibri Light" w:eastAsia="Times New Roman" w:hAnsi="Calibri Light" w:cs="Calibri Light"/>
      <w:color w:val="272727"/>
      <w:sz w:val="21"/>
      <w:szCs w:val="21"/>
    </w:rPr>
  </w:style>
  <w:style w:type="character" w:customStyle="1" w:styleId="Nadpis9Char">
    <w:name w:val="Nadpis 9 Char"/>
    <w:qFormat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customStyle="1" w:styleId="Svetlmriekazvraznenie3Char">
    <w:name w:val="Svetlá mriežka – zvýraznenie 3 Char"/>
    <w:qFormat/>
    <w:rPr>
      <w:rFonts w:ascii="Arial Narrow" w:eastAsia="Arial Narrow" w:hAnsi="Arial Narrow" w:cs="Arial Narrow"/>
      <w:color w:val="000000"/>
    </w:rPr>
  </w:style>
  <w:style w:type="character" w:customStyle="1" w:styleId="ZkladntextChar">
    <w:name w:val="Základný text Char"/>
    <w:qFormat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dpis1Char0">
    <w:name w:val="Nadpis_1 Char"/>
    <w:qFormat/>
    <w:rPr>
      <w:rFonts w:ascii="Tahoma" w:eastAsia="Times New Roman" w:hAnsi="Tahoma" w:cs="Calibri"/>
      <w:bCs/>
      <w:kern w:val="2"/>
      <w:sz w:val="16"/>
      <w:szCs w:val="32"/>
    </w:rPr>
  </w:style>
  <w:style w:type="character" w:customStyle="1" w:styleId="Nadpis2Char0">
    <w:name w:val="Nadpis_2 Char"/>
    <w:qFormat/>
    <w:rPr>
      <w:rFonts w:ascii="Tahoma" w:eastAsia="Times New Roman" w:hAnsi="Tahoma" w:cs="Tahoma"/>
      <w:b/>
      <w:bCs/>
      <w:iCs/>
      <w:caps/>
      <w:sz w:val="16"/>
      <w:szCs w:val="28"/>
      <w:lang w:val="en-US"/>
    </w:rPr>
  </w:style>
  <w:style w:type="character" w:customStyle="1" w:styleId="Internetovodkaz">
    <w:name w:val="Internetový odkaz"/>
    <w:basedOn w:val="DefaultParagraphFont"/>
    <w:uiPriority w:val="99"/>
    <w:unhideWhenUsed/>
    <w:qFormat/>
    <w:rsid w:val="00C23094"/>
    <w:rPr>
      <w:color w:val="0563C1" w:themeColor="hyperlink"/>
      <w:u w:val="single"/>
    </w:rPr>
  </w:style>
  <w:style w:type="character" w:customStyle="1" w:styleId="Nadpis3Char0">
    <w:name w:val="Nadpis_3 Char"/>
    <w:qFormat/>
    <w:rPr>
      <w:rFonts w:ascii="Tahoma" w:eastAsia="Times New Roman" w:hAnsi="Tahoma" w:cs="Tahoma"/>
      <w:b/>
      <w:bCs/>
      <w:iCs/>
      <w:caps/>
      <w:sz w:val="16"/>
      <w:szCs w:val="28"/>
      <w:lang w:val="en-US"/>
    </w:rPr>
  </w:style>
  <w:style w:type="character" w:customStyle="1" w:styleId="NzovChar">
    <w:name w:val="Názov Char"/>
    <w:qFormat/>
    <w:rPr>
      <w:rFonts w:ascii="Calibri Light" w:eastAsia="Times New Roman" w:hAnsi="Calibri Light" w:cs="Times New Roman"/>
      <w:spacing w:val="-10"/>
      <w:kern w:val="2"/>
      <w:sz w:val="56"/>
      <w:szCs w:val="56"/>
      <w:lang w:val="en-US"/>
    </w:rPr>
  </w:style>
  <w:style w:type="character" w:customStyle="1" w:styleId="HlavikaChar">
    <w:name w:val="Hlavička Char"/>
    <w:qFormat/>
    <w:rPr>
      <w:rFonts w:ascii="Times New Roman" w:eastAsia="Times New Roman" w:hAnsi="Times New Roman" w:cs="Times New Roman"/>
      <w:sz w:val="22"/>
      <w:lang w:val="en-US"/>
    </w:rPr>
  </w:style>
  <w:style w:type="character" w:customStyle="1" w:styleId="PtaChar">
    <w:name w:val="Päta Char"/>
    <w:qFormat/>
    <w:rPr>
      <w:rFonts w:ascii="Times New Roman" w:eastAsia="Times New Roman" w:hAnsi="Times New Roman" w:cs="Times New Roman"/>
      <w:sz w:val="22"/>
      <w:lang w:val="en-US"/>
    </w:rPr>
  </w:style>
  <w:style w:type="character" w:customStyle="1" w:styleId="Navtveninternetovodkaz">
    <w:name w:val="Navštívený internetový odkaz"/>
    <w:qFormat/>
    <w:rPr>
      <w:color w:val="954F72"/>
      <w:u w:val="single"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TextkomentraChar">
    <w:name w:val="Text komentára Cha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edmetkomentraChar">
    <w:name w:val="Predmet komentára Char"/>
    <w:qFormat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extbublinyChar">
    <w:name w:val="Text bubliny Char"/>
    <w:qFormat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popisokintrukcia">
    <w:name w:val="popisok/inštrukcia"/>
    <w:qFormat/>
    <w:rPr>
      <w:color w:val="4F81BD"/>
      <w:sz w:val="16"/>
    </w:rPr>
  </w:style>
  <w:style w:type="character" w:customStyle="1" w:styleId="TextpoznmkypodiarouChar">
    <w:name w:val="Text poznámky pod čiarou Char"/>
    <w:qFormat/>
    <w:rPr>
      <w:rFonts w:ascii="Arial Narrow" w:eastAsia="Times New Roman" w:hAnsi="Arial Narrow" w:cs="Arial Narrow"/>
    </w:rPr>
  </w:style>
  <w:style w:type="character" w:customStyle="1" w:styleId="Znakyprepoznmkupodiarou">
    <w:name w:val="Znaky pre poznámku pod čiarou"/>
    <w:qFormat/>
    <w:rPr>
      <w:vertAlign w:val="superscript"/>
    </w:rPr>
  </w:style>
  <w:style w:type="character" w:customStyle="1" w:styleId="Farebnzoznamzvraznenie1Char">
    <w:name w:val="Farebný zoznam – zvýraznenie 1 Char"/>
    <w:qFormat/>
    <w:rPr>
      <w:rFonts w:ascii="Arial Narrow" w:eastAsia="Times New Roman" w:hAnsi="Arial Narrow" w:cs="Arial Narrow"/>
      <w:sz w:val="22"/>
      <w:szCs w:val="36"/>
    </w:rPr>
  </w:style>
  <w:style w:type="character" w:customStyle="1" w:styleId="apple-tab-span">
    <w:name w:val="apple-tab-span"/>
    <w:qFormat/>
  </w:style>
  <w:style w:type="character" w:customStyle="1" w:styleId="PodtitulChar">
    <w:name w:val="Podtitul Char"/>
    <w:qFormat/>
    <w:rPr>
      <w:rFonts w:ascii="Georgia" w:eastAsia="Georgia" w:hAnsi="Georgia" w:cs="Georgia"/>
      <w:color w:val="666666"/>
      <w:sz w:val="48"/>
      <w:szCs w:val="48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wrap-text">
    <w:name w:val="wrap-text"/>
    <w:qFormat/>
  </w:style>
  <w:style w:type="character" w:customStyle="1" w:styleId="normaltextrun">
    <w:name w:val="normaltextrun"/>
    <w:qFormat/>
  </w:style>
  <w:style w:type="character" w:customStyle="1" w:styleId="eop">
    <w:name w:val="eop"/>
    <w:qFormat/>
  </w:style>
  <w:style w:type="character" w:customStyle="1" w:styleId="OdsekzoznamuChar">
    <w:name w:val="Odsek zoznamu Char"/>
    <w:qFormat/>
    <w:rPr>
      <w:rFonts w:ascii="Times New Roman" w:eastAsia="Times New Roman" w:hAnsi="Times New Roman" w:cs="Times New Roman"/>
      <w:sz w:val="22"/>
      <w:lang w:val="en-US"/>
    </w:rPr>
  </w:style>
  <w:style w:type="character" w:customStyle="1" w:styleId="pagebreaktextspan">
    <w:name w:val="pagebreaktextspan"/>
    <w:qFormat/>
  </w:style>
  <w:style w:type="character" w:customStyle="1" w:styleId="spellingerror">
    <w:name w:val="spellingerror"/>
    <w:qFormat/>
  </w:style>
  <w:style w:type="character" w:styleId="UnresolvedMention">
    <w:name w:val="Unresolved Mention"/>
    <w:basedOn w:val="DefaultParagraphFont"/>
    <w:uiPriority w:val="99"/>
    <w:semiHidden/>
    <w:unhideWhenUsed/>
    <w:qFormat/>
    <w:rsid w:val="00C23094"/>
    <w:rPr>
      <w:color w:val="605E5C"/>
      <w:shd w:val="clear" w:color="auto" w:fill="E1DFDD"/>
    </w:rPr>
  </w:style>
  <w:style w:type="character" w:customStyle="1" w:styleId="Odkaznaregister">
    <w:name w:val="Odkaz na register"/>
    <w:qFormat/>
  </w:style>
  <w:style w:type="character" w:styleId="Hyperlink">
    <w:name w:val="Hyperlink"/>
    <w:basedOn w:val="DefaultParagraphFont"/>
    <w:uiPriority w:val="99"/>
    <w:unhideWhenUsed/>
    <w:rsid w:val="00E232BF"/>
    <w:rPr>
      <w:color w:val="0563C1" w:themeColor="hyperlink"/>
      <w:u w:val="single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next w:val="Normal"/>
    <w:uiPriority w:val="35"/>
    <w:qFormat/>
    <w:pPr>
      <w:spacing w:after="200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Nadpis">
    <w:name w:val="Nadpis"/>
    <w:basedOn w:val="Normal"/>
    <w:next w:val="Normal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customStyle="1" w:styleId="Nadpis1">
    <w:name w:val="Nadpis_1"/>
    <w:basedOn w:val="Heading1"/>
    <w:qFormat/>
    <w:pPr>
      <w:keepLines w:val="0"/>
      <w:spacing w:before="120" w:after="120"/>
    </w:pPr>
    <w:rPr>
      <w:rFonts w:cs="Calibri"/>
      <w:b w:val="0"/>
      <w:bCs/>
      <w:caps w:val="0"/>
      <w:color w:val="000000"/>
      <w:kern w:val="2"/>
    </w:rPr>
  </w:style>
  <w:style w:type="paragraph" w:customStyle="1" w:styleId="Nadpis2">
    <w:name w:val="Nadpis_2"/>
    <w:qFormat/>
    <w:pPr>
      <w:keepNext/>
    </w:pPr>
    <w:rPr>
      <w:rFonts w:ascii="Tahoma" w:eastAsia="Times New Roman" w:hAnsi="Tahoma" w:cs="Tahoma"/>
      <w:b/>
      <w:bCs/>
      <w:iCs/>
      <w:caps/>
      <w:sz w:val="16"/>
      <w:szCs w:val="28"/>
      <w:lang w:val="en-US" w:bidi="ar-SA"/>
    </w:rPr>
  </w:style>
  <w:style w:type="paragraph" w:customStyle="1" w:styleId="Nadpis3">
    <w:name w:val="Nadpis_3"/>
    <w:basedOn w:val="Nadpis2"/>
    <w:qFormat/>
  </w:style>
  <w:style w:type="paragraph" w:customStyle="1" w:styleId="Svetlmriekazvraznenie31">
    <w:name w:val="Svetlá mriežka – zvýraznenie 31"/>
    <w:basedOn w:val="Normal"/>
    <w:qFormat/>
    <w:pPr>
      <w:spacing w:before="120"/>
      <w:ind w:left="720"/>
      <w:contextualSpacing/>
      <w:jc w:val="both"/>
    </w:pPr>
    <w:rPr>
      <w:rFonts w:ascii="Arial Narrow" w:eastAsia="Arial Narrow" w:hAnsi="Arial Narrow" w:cs="Arial Narrow"/>
      <w:color w:val="000000"/>
      <w:szCs w:val="22"/>
      <w:lang w:val="sk-SK"/>
    </w:rPr>
  </w:style>
  <w:style w:type="paragraph" w:customStyle="1" w:styleId="StyleBodyTextCentered">
    <w:name w:val="Style Body Text + Centered"/>
    <w:basedOn w:val="BodyText"/>
    <w:qFormat/>
    <w:pPr>
      <w:spacing w:after="0"/>
    </w:pPr>
    <w:rPr>
      <w:rFonts w:ascii="Arial" w:hAnsi="Arial" w:cs="Arial"/>
      <w:color w:val="0000FF"/>
      <w:kern w:val="2"/>
      <w:sz w:val="20"/>
      <w:lang w:val="sk-SK"/>
    </w:rPr>
  </w:style>
  <w:style w:type="paragraph" w:customStyle="1" w:styleId="ChangeControlTableHeading">
    <w:name w:val="Change Control Table Heading"/>
    <w:basedOn w:val="Normal"/>
    <w:qFormat/>
    <w:pPr>
      <w:jc w:val="center"/>
    </w:pPr>
    <w:rPr>
      <w:rFonts w:ascii="Book Antiqua" w:hAnsi="Book Antiqua" w:cs="Book Antiqua"/>
      <w:b/>
      <w:bCs/>
      <w:kern w:val="2"/>
      <w:lang w:val="sk-SK"/>
    </w:rPr>
  </w:style>
  <w:style w:type="paragraph" w:customStyle="1" w:styleId="Tabukasmriekou7farebnzvraznenie21">
    <w:name w:val="Tabuľka s mriežkou 7 – farebná – zvýraznenie 21"/>
    <w:basedOn w:val="Heading1"/>
    <w:next w:val="Normal"/>
    <w:qFormat/>
    <w:pPr>
      <w:spacing w:line="252" w:lineRule="auto"/>
    </w:pPr>
  </w:style>
  <w:style w:type="paragraph" w:styleId="TOC1">
    <w:name w:val="toc 1"/>
    <w:basedOn w:val="Normal"/>
    <w:next w:val="Normal"/>
    <w:uiPriority w:val="39"/>
    <w:pPr>
      <w:tabs>
        <w:tab w:val="left" w:pos="442"/>
        <w:tab w:val="right" w:leader="dot" w:pos="9062"/>
      </w:tabs>
      <w:spacing w:before="120"/>
    </w:pPr>
    <w:rPr>
      <w:rFonts w:ascii="Tahoma" w:hAnsi="Tahoma" w:cs="Tahoma"/>
      <w:b/>
      <w:caps/>
      <w:sz w:val="16"/>
      <w:lang w:val="sk-SK" w:eastAsia="sk-SK"/>
    </w:rPr>
  </w:style>
  <w:style w:type="paragraph" w:styleId="TOC2">
    <w:name w:val="toc 2"/>
    <w:basedOn w:val="Normal"/>
    <w:next w:val="Normal"/>
    <w:pPr>
      <w:ind w:left="221"/>
    </w:pPr>
    <w:rPr>
      <w:rFonts w:ascii="Tahoma" w:hAnsi="Tahoma" w:cs="Tahoma"/>
      <w:b/>
      <w:smallCaps/>
      <w:sz w:val="16"/>
    </w:rPr>
  </w:style>
  <w:style w:type="paragraph" w:styleId="TOC3">
    <w:name w:val="toc 3"/>
    <w:basedOn w:val="Normal"/>
    <w:next w:val="Normal"/>
    <w:pPr>
      <w:ind w:left="442"/>
    </w:pPr>
    <w:rPr>
      <w:rFonts w:ascii="Tahoma" w:hAnsi="Tahoma" w:cs="Tahoma"/>
      <w:b/>
      <w:sz w:val="16"/>
    </w:rPr>
  </w:style>
  <w:style w:type="paragraph" w:customStyle="1" w:styleId="Hlavikaapta">
    <w:name w:val="Hlavička a päta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qFormat/>
    <w:rPr>
      <w:sz w:val="24"/>
      <w:szCs w:val="24"/>
    </w:rPr>
  </w:style>
  <w:style w:type="paragraph" w:styleId="CommentSubject">
    <w:name w:val="annotation subject"/>
    <w:basedOn w:val="CommentText"/>
    <w:next w:val="CommentText"/>
    <w:qFormat/>
    <w:rPr>
      <w:b/>
      <w:bCs/>
      <w:sz w:val="20"/>
      <w:szCs w:val="20"/>
    </w:rPr>
  </w:style>
  <w:style w:type="paragraph" w:styleId="BalloonText">
    <w:name w:val="Balloon Text"/>
    <w:basedOn w:val="Normal"/>
    <w:qFormat/>
    <w:rPr>
      <w:sz w:val="18"/>
      <w:szCs w:val="18"/>
    </w:rPr>
  </w:style>
  <w:style w:type="paragraph" w:styleId="FootnoteText">
    <w:name w:val="footnote text"/>
    <w:basedOn w:val="Normal"/>
    <w:pPr>
      <w:jc w:val="both"/>
    </w:pPr>
    <w:rPr>
      <w:rFonts w:ascii="Arial Narrow" w:hAnsi="Arial Narrow" w:cs="Arial Narrow"/>
      <w:sz w:val="20"/>
      <w:lang w:val="sk-SK"/>
    </w:rPr>
  </w:style>
  <w:style w:type="paragraph" w:customStyle="1" w:styleId="Farebnzoznamzvraznenie11">
    <w:name w:val="Farebný zoznam – zvýraznenie 11"/>
    <w:basedOn w:val="Normal"/>
    <w:qFormat/>
    <w:pPr>
      <w:spacing w:after="200" w:line="276" w:lineRule="auto"/>
      <w:ind w:left="720"/>
      <w:contextualSpacing/>
      <w:jc w:val="both"/>
    </w:pPr>
    <w:rPr>
      <w:rFonts w:ascii="Arial Narrow" w:hAnsi="Arial Narrow" w:cs="Arial Narrow"/>
      <w:szCs w:val="36"/>
      <w:lang w:val="sk-SK"/>
    </w:rPr>
  </w:style>
  <w:style w:type="paragraph" w:styleId="NormalWeb">
    <w:name w:val="Normal (Web)"/>
    <w:basedOn w:val="Normal"/>
    <w:qFormat/>
    <w:pPr>
      <w:spacing w:before="280" w:after="280"/>
      <w:jc w:val="both"/>
    </w:pPr>
    <w:rPr>
      <w:sz w:val="24"/>
      <w:szCs w:val="24"/>
      <w:lang w:val="sk-SK"/>
    </w:rPr>
  </w:style>
  <w:style w:type="paragraph" w:customStyle="1" w:styleId="Tabukasmriekou31">
    <w:name w:val="Tabuľka s mriežkou 31"/>
    <w:basedOn w:val="Heading1"/>
    <w:next w:val="Normal"/>
    <w:qFormat/>
    <w:pPr>
      <w:spacing w:line="252" w:lineRule="auto"/>
    </w:pPr>
    <w:rPr>
      <w:rFonts w:ascii="Calibri Light" w:hAnsi="Calibri Light" w:cs="Times New Roman"/>
      <w:b w:val="0"/>
      <w:i/>
      <w:caps w:val="0"/>
      <w:color w:val="2E74B5"/>
      <w:sz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2" w:lineRule="auto"/>
      <w:jc w:val="both"/>
    </w:pPr>
    <w:rPr>
      <w:rFonts w:ascii="Georgia" w:eastAsia="Georgia" w:hAnsi="Georgia" w:cs="Georgia"/>
      <w:color w:val="666666"/>
      <w:sz w:val="48"/>
      <w:szCs w:val="48"/>
      <w:lang w:val="sk-SK"/>
    </w:rPr>
  </w:style>
  <w:style w:type="paragraph" w:styleId="TOC4">
    <w:name w:val="toc 4"/>
    <w:basedOn w:val="Normal"/>
    <w:next w:val="Normal"/>
    <w:pPr>
      <w:spacing w:after="100" w:line="252" w:lineRule="auto"/>
      <w:ind w:left="540"/>
      <w:jc w:val="both"/>
    </w:pPr>
    <w:rPr>
      <w:rFonts w:ascii="Calibri" w:eastAsia="Calibri" w:hAnsi="Calibri" w:cs="Calibri"/>
      <w:sz w:val="18"/>
      <w:szCs w:val="18"/>
      <w:lang w:val="sk-SK"/>
    </w:rPr>
  </w:style>
  <w:style w:type="paragraph" w:styleId="TableofFigures">
    <w:name w:val="table of figures"/>
    <w:basedOn w:val="Normal"/>
    <w:next w:val="Normal"/>
    <w:qFormat/>
    <w:pPr>
      <w:spacing w:line="252" w:lineRule="auto"/>
      <w:jc w:val="both"/>
    </w:pPr>
    <w:rPr>
      <w:rFonts w:ascii="Calibri" w:eastAsia="Calibri" w:hAnsi="Calibri" w:cs="Calibri"/>
      <w:sz w:val="18"/>
      <w:szCs w:val="18"/>
      <w:lang w:val="sk-SK"/>
    </w:rPr>
  </w:style>
  <w:style w:type="paragraph" w:customStyle="1" w:styleId="Default">
    <w:name w:val="Default"/>
    <w:qFormat/>
    <w:rPr>
      <w:rFonts w:ascii="Verdana" w:eastAsia="Calibri" w:hAnsi="Verdana" w:cs="Verdana"/>
      <w:color w:val="000000"/>
      <w:sz w:val="22"/>
      <w:lang w:bidi="ar-SA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paragraph">
    <w:name w:val="paragraph"/>
    <w:basedOn w:val="Normal"/>
    <w:qFormat/>
    <w:pPr>
      <w:spacing w:before="280" w:after="280"/>
    </w:pPr>
    <w:rPr>
      <w:sz w:val="24"/>
      <w:szCs w:val="24"/>
      <w:lang w:val="sk-SK"/>
    </w:rPr>
  </w:style>
  <w:style w:type="paragraph" w:customStyle="1" w:styleId="Obsahtabuky">
    <w:name w:val="Obsah tabuľky"/>
    <w:basedOn w:val="Normal"/>
    <w:qFormat/>
    <w:pPr>
      <w:suppressLineNumbers/>
    </w:pPr>
  </w:style>
  <w:style w:type="paragraph" w:customStyle="1" w:styleId="Zhlavietabuky">
    <w:name w:val="Záhlavie tabuľky"/>
    <w:basedOn w:val="Obsahtabuky"/>
    <w:qFormat/>
    <w:pPr>
      <w:jc w:val="center"/>
    </w:pPr>
    <w:rPr>
      <w:b/>
      <w:bCs/>
    </w:rPr>
  </w:style>
  <w:style w:type="paragraph" w:styleId="Revision">
    <w:name w:val="Revision"/>
    <w:uiPriority w:val="99"/>
    <w:semiHidden/>
    <w:qFormat/>
    <w:rsid w:val="003F3F82"/>
    <w:pPr>
      <w:suppressAutoHyphens w:val="0"/>
    </w:pPr>
    <w:rPr>
      <w:rFonts w:ascii="Times New Roman" w:eastAsia="Times New Roman" w:hAnsi="Times New Roman" w:cs="Times New Roman"/>
      <w:sz w:val="22"/>
      <w:szCs w:val="20"/>
      <w:lang w:val="en-US" w:bidi="ar-SA"/>
    </w:rPr>
  </w:style>
  <w:style w:type="paragraph" w:customStyle="1" w:styleId="Normlnatabuka1">
    <w:name w:val="Normálna tabuľka1"/>
    <w:qFormat/>
    <w:pPr>
      <w:spacing w:after="160" w:line="252" w:lineRule="auto"/>
    </w:pPr>
    <w:rPr>
      <w:rFonts w:ascii="Calibri" w:eastAsia="Calibri" w:hAnsi="Calibri" w:cs="Arial"/>
      <w:sz w:val="22"/>
      <w:szCs w:val="20"/>
      <w:lang w:val="sk" w:eastAsia="sk-SK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table" w:customStyle="1" w:styleId="KPMGFinancialTable">
    <w:name w:val="KPMG Financial Table"/>
    <w:basedOn w:val="TableNormal"/>
    <w:uiPriority w:val="99"/>
    <w:rsid w:val="002D24C5"/>
    <w:pPr>
      <w:spacing w:before="40" w:after="40"/>
      <w:jc w:val="right"/>
    </w:pPr>
    <w:rPr>
      <w:rFonts w:asciiTheme="minorHAnsi" w:eastAsiaTheme="minorEastAsia" w:hAnsiTheme="minorHAnsi" w:cstheme="minorBidi"/>
      <w:sz w:val="18"/>
      <w:szCs w:val="22"/>
      <w:lang w:val="en-AU" w:bidi="ar-SA"/>
    </w:rPr>
    <w:tblPr>
      <w:tblStyleColBandSize w:val="1"/>
      <w:tblBorders>
        <w:bottom w:val="single" w:sz="4" w:space="0" w:color="00338D"/>
      </w:tblBorders>
    </w:tblPr>
    <w:tcPr>
      <w:vAlign w:val="bottom"/>
    </w:tcPr>
    <w:tblStylePr w:type="firstRow">
      <w:pPr>
        <w:jc w:val="left"/>
      </w:pPr>
      <w:rPr>
        <w:rFonts w:asciiTheme="minorHAnsi" w:hAnsiTheme="minorHAnsi"/>
        <w:b/>
        <w:color w:val="auto"/>
        <w:sz w:val="18"/>
      </w:rPr>
      <w:tblPr/>
      <w:tcPr>
        <w:shd w:val="clear" w:color="auto" w:fill="00338D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styleId="TableGrid">
    <w:name w:val="Table Grid"/>
    <w:basedOn w:val="TableNormal"/>
    <w:uiPriority w:val="39"/>
    <w:rsid w:val="00FE2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ri.gov.sk/sekcie/informatizacia/riadenie-kvality-qa/riadenie-kvality-qa/index.html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rri.gov.sk/wp-content/uploads/2022/12/&#352;&#218;-HPC-final-2022-11-3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rri.gov.sk/wp-content/uploads/2022/12/&#352;&#218;-HPC-final-2022-11-30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8210-7262-47BE-98B7-36B06617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12</Pages>
  <Words>4805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Vítek</dc:creator>
  <dc:description/>
  <cp:lastModifiedBy>Lucia Demovicova</cp:lastModifiedBy>
  <cp:revision>241</cp:revision>
  <cp:lastPrinted>2023-04-19T10:20:00Z</cp:lastPrinted>
  <dcterms:created xsi:type="dcterms:W3CDTF">2023-04-13T06:41:00Z</dcterms:created>
  <dcterms:modified xsi:type="dcterms:W3CDTF">2023-04-19T10:36:00Z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