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4A39" w14:textId="77777777" w:rsidR="00FB3439" w:rsidRPr="00C745C8" w:rsidRDefault="00B328D1" w:rsidP="00B328D1">
      <w:pPr>
        <w:pStyle w:val="Nadpis1"/>
        <w:rPr>
          <w:rFonts w:asciiTheme="minorHAnsi" w:hAnsiTheme="minorHAnsi" w:cstheme="minorHAnsi"/>
          <w:sz w:val="22"/>
          <w:szCs w:val="22"/>
        </w:rPr>
      </w:pPr>
      <w:bookmarkStart w:id="0" w:name="_Toc90059957"/>
      <w:bookmarkStart w:id="1" w:name="_Toc90065698"/>
      <w:bookmarkStart w:id="2" w:name="_Toc90068400"/>
      <w:bookmarkStart w:id="3" w:name="_Toc90977831"/>
      <w:r w:rsidRPr="00C745C8">
        <w:rPr>
          <w:rFonts w:asciiTheme="minorHAnsi" w:hAnsiTheme="minorHAnsi" w:cstheme="minorHAnsi"/>
          <w:noProof/>
          <w:sz w:val="22"/>
          <w:szCs w:val="22"/>
          <w:lang w:eastAsia="sk-SK"/>
        </w:rPr>
        <w:drawing>
          <wp:anchor distT="0" distB="0" distL="114300" distR="114300" simplePos="0" relativeHeight="251658240" behindDoc="1" locked="1" layoutInCell="1" allowOverlap="1" wp14:anchorId="59EEEA00" wp14:editId="3D93D77E">
            <wp:simplePos x="0" y="0"/>
            <wp:positionH relativeFrom="column">
              <wp:posOffset>0</wp:posOffset>
            </wp:positionH>
            <wp:positionV relativeFrom="paragraph">
              <wp:posOffset>428625</wp:posOffset>
            </wp:positionV>
            <wp:extent cx="2730600" cy="546840"/>
            <wp:effectExtent l="0" t="0" r="0" b="5715"/>
            <wp:wrapTight wrapText="bothSides">
              <wp:wrapPolygon edited="0">
                <wp:start x="0" y="0"/>
                <wp:lineTo x="0" y="9784"/>
                <wp:lineTo x="151" y="18063"/>
                <wp:lineTo x="2863" y="21073"/>
                <wp:lineTo x="7686" y="21073"/>
                <wp:lineTo x="8590" y="21073"/>
                <wp:lineTo x="13713" y="21073"/>
                <wp:lineTo x="14015" y="15805"/>
                <wp:lineTo x="11152" y="12042"/>
                <wp:lineTo x="18837" y="12042"/>
                <wp:lineTo x="18837" y="6774"/>
                <wp:lineTo x="9946"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iri farebne s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0600" cy="54684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p>
    <w:p w14:paraId="672A6659" w14:textId="77777777" w:rsidR="00FB3439" w:rsidRPr="00C745C8" w:rsidRDefault="00FB3439" w:rsidP="00FB3439">
      <w:pPr>
        <w:rPr>
          <w:rFonts w:cstheme="minorHAnsi"/>
        </w:rPr>
      </w:pPr>
    </w:p>
    <w:p w14:paraId="0A37501D" w14:textId="77777777" w:rsidR="00FB3439" w:rsidRPr="00C745C8" w:rsidRDefault="00FB3439" w:rsidP="00FB3439">
      <w:pPr>
        <w:rPr>
          <w:rFonts w:cstheme="minorHAnsi"/>
        </w:rPr>
      </w:pPr>
    </w:p>
    <w:p w14:paraId="5DAB6C7B" w14:textId="77777777" w:rsidR="00FB3439" w:rsidRPr="00C745C8" w:rsidRDefault="00FB3439" w:rsidP="00FB3439">
      <w:pPr>
        <w:rPr>
          <w:rFonts w:cstheme="minorHAnsi"/>
        </w:rPr>
      </w:pPr>
    </w:p>
    <w:p w14:paraId="02EB378F" w14:textId="77777777" w:rsidR="00FB3439" w:rsidRPr="00C745C8" w:rsidRDefault="00FB3439" w:rsidP="00FB3439">
      <w:pPr>
        <w:rPr>
          <w:rFonts w:cstheme="minorHAnsi"/>
        </w:rPr>
      </w:pPr>
    </w:p>
    <w:p w14:paraId="6A05A809" w14:textId="77777777" w:rsidR="00B328D1" w:rsidRPr="00C745C8" w:rsidRDefault="00B328D1" w:rsidP="00FB3439">
      <w:pPr>
        <w:rPr>
          <w:rFonts w:cstheme="minorHAnsi"/>
        </w:rPr>
      </w:pPr>
    </w:p>
    <w:p w14:paraId="5A39BBE3" w14:textId="77777777" w:rsidR="00B328D1" w:rsidRPr="00C745C8" w:rsidRDefault="00B328D1" w:rsidP="00FB3439">
      <w:pPr>
        <w:rPr>
          <w:rFonts w:cstheme="minorHAnsi"/>
        </w:rPr>
      </w:pPr>
    </w:p>
    <w:p w14:paraId="41C8F396" w14:textId="77777777" w:rsidR="00B328D1" w:rsidRPr="00C745C8" w:rsidRDefault="00B328D1" w:rsidP="00FB3439">
      <w:pPr>
        <w:rPr>
          <w:rFonts w:cstheme="minorHAnsi"/>
        </w:rPr>
      </w:pPr>
    </w:p>
    <w:p w14:paraId="72A3D3EC" w14:textId="77777777" w:rsidR="00B328D1" w:rsidRPr="00C745C8" w:rsidRDefault="00B328D1" w:rsidP="00FB3439">
      <w:pPr>
        <w:rPr>
          <w:rFonts w:cstheme="minorHAnsi"/>
        </w:rPr>
      </w:pPr>
    </w:p>
    <w:p w14:paraId="0D0B940D" w14:textId="77777777" w:rsidR="00B328D1" w:rsidRPr="00C745C8" w:rsidRDefault="00B328D1" w:rsidP="00FB3439">
      <w:pPr>
        <w:rPr>
          <w:rFonts w:cstheme="minorHAnsi"/>
        </w:rPr>
      </w:pPr>
    </w:p>
    <w:p w14:paraId="0E27B00A" w14:textId="77777777" w:rsidR="00B328D1" w:rsidRPr="00B2692C" w:rsidRDefault="00B328D1" w:rsidP="00C745C8">
      <w:pPr>
        <w:jc w:val="center"/>
        <w:rPr>
          <w:rFonts w:cstheme="minorHAnsi"/>
          <w:sz w:val="32"/>
          <w:szCs w:val="32"/>
        </w:rPr>
      </w:pPr>
    </w:p>
    <w:p w14:paraId="39564027" w14:textId="35C6C46E" w:rsidR="000D5B6F" w:rsidRPr="00B2692C" w:rsidRDefault="000D5B6F" w:rsidP="000D5B6F">
      <w:pPr>
        <w:spacing w:after="360" w:line="276" w:lineRule="auto"/>
        <w:jc w:val="center"/>
        <w:rPr>
          <w:rFonts w:cstheme="minorHAnsi"/>
          <w:sz w:val="32"/>
          <w:szCs w:val="32"/>
          <w:lang w:val="en-GB"/>
        </w:rPr>
      </w:pPr>
      <w:r w:rsidRPr="00B2692C">
        <w:rPr>
          <w:rFonts w:cstheme="minorHAnsi"/>
          <w:sz w:val="32"/>
          <w:szCs w:val="32"/>
          <w:lang w:val="en-GB"/>
        </w:rPr>
        <w:t>METODIKA POPISU ZÁKLADNÝCH PRÍPADOV PRÍNOSOV PRE IT PROJEKTY ROZVOJA</w:t>
      </w:r>
    </w:p>
    <w:p w14:paraId="60061E4C" w14:textId="77777777" w:rsidR="00FB3439" w:rsidRPr="00C745C8" w:rsidRDefault="00FB3439" w:rsidP="00FB3439">
      <w:pPr>
        <w:rPr>
          <w:rFonts w:cstheme="minorHAnsi"/>
        </w:rPr>
      </w:pPr>
    </w:p>
    <w:p w14:paraId="44EAFD9C" w14:textId="77777777" w:rsidR="00FB3439" w:rsidRPr="00C745C8" w:rsidRDefault="00FB3439" w:rsidP="00FB3439">
      <w:pPr>
        <w:rPr>
          <w:rFonts w:cstheme="minorHAnsi"/>
        </w:rPr>
      </w:pPr>
    </w:p>
    <w:p w14:paraId="4B94D5A5" w14:textId="77777777" w:rsidR="00FB3439" w:rsidRPr="00C745C8" w:rsidRDefault="00FB3439" w:rsidP="00FB3439">
      <w:pPr>
        <w:rPr>
          <w:rFonts w:cstheme="minorHAnsi"/>
        </w:rPr>
      </w:pPr>
    </w:p>
    <w:p w14:paraId="3DEEC669" w14:textId="77777777" w:rsidR="00FB3439" w:rsidRPr="00C745C8" w:rsidRDefault="00FB3439" w:rsidP="00FB3439">
      <w:pPr>
        <w:rPr>
          <w:rFonts w:cstheme="minorHAnsi"/>
        </w:rPr>
      </w:pPr>
    </w:p>
    <w:p w14:paraId="3656B9AB" w14:textId="77777777" w:rsidR="00FB3439" w:rsidRPr="00C745C8" w:rsidRDefault="00FB3439" w:rsidP="00FB3439">
      <w:pPr>
        <w:rPr>
          <w:rFonts w:cstheme="minorHAnsi"/>
        </w:rPr>
      </w:pPr>
    </w:p>
    <w:p w14:paraId="45FB0818" w14:textId="77777777" w:rsidR="00FB3439" w:rsidRPr="00C745C8" w:rsidRDefault="00FB3439" w:rsidP="00FB3439">
      <w:pPr>
        <w:rPr>
          <w:rFonts w:cstheme="minorHAnsi"/>
        </w:rPr>
      </w:pPr>
    </w:p>
    <w:p w14:paraId="049F31CB" w14:textId="77777777" w:rsidR="00FB3439" w:rsidRPr="00C745C8" w:rsidRDefault="00FB3439" w:rsidP="00FB3439">
      <w:pPr>
        <w:rPr>
          <w:rFonts w:cstheme="minorHAnsi"/>
        </w:rPr>
      </w:pPr>
    </w:p>
    <w:p w14:paraId="53128261" w14:textId="77777777" w:rsidR="00FB3439" w:rsidRPr="00C745C8" w:rsidRDefault="00FB3439" w:rsidP="00FB3439">
      <w:pPr>
        <w:rPr>
          <w:rFonts w:cstheme="minorHAnsi"/>
        </w:rPr>
      </w:pPr>
    </w:p>
    <w:p w14:paraId="62486C05" w14:textId="77777777" w:rsidR="00FB3439" w:rsidRPr="00C745C8" w:rsidRDefault="00FB3439" w:rsidP="00FB3439">
      <w:pPr>
        <w:rPr>
          <w:rFonts w:cstheme="minorHAnsi"/>
        </w:rPr>
      </w:pPr>
    </w:p>
    <w:p w14:paraId="4101652C" w14:textId="77777777" w:rsidR="00FB3439" w:rsidRPr="00C745C8" w:rsidRDefault="00FB3439" w:rsidP="00FB3439">
      <w:pPr>
        <w:rPr>
          <w:rFonts w:cstheme="minorHAnsi"/>
        </w:rPr>
      </w:pPr>
    </w:p>
    <w:p w14:paraId="4B99056E" w14:textId="77777777" w:rsidR="00FB3439" w:rsidRPr="00C745C8" w:rsidRDefault="00FB3439" w:rsidP="00FB3439">
      <w:pPr>
        <w:rPr>
          <w:rFonts w:cstheme="minorHAnsi"/>
        </w:rPr>
      </w:pPr>
    </w:p>
    <w:p w14:paraId="1299C43A" w14:textId="77777777" w:rsidR="00FB3439" w:rsidRPr="00C745C8" w:rsidRDefault="00FB3439" w:rsidP="00FB3439">
      <w:pPr>
        <w:rPr>
          <w:rFonts w:cstheme="minorHAnsi"/>
        </w:rPr>
      </w:pPr>
    </w:p>
    <w:p w14:paraId="4DDBEF00" w14:textId="77777777" w:rsidR="00FB3439" w:rsidRPr="00C745C8" w:rsidRDefault="00FB3439" w:rsidP="00FB3439">
      <w:pPr>
        <w:rPr>
          <w:rFonts w:cstheme="minorHAnsi"/>
        </w:rPr>
      </w:pPr>
    </w:p>
    <w:p w14:paraId="3461D779" w14:textId="77777777" w:rsidR="00FB3439" w:rsidRPr="00C745C8" w:rsidRDefault="00FB3439" w:rsidP="00FB3439">
      <w:pPr>
        <w:rPr>
          <w:rFonts w:cstheme="minorHAnsi"/>
        </w:rPr>
      </w:pPr>
    </w:p>
    <w:p w14:paraId="1DE35870" w14:textId="582E50D8" w:rsidR="108B5887" w:rsidRPr="00C745C8" w:rsidRDefault="108B5887" w:rsidP="108B5887">
      <w:pPr>
        <w:rPr>
          <w:rFonts w:cstheme="minorHAnsi"/>
        </w:rPr>
      </w:pPr>
    </w:p>
    <w:p w14:paraId="34CE0A41" w14:textId="77777777" w:rsidR="00FB3439" w:rsidRPr="00C745C8" w:rsidRDefault="00FB3439" w:rsidP="00FB3439">
      <w:pPr>
        <w:rPr>
          <w:rFonts w:cstheme="minorHAnsi"/>
        </w:rPr>
      </w:pPr>
    </w:p>
    <w:p w14:paraId="7F3DEFB0" w14:textId="19FAE994" w:rsidR="00B2692C" w:rsidRPr="00B2692C" w:rsidRDefault="000D5B6F" w:rsidP="00B2692C">
      <w:pPr>
        <w:spacing w:line="276" w:lineRule="auto"/>
        <w:rPr>
          <w:rFonts w:cstheme="minorHAnsi"/>
          <w:b/>
          <w:bCs/>
          <w:lang w:val="en-GB"/>
        </w:rPr>
      </w:pPr>
      <w:r w:rsidRPr="00C745C8">
        <w:rPr>
          <w:rFonts w:cstheme="minorHAnsi"/>
          <w:b/>
          <w:bCs/>
          <w:lang w:val="en-GB"/>
        </w:rPr>
        <w:t>V</w:t>
      </w:r>
      <w:r>
        <w:rPr>
          <w:rFonts w:cstheme="minorHAnsi"/>
          <w:b/>
          <w:bCs/>
          <w:lang w:val="en-GB"/>
        </w:rPr>
        <w:t>1</w:t>
      </w:r>
      <w:r w:rsidR="00C745C8" w:rsidRPr="00C745C8">
        <w:rPr>
          <w:rFonts w:cstheme="minorHAnsi"/>
          <w:b/>
          <w:bCs/>
          <w:lang w:val="en-GB"/>
        </w:rPr>
        <w:t>.0 (1</w:t>
      </w:r>
      <w:r>
        <w:rPr>
          <w:rFonts w:cstheme="minorHAnsi"/>
          <w:b/>
          <w:bCs/>
          <w:lang w:val="en-GB"/>
        </w:rPr>
        <w:t>5</w:t>
      </w:r>
      <w:r w:rsidR="00C745C8" w:rsidRPr="00C745C8">
        <w:rPr>
          <w:rFonts w:cstheme="minorHAnsi"/>
          <w:b/>
          <w:bCs/>
          <w:lang w:val="en-GB"/>
        </w:rPr>
        <w:t>.12.2021</w:t>
      </w:r>
    </w:p>
    <w:p w14:paraId="06212060" w14:textId="77777777" w:rsidR="00B2692C" w:rsidRDefault="00B2692C" w:rsidP="00B2692C">
      <w:pPr>
        <w:pStyle w:val="Nzov"/>
        <w:jc w:val="center"/>
        <w:rPr>
          <w:b/>
          <w:bCs/>
        </w:rPr>
      </w:pPr>
    </w:p>
    <w:sdt>
      <w:sdtPr>
        <w:rPr>
          <w:b/>
          <w:bCs/>
        </w:rPr>
        <w:id w:val="-1528869169"/>
        <w:docPartObj>
          <w:docPartGallery w:val="Table of Contents"/>
          <w:docPartUnique/>
        </w:docPartObj>
      </w:sdtPr>
      <w:sdtContent>
        <w:p w14:paraId="207DD782" w14:textId="77777777" w:rsidR="00B2692C" w:rsidRPr="003F574C" w:rsidRDefault="00B2692C" w:rsidP="00B2692C">
          <w:pPr>
            <w:rPr>
              <w:rFonts w:ascii="Calibri Light" w:hAnsi="Calibri Light"/>
              <w:b/>
              <w:bCs/>
            </w:rPr>
          </w:pPr>
          <w:r w:rsidRPr="003F574C">
            <w:rPr>
              <w:rFonts w:ascii="Calibri Light" w:hAnsi="Calibri Light"/>
              <w:b/>
              <w:bCs/>
            </w:rPr>
            <w:t>Obsah</w:t>
          </w:r>
        </w:p>
        <w:p w14:paraId="28CEE6AF" w14:textId="6BD087C9" w:rsidR="00B2692C" w:rsidRDefault="00B2692C">
          <w:pPr>
            <w:pStyle w:val="Obsah1"/>
            <w:tabs>
              <w:tab w:val="right" w:leader="dot" w:pos="9062"/>
            </w:tabs>
            <w:rPr>
              <w:rFonts w:eastAsiaTheme="minorEastAsia"/>
              <w:noProof/>
              <w:sz w:val="24"/>
              <w:szCs w:val="24"/>
              <w:lang w:eastAsia="sk-SK"/>
            </w:rPr>
          </w:pPr>
          <w:r>
            <w:fldChar w:fldCharType="begin"/>
          </w:r>
          <w:r>
            <w:instrText xml:space="preserve"> TOC \o "1-3" \h \z \u </w:instrText>
          </w:r>
          <w:r>
            <w:fldChar w:fldCharType="separate"/>
          </w:r>
          <w:hyperlink w:anchor="_Toc90977831" w:history="1">
            <w:r>
              <w:rPr>
                <w:noProof/>
                <w:webHidden/>
              </w:rPr>
              <w:tab/>
            </w:r>
            <w:r>
              <w:rPr>
                <w:noProof/>
                <w:webHidden/>
              </w:rPr>
              <w:fldChar w:fldCharType="begin"/>
            </w:r>
            <w:r>
              <w:rPr>
                <w:noProof/>
                <w:webHidden/>
              </w:rPr>
              <w:instrText xml:space="preserve"> PAGEREF _Toc90977831 \h </w:instrText>
            </w:r>
            <w:r>
              <w:rPr>
                <w:noProof/>
                <w:webHidden/>
              </w:rPr>
            </w:r>
            <w:r>
              <w:rPr>
                <w:noProof/>
                <w:webHidden/>
              </w:rPr>
              <w:fldChar w:fldCharType="separate"/>
            </w:r>
            <w:r>
              <w:rPr>
                <w:noProof/>
                <w:webHidden/>
              </w:rPr>
              <w:t>1</w:t>
            </w:r>
            <w:r>
              <w:rPr>
                <w:noProof/>
                <w:webHidden/>
              </w:rPr>
              <w:fldChar w:fldCharType="end"/>
            </w:r>
          </w:hyperlink>
        </w:p>
        <w:p w14:paraId="24747E59" w14:textId="2AA27BAC" w:rsidR="00B2692C" w:rsidRDefault="00B2692C">
          <w:pPr>
            <w:pStyle w:val="Obsah1"/>
            <w:tabs>
              <w:tab w:val="right" w:leader="dot" w:pos="9062"/>
            </w:tabs>
            <w:rPr>
              <w:rFonts w:eastAsiaTheme="minorEastAsia"/>
              <w:noProof/>
              <w:sz w:val="24"/>
              <w:szCs w:val="24"/>
              <w:lang w:eastAsia="sk-SK"/>
            </w:rPr>
          </w:pPr>
          <w:hyperlink w:anchor="_Toc90977832" w:history="1">
            <w:r w:rsidRPr="00C3598B">
              <w:rPr>
                <w:rStyle w:val="Hypertextovprepojenie"/>
                <w:noProof/>
              </w:rPr>
              <w:t>Úvod</w:t>
            </w:r>
            <w:r>
              <w:rPr>
                <w:noProof/>
                <w:webHidden/>
              </w:rPr>
              <w:tab/>
            </w:r>
            <w:r>
              <w:rPr>
                <w:noProof/>
                <w:webHidden/>
              </w:rPr>
              <w:fldChar w:fldCharType="begin"/>
            </w:r>
            <w:r>
              <w:rPr>
                <w:noProof/>
                <w:webHidden/>
              </w:rPr>
              <w:instrText xml:space="preserve"> PAGEREF _Toc90977832 \h </w:instrText>
            </w:r>
            <w:r>
              <w:rPr>
                <w:noProof/>
                <w:webHidden/>
              </w:rPr>
            </w:r>
            <w:r>
              <w:rPr>
                <w:noProof/>
                <w:webHidden/>
              </w:rPr>
              <w:fldChar w:fldCharType="separate"/>
            </w:r>
            <w:r>
              <w:rPr>
                <w:noProof/>
                <w:webHidden/>
              </w:rPr>
              <w:t>3</w:t>
            </w:r>
            <w:r>
              <w:rPr>
                <w:noProof/>
                <w:webHidden/>
              </w:rPr>
              <w:fldChar w:fldCharType="end"/>
            </w:r>
          </w:hyperlink>
        </w:p>
        <w:p w14:paraId="241FEDB5" w14:textId="00F7BB83" w:rsidR="00B2692C" w:rsidRDefault="00B2692C">
          <w:pPr>
            <w:pStyle w:val="Obsah1"/>
            <w:tabs>
              <w:tab w:val="right" w:leader="dot" w:pos="9062"/>
            </w:tabs>
            <w:rPr>
              <w:rFonts w:eastAsiaTheme="minorEastAsia"/>
              <w:noProof/>
              <w:sz w:val="24"/>
              <w:szCs w:val="24"/>
              <w:lang w:eastAsia="sk-SK"/>
            </w:rPr>
          </w:pPr>
          <w:hyperlink w:anchor="_Toc90977833" w:history="1">
            <w:r w:rsidRPr="00C3598B">
              <w:rPr>
                <w:rStyle w:val="Hypertextovprepojenie"/>
                <w:noProof/>
              </w:rPr>
              <w:t>Popis oblastí prínosov</w:t>
            </w:r>
            <w:r>
              <w:rPr>
                <w:noProof/>
                <w:webHidden/>
              </w:rPr>
              <w:tab/>
            </w:r>
            <w:r>
              <w:rPr>
                <w:noProof/>
                <w:webHidden/>
              </w:rPr>
              <w:fldChar w:fldCharType="begin"/>
            </w:r>
            <w:r>
              <w:rPr>
                <w:noProof/>
                <w:webHidden/>
              </w:rPr>
              <w:instrText xml:space="preserve"> PAGEREF _Toc90977833 \h </w:instrText>
            </w:r>
            <w:r>
              <w:rPr>
                <w:noProof/>
                <w:webHidden/>
              </w:rPr>
            </w:r>
            <w:r>
              <w:rPr>
                <w:noProof/>
                <w:webHidden/>
              </w:rPr>
              <w:fldChar w:fldCharType="separate"/>
            </w:r>
            <w:r>
              <w:rPr>
                <w:noProof/>
                <w:webHidden/>
              </w:rPr>
              <w:t>3</w:t>
            </w:r>
            <w:r>
              <w:rPr>
                <w:noProof/>
                <w:webHidden/>
              </w:rPr>
              <w:fldChar w:fldCharType="end"/>
            </w:r>
          </w:hyperlink>
        </w:p>
        <w:p w14:paraId="77EEF644" w14:textId="049C1D8C" w:rsidR="00B2692C" w:rsidRDefault="00B2692C">
          <w:pPr>
            <w:pStyle w:val="Obsah2"/>
            <w:tabs>
              <w:tab w:val="right" w:leader="dot" w:pos="9062"/>
            </w:tabs>
            <w:rPr>
              <w:rFonts w:eastAsiaTheme="minorEastAsia"/>
              <w:noProof/>
              <w:sz w:val="24"/>
              <w:szCs w:val="24"/>
              <w:lang w:eastAsia="sk-SK"/>
            </w:rPr>
          </w:pPr>
          <w:hyperlink w:anchor="_Toc90977834" w:history="1">
            <w:r w:rsidRPr="00C3598B">
              <w:rPr>
                <w:rStyle w:val="Hypertextovprepojenie"/>
                <w:noProof/>
              </w:rPr>
              <w:t>Prínosy vyplývajúce z výmeny IKT zariadení</w:t>
            </w:r>
            <w:r>
              <w:rPr>
                <w:noProof/>
                <w:webHidden/>
              </w:rPr>
              <w:tab/>
            </w:r>
            <w:r>
              <w:rPr>
                <w:noProof/>
                <w:webHidden/>
              </w:rPr>
              <w:fldChar w:fldCharType="begin"/>
            </w:r>
            <w:r>
              <w:rPr>
                <w:noProof/>
                <w:webHidden/>
              </w:rPr>
              <w:instrText xml:space="preserve"> PAGEREF _Toc90977834 \h </w:instrText>
            </w:r>
            <w:r>
              <w:rPr>
                <w:noProof/>
                <w:webHidden/>
              </w:rPr>
            </w:r>
            <w:r>
              <w:rPr>
                <w:noProof/>
                <w:webHidden/>
              </w:rPr>
              <w:fldChar w:fldCharType="separate"/>
            </w:r>
            <w:r>
              <w:rPr>
                <w:noProof/>
                <w:webHidden/>
              </w:rPr>
              <w:t>3</w:t>
            </w:r>
            <w:r>
              <w:rPr>
                <w:noProof/>
                <w:webHidden/>
              </w:rPr>
              <w:fldChar w:fldCharType="end"/>
            </w:r>
          </w:hyperlink>
        </w:p>
        <w:p w14:paraId="256A93C7" w14:textId="05AF1A55" w:rsidR="00B2692C" w:rsidRDefault="00B2692C">
          <w:pPr>
            <w:pStyle w:val="Obsah3"/>
            <w:tabs>
              <w:tab w:val="right" w:leader="dot" w:pos="9062"/>
            </w:tabs>
            <w:rPr>
              <w:rFonts w:eastAsiaTheme="minorEastAsia"/>
              <w:noProof/>
              <w:sz w:val="24"/>
              <w:szCs w:val="24"/>
              <w:lang w:eastAsia="sk-SK"/>
            </w:rPr>
          </w:pPr>
          <w:hyperlink w:anchor="_Toc90977835" w:history="1">
            <w:r w:rsidRPr="00C3598B">
              <w:rPr>
                <w:rStyle w:val="Hypertextovprepojenie"/>
                <w:noProof/>
              </w:rPr>
              <w:t>Prípad 1 – Znemožnenie výkonu povolania</w:t>
            </w:r>
            <w:r>
              <w:rPr>
                <w:noProof/>
                <w:webHidden/>
              </w:rPr>
              <w:tab/>
            </w:r>
            <w:r>
              <w:rPr>
                <w:noProof/>
                <w:webHidden/>
              </w:rPr>
              <w:fldChar w:fldCharType="begin"/>
            </w:r>
            <w:r>
              <w:rPr>
                <w:noProof/>
                <w:webHidden/>
              </w:rPr>
              <w:instrText xml:space="preserve"> PAGEREF _Toc90977835 \h </w:instrText>
            </w:r>
            <w:r>
              <w:rPr>
                <w:noProof/>
                <w:webHidden/>
              </w:rPr>
            </w:r>
            <w:r>
              <w:rPr>
                <w:noProof/>
                <w:webHidden/>
              </w:rPr>
              <w:fldChar w:fldCharType="separate"/>
            </w:r>
            <w:r>
              <w:rPr>
                <w:noProof/>
                <w:webHidden/>
              </w:rPr>
              <w:t>4</w:t>
            </w:r>
            <w:r>
              <w:rPr>
                <w:noProof/>
                <w:webHidden/>
              </w:rPr>
              <w:fldChar w:fldCharType="end"/>
            </w:r>
          </w:hyperlink>
        </w:p>
        <w:p w14:paraId="04B4038D" w14:textId="4D63F58E" w:rsidR="00B2692C" w:rsidRDefault="00B2692C">
          <w:pPr>
            <w:pStyle w:val="Obsah3"/>
            <w:tabs>
              <w:tab w:val="right" w:leader="dot" w:pos="9062"/>
            </w:tabs>
            <w:rPr>
              <w:rFonts w:eastAsiaTheme="minorEastAsia"/>
              <w:noProof/>
              <w:sz w:val="24"/>
              <w:szCs w:val="24"/>
              <w:lang w:eastAsia="sk-SK"/>
            </w:rPr>
          </w:pPr>
          <w:hyperlink w:anchor="_Toc90977836" w:history="1">
            <w:r w:rsidRPr="00C3598B">
              <w:rPr>
                <w:rStyle w:val="Hypertextovprepojenie"/>
                <w:noProof/>
              </w:rPr>
              <w:t>Prípad 2 – Úspora prevádzkových nákladov</w:t>
            </w:r>
            <w:r>
              <w:rPr>
                <w:noProof/>
                <w:webHidden/>
              </w:rPr>
              <w:tab/>
            </w:r>
            <w:r>
              <w:rPr>
                <w:noProof/>
                <w:webHidden/>
              </w:rPr>
              <w:fldChar w:fldCharType="begin"/>
            </w:r>
            <w:r>
              <w:rPr>
                <w:noProof/>
                <w:webHidden/>
              </w:rPr>
              <w:instrText xml:space="preserve"> PAGEREF _Toc90977836 \h </w:instrText>
            </w:r>
            <w:r>
              <w:rPr>
                <w:noProof/>
                <w:webHidden/>
              </w:rPr>
            </w:r>
            <w:r>
              <w:rPr>
                <w:noProof/>
                <w:webHidden/>
              </w:rPr>
              <w:fldChar w:fldCharType="separate"/>
            </w:r>
            <w:r>
              <w:rPr>
                <w:noProof/>
                <w:webHidden/>
              </w:rPr>
              <w:t>4</w:t>
            </w:r>
            <w:r>
              <w:rPr>
                <w:noProof/>
                <w:webHidden/>
              </w:rPr>
              <w:fldChar w:fldCharType="end"/>
            </w:r>
          </w:hyperlink>
        </w:p>
        <w:p w14:paraId="08F8EBED" w14:textId="3A7A54A5" w:rsidR="00B2692C" w:rsidRDefault="00B2692C">
          <w:pPr>
            <w:pStyle w:val="Obsah3"/>
            <w:tabs>
              <w:tab w:val="right" w:leader="dot" w:pos="9062"/>
            </w:tabs>
            <w:rPr>
              <w:rFonts w:eastAsiaTheme="minorEastAsia"/>
              <w:noProof/>
              <w:sz w:val="24"/>
              <w:szCs w:val="24"/>
              <w:lang w:eastAsia="sk-SK"/>
            </w:rPr>
          </w:pPr>
          <w:hyperlink w:anchor="_Toc90977837" w:history="1">
            <w:r w:rsidRPr="00C3598B">
              <w:rPr>
                <w:rStyle w:val="Hypertextovprepojenie"/>
                <w:noProof/>
              </w:rPr>
              <w:t>Prípad 3 – Zníženie rizika výpadku služby</w:t>
            </w:r>
            <w:r>
              <w:rPr>
                <w:noProof/>
                <w:webHidden/>
              </w:rPr>
              <w:tab/>
            </w:r>
            <w:r>
              <w:rPr>
                <w:noProof/>
                <w:webHidden/>
              </w:rPr>
              <w:fldChar w:fldCharType="begin"/>
            </w:r>
            <w:r>
              <w:rPr>
                <w:noProof/>
                <w:webHidden/>
              </w:rPr>
              <w:instrText xml:space="preserve"> PAGEREF _Toc90977837 \h </w:instrText>
            </w:r>
            <w:r>
              <w:rPr>
                <w:noProof/>
                <w:webHidden/>
              </w:rPr>
            </w:r>
            <w:r>
              <w:rPr>
                <w:noProof/>
                <w:webHidden/>
              </w:rPr>
              <w:fldChar w:fldCharType="separate"/>
            </w:r>
            <w:r>
              <w:rPr>
                <w:noProof/>
                <w:webHidden/>
              </w:rPr>
              <w:t>5</w:t>
            </w:r>
            <w:r>
              <w:rPr>
                <w:noProof/>
                <w:webHidden/>
              </w:rPr>
              <w:fldChar w:fldCharType="end"/>
            </w:r>
          </w:hyperlink>
        </w:p>
        <w:p w14:paraId="507FA34F" w14:textId="6DD37FEF" w:rsidR="00B2692C" w:rsidRDefault="00B2692C">
          <w:pPr>
            <w:pStyle w:val="Obsah2"/>
            <w:tabs>
              <w:tab w:val="right" w:leader="dot" w:pos="9062"/>
            </w:tabs>
            <w:rPr>
              <w:rFonts w:eastAsiaTheme="minorEastAsia"/>
              <w:noProof/>
              <w:sz w:val="24"/>
              <w:szCs w:val="24"/>
              <w:lang w:eastAsia="sk-SK"/>
            </w:rPr>
          </w:pPr>
          <w:hyperlink w:anchor="_Toc90977838" w:history="1">
            <w:r w:rsidRPr="00C3598B">
              <w:rPr>
                <w:rStyle w:val="Hypertextovprepojenie"/>
                <w:noProof/>
              </w:rPr>
              <w:t>Prínosy vyplývajúce z optimalizácie / zefektívnenie výkonu agendy vďaka projektom</w:t>
            </w:r>
            <w:r>
              <w:rPr>
                <w:noProof/>
                <w:webHidden/>
              </w:rPr>
              <w:tab/>
            </w:r>
            <w:r>
              <w:rPr>
                <w:noProof/>
                <w:webHidden/>
              </w:rPr>
              <w:fldChar w:fldCharType="begin"/>
            </w:r>
            <w:r>
              <w:rPr>
                <w:noProof/>
                <w:webHidden/>
              </w:rPr>
              <w:instrText xml:space="preserve"> PAGEREF _Toc90977838 \h </w:instrText>
            </w:r>
            <w:r>
              <w:rPr>
                <w:noProof/>
                <w:webHidden/>
              </w:rPr>
            </w:r>
            <w:r>
              <w:rPr>
                <w:noProof/>
                <w:webHidden/>
              </w:rPr>
              <w:fldChar w:fldCharType="separate"/>
            </w:r>
            <w:r>
              <w:rPr>
                <w:noProof/>
                <w:webHidden/>
              </w:rPr>
              <w:t>6</w:t>
            </w:r>
            <w:r>
              <w:rPr>
                <w:noProof/>
                <w:webHidden/>
              </w:rPr>
              <w:fldChar w:fldCharType="end"/>
            </w:r>
          </w:hyperlink>
        </w:p>
        <w:p w14:paraId="4BA90117" w14:textId="3C25F16B" w:rsidR="00B2692C" w:rsidRDefault="00B2692C">
          <w:pPr>
            <w:pStyle w:val="Obsah3"/>
            <w:tabs>
              <w:tab w:val="right" w:leader="dot" w:pos="9062"/>
            </w:tabs>
            <w:rPr>
              <w:rFonts w:eastAsiaTheme="minorEastAsia"/>
              <w:noProof/>
              <w:sz w:val="24"/>
              <w:szCs w:val="24"/>
              <w:lang w:eastAsia="sk-SK"/>
            </w:rPr>
          </w:pPr>
          <w:hyperlink w:anchor="_Toc90977839" w:history="1">
            <w:r w:rsidRPr="00C3598B">
              <w:rPr>
                <w:rStyle w:val="Hypertextovprepojenie"/>
                <w:noProof/>
              </w:rPr>
              <w:t>Prípad 1 – Úspora nákladov na strane štátu</w:t>
            </w:r>
            <w:r>
              <w:rPr>
                <w:noProof/>
                <w:webHidden/>
              </w:rPr>
              <w:tab/>
            </w:r>
            <w:r>
              <w:rPr>
                <w:noProof/>
                <w:webHidden/>
              </w:rPr>
              <w:fldChar w:fldCharType="begin"/>
            </w:r>
            <w:r>
              <w:rPr>
                <w:noProof/>
                <w:webHidden/>
              </w:rPr>
              <w:instrText xml:space="preserve"> PAGEREF _Toc90977839 \h </w:instrText>
            </w:r>
            <w:r>
              <w:rPr>
                <w:noProof/>
                <w:webHidden/>
              </w:rPr>
            </w:r>
            <w:r>
              <w:rPr>
                <w:noProof/>
                <w:webHidden/>
              </w:rPr>
              <w:fldChar w:fldCharType="separate"/>
            </w:r>
            <w:r>
              <w:rPr>
                <w:noProof/>
                <w:webHidden/>
              </w:rPr>
              <w:t>6</w:t>
            </w:r>
            <w:r>
              <w:rPr>
                <w:noProof/>
                <w:webHidden/>
              </w:rPr>
              <w:fldChar w:fldCharType="end"/>
            </w:r>
          </w:hyperlink>
        </w:p>
        <w:p w14:paraId="2D9B9EB5" w14:textId="26A35F4E" w:rsidR="00B2692C" w:rsidRDefault="00B2692C">
          <w:pPr>
            <w:pStyle w:val="Obsah3"/>
            <w:tabs>
              <w:tab w:val="right" w:leader="dot" w:pos="9062"/>
            </w:tabs>
            <w:rPr>
              <w:rFonts w:eastAsiaTheme="minorEastAsia"/>
              <w:noProof/>
              <w:sz w:val="24"/>
              <w:szCs w:val="24"/>
              <w:lang w:eastAsia="sk-SK"/>
            </w:rPr>
          </w:pPr>
          <w:hyperlink w:anchor="_Toc90977840" w:history="1">
            <w:r w:rsidRPr="00C3598B">
              <w:rPr>
                <w:rStyle w:val="Hypertextovprepojenie"/>
                <w:noProof/>
              </w:rPr>
              <w:t>Úspora nákladov klienta</w:t>
            </w:r>
            <w:r>
              <w:rPr>
                <w:noProof/>
                <w:webHidden/>
              </w:rPr>
              <w:tab/>
            </w:r>
            <w:r>
              <w:rPr>
                <w:noProof/>
                <w:webHidden/>
              </w:rPr>
              <w:fldChar w:fldCharType="begin"/>
            </w:r>
            <w:r>
              <w:rPr>
                <w:noProof/>
                <w:webHidden/>
              </w:rPr>
              <w:instrText xml:space="preserve"> PAGEREF _Toc90977840 \h </w:instrText>
            </w:r>
            <w:r>
              <w:rPr>
                <w:noProof/>
                <w:webHidden/>
              </w:rPr>
            </w:r>
            <w:r>
              <w:rPr>
                <w:noProof/>
                <w:webHidden/>
              </w:rPr>
              <w:fldChar w:fldCharType="separate"/>
            </w:r>
            <w:r>
              <w:rPr>
                <w:noProof/>
                <w:webHidden/>
              </w:rPr>
              <w:t>7</w:t>
            </w:r>
            <w:r>
              <w:rPr>
                <w:noProof/>
                <w:webHidden/>
              </w:rPr>
              <w:fldChar w:fldCharType="end"/>
            </w:r>
          </w:hyperlink>
        </w:p>
        <w:p w14:paraId="462446F1" w14:textId="3C39628B" w:rsidR="00B2692C" w:rsidRDefault="00B2692C">
          <w:pPr>
            <w:pStyle w:val="Obsah3"/>
            <w:tabs>
              <w:tab w:val="right" w:leader="dot" w:pos="9062"/>
            </w:tabs>
            <w:rPr>
              <w:rFonts w:eastAsiaTheme="minorEastAsia"/>
              <w:noProof/>
              <w:sz w:val="24"/>
              <w:szCs w:val="24"/>
              <w:lang w:eastAsia="sk-SK"/>
            </w:rPr>
          </w:pPr>
          <w:hyperlink w:anchor="_Toc90977841" w:history="1">
            <w:r w:rsidRPr="00C3598B">
              <w:rPr>
                <w:rStyle w:val="Hypertextovprepojenie"/>
                <w:noProof/>
              </w:rPr>
              <w:t>Kvalitatívne prínosy</w:t>
            </w:r>
            <w:r>
              <w:rPr>
                <w:noProof/>
                <w:webHidden/>
              </w:rPr>
              <w:tab/>
            </w:r>
            <w:r>
              <w:rPr>
                <w:noProof/>
                <w:webHidden/>
              </w:rPr>
              <w:fldChar w:fldCharType="begin"/>
            </w:r>
            <w:r>
              <w:rPr>
                <w:noProof/>
                <w:webHidden/>
              </w:rPr>
              <w:instrText xml:space="preserve"> PAGEREF _Toc90977841 \h </w:instrText>
            </w:r>
            <w:r>
              <w:rPr>
                <w:noProof/>
                <w:webHidden/>
              </w:rPr>
            </w:r>
            <w:r>
              <w:rPr>
                <w:noProof/>
                <w:webHidden/>
              </w:rPr>
              <w:fldChar w:fldCharType="separate"/>
            </w:r>
            <w:r>
              <w:rPr>
                <w:noProof/>
                <w:webHidden/>
              </w:rPr>
              <w:t>8</w:t>
            </w:r>
            <w:r>
              <w:rPr>
                <w:noProof/>
                <w:webHidden/>
              </w:rPr>
              <w:fldChar w:fldCharType="end"/>
            </w:r>
          </w:hyperlink>
        </w:p>
        <w:p w14:paraId="78C26670" w14:textId="2C11DB8D" w:rsidR="00B2692C" w:rsidRDefault="00B2692C">
          <w:pPr>
            <w:pStyle w:val="Obsah1"/>
            <w:tabs>
              <w:tab w:val="right" w:leader="dot" w:pos="9062"/>
            </w:tabs>
            <w:rPr>
              <w:rFonts w:eastAsiaTheme="minorEastAsia"/>
              <w:noProof/>
              <w:sz w:val="24"/>
              <w:szCs w:val="24"/>
              <w:lang w:eastAsia="sk-SK"/>
            </w:rPr>
          </w:pPr>
          <w:hyperlink w:anchor="_Toc90977842" w:history="1">
            <w:r w:rsidRPr="00C3598B">
              <w:rPr>
                <w:rStyle w:val="Hypertextovprepojenie"/>
                <w:noProof/>
              </w:rPr>
              <w:t>EXCEL</w:t>
            </w:r>
            <w:r>
              <w:rPr>
                <w:noProof/>
                <w:webHidden/>
              </w:rPr>
              <w:tab/>
            </w:r>
            <w:r>
              <w:rPr>
                <w:noProof/>
                <w:webHidden/>
              </w:rPr>
              <w:fldChar w:fldCharType="begin"/>
            </w:r>
            <w:r>
              <w:rPr>
                <w:noProof/>
                <w:webHidden/>
              </w:rPr>
              <w:instrText xml:space="preserve"> PAGEREF _Toc90977842 \h </w:instrText>
            </w:r>
            <w:r>
              <w:rPr>
                <w:noProof/>
                <w:webHidden/>
              </w:rPr>
            </w:r>
            <w:r>
              <w:rPr>
                <w:noProof/>
                <w:webHidden/>
              </w:rPr>
              <w:fldChar w:fldCharType="separate"/>
            </w:r>
            <w:r>
              <w:rPr>
                <w:noProof/>
                <w:webHidden/>
              </w:rPr>
              <w:t>8</w:t>
            </w:r>
            <w:r>
              <w:rPr>
                <w:noProof/>
                <w:webHidden/>
              </w:rPr>
              <w:fldChar w:fldCharType="end"/>
            </w:r>
          </w:hyperlink>
        </w:p>
        <w:p w14:paraId="54E0BD30" w14:textId="6A892401" w:rsidR="00B2692C" w:rsidRDefault="00B2692C">
          <w:pPr>
            <w:pStyle w:val="Obsah2"/>
            <w:tabs>
              <w:tab w:val="right" w:leader="dot" w:pos="9062"/>
            </w:tabs>
            <w:rPr>
              <w:rFonts w:eastAsiaTheme="minorEastAsia"/>
              <w:noProof/>
              <w:sz w:val="24"/>
              <w:szCs w:val="24"/>
              <w:lang w:eastAsia="sk-SK"/>
            </w:rPr>
          </w:pPr>
          <w:hyperlink w:anchor="_Toc90977843" w:history="1">
            <w:r w:rsidRPr="00C3598B">
              <w:rPr>
                <w:rStyle w:val="Hypertextovprepojenie"/>
                <w:noProof/>
              </w:rPr>
              <w:t>Prínosy vyplývajúce z výmeny IKT</w:t>
            </w:r>
            <w:r>
              <w:rPr>
                <w:noProof/>
                <w:webHidden/>
              </w:rPr>
              <w:tab/>
            </w:r>
            <w:r>
              <w:rPr>
                <w:noProof/>
                <w:webHidden/>
              </w:rPr>
              <w:fldChar w:fldCharType="begin"/>
            </w:r>
            <w:r>
              <w:rPr>
                <w:noProof/>
                <w:webHidden/>
              </w:rPr>
              <w:instrText xml:space="preserve"> PAGEREF _Toc90977843 \h </w:instrText>
            </w:r>
            <w:r>
              <w:rPr>
                <w:noProof/>
                <w:webHidden/>
              </w:rPr>
            </w:r>
            <w:r>
              <w:rPr>
                <w:noProof/>
                <w:webHidden/>
              </w:rPr>
              <w:fldChar w:fldCharType="separate"/>
            </w:r>
            <w:r>
              <w:rPr>
                <w:noProof/>
                <w:webHidden/>
              </w:rPr>
              <w:t>8</w:t>
            </w:r>
            <w:r>
              <w:rPr>
                <w:noProof/>
                <w:webHidden/>
              </w:rPr>
              <w:fldChar w:fldCharType="end"/>
            </w:r>
          </w:hyperlink>
        </w:p>
        <w:p w14:paraId="4CC6C6DC" w14:textId="70343389" w:rsidR="00B2692C" w:rsidRDefault="00B2692C">
          <w:pPr>
            <w:pStyle w:val="Obsah2"/>
            <w:tabs>
              <w:tab w:val="right" w:leader="dot" w:pos="9062"/>
            </w:tabs>
            <w:rPr>
              <w:rFonts w:eastAsiaTheme="minorEastAsia"/>
              <w:noProof/>
              <w:sz w:val="24"/>
              <w:szCs w:val="24"/>
              <w:lang w:eastAsia="sk-SK"/>
            </w:rPr>
          </w:pPr>
          <w:hyperlink w:anchor="_Toc90977844" w:history="1">
            <w:r w:rsidRPr="00C3598B">
              <w:rPr>
                <w:rStyle w:val="Hypertextovprepojenie"/>
                <w:noProof/>
              </w:rPr>
              <w:t>Prínosy vyplývajúce z optimalizácie / zefektívnenia výkonu agendy vďaka projektom</w:t>
            </w:r>
            <w:r>
              <w:rPr>
                <w:noProof/>
                <w:webHidden/>
              </w:rPr>
              <w:tab/>
            </w:r>
            <w:r>
              <w:rPr>
                <w:noProof/>
                <w:webHidden/>
              </w:rPr>
              <w:fldChar w:fldCharType="begin"/>
            </w:r>
            <w:r>
              <w:rPr>
                <w:noProof/>
                <w:webHidden/>
              </w:rPr>
              <w:instrText xml:space="preserve"> PAGEREF _Toc90977844 \h </w:instrText>
            </w:r>
            <w:r>
              <w:rPr>
                <w:noProof/>
                <w:webHidden/>
              </w:rPr>
            </w:r>
            <w:r>
              <w:rPr>
                <w:noProof/>
                <w:webHidden/>
              </w:rPr>
              <w:fldChar w:fldCharType="separate"/>
            </w:r>
            <w:r>
              <w:rPr>
                <w:noProof/>
                <w:webHidden/>
              </w:rPr>
              <w:t>9</w:t>
            </w:r>
            <w:r>
              <w:rPr>
                <w:noProof/>
                <w:webHidden/>
              </w:rPr>
              <w:fldChar w:fldCharType="end"/>
            </w:r>
          </w:hyperlink>
        </w:p>
        <w:p w14:paraId="00C7B965" w14:textId="5625A0BE" w:rsidR="00B2692C" w:rsidRDefault="00B2692C">
          <w:pPr>
            <w:pStyle w:val="Obsah2"/>
            <w:tabs>
              <w:tab w:val="right" w:leader="dot" w:pos="9062"/>
            </w:tabs>
            <w:rPr>
              <w:rFonts w:eastAsiaTheme="minorEastAsia"/>
              <w:noProof/>
              <w:sz w:val="24"/>
              <w:szCs w:val="24"/>
              <w:lang w:eastAsia="sk-SK"/>
            </w:rPr>
          </w:pPr>
          <w:hyperlink w:anchor="_Toc90977845" w:history="1">
            <w:r w:rsidRPr="00C3598B">
              <w:rPr>
                <w:rStyle w:val="Hypertextovprepojenie"/>
                <w:noProof/>
              </w:rPr>
              <w:t>SUMAR</w:t>
            </w:r>
            <w:r>
              <w:rPr>
                <w:noProof/>
                <w:webHidden/>
              </w:rPr>
              <w:tab/>
            </w:r>
            <w:r>
              <w:rPr>
                <w:noProof/>
                <w:webHidden/>
              </w:rPr>
              <w:fldChar w:fldCharType="begin"/>
            </w:r>
            <w:r>
              <w:rPr>
                <w:noProof/>
                <w:webHidden/>
              </w:rPr>
              <w:instrText xml:space="preserve"> PAGEREF _Toc90977845 \h </w:instrText>
            </w:r>
            <w:r>
              <w:rPr>
                <w:noProof/>
                <w:webHidden/>
              </w:rPr>
            </w:r>
            <w:r>
              <w:rPr>
                <w:noProof/>
                <w:webHidden/>
              </w:rPr>
              <w:fldChar w:fldCharType="separate"/>
            </w:r>
            <w:r>
              <w:rPr>
                <w:noProof/>
                <w:webHidden/>
              </w:rPr>
              <w:t>10</w:t>
            </w:r>
            <w:r>
              <w:rPr>
                <w:noProof/>
                <w:webHidden/>
              </w:rPr>
              <w:fldChar w:fldCharType="end"/>
            </w:r>
          </w:hyperlink>
        </w:p>
        <w:p w14:paraId="3314AB6B" w14:textId="09201882" w:rsidR="00B2692C" w:rsidRDefault="00B2692C" w:rsidP="00B2692C">
          <w:r>
            <w:rPr>
              <w:b/>
              <w:bCs/>
            </w:rPr>
            <w:fldChar w:fldCharType="end"/>
          </w:r>
        </w:p>
      </w:sdtContent>
    </w:sdt>
    <w:p w14:paraId="3B00FC9E" w14:textId="77777777" w:rsidR="00B2692C" w:rsidRDefault="00B2692C" w:rsidP="00B2692C"/>
    <w:p w14:paraId="2FE7FD96" w14:textId="77777777" w:rsidR="00B2692C" w:rsidRDefault="00B2692C" w:rsidP="00B2692C">
      <w:pPr>
        <w:rPr>
          <w:rFonts w:asciiTheme="majorHAnsi" w:eastAsiaTheme="majorEastAsia" w:hAnsiTheme="majorHAnsi" w:cstheme="majorBidi"/>
          <w:color w:val="2E74B5" w:themeColor="accent1" w:themeShade="BF"/>
          <w:sz w:val="32"/>
          <w:szCs w:val="32"/>
        </w:rPr>
      </w:pPr>
      <w:r>
        <w:br w:type="page"/>
      </w:r>
    </w:p>
    <w:p w14:paraId="71F82234" w14:textId="77777777" w:rsidR="00B2692C" w:rsidRDefault="00B2692C" w:rsidP="00B2692C">
      <w:pPr>
        <w:pStyle w:val="Nadpis1"/>
      </w:pPr>
      <w:bookmarkStart w:id="4" w:name="_Toc90977832"/>
      <w:r>
        <w:lastRenderedPageBreak/>
        <w:t>Úvod</w:t>
      </w:r>
      <w:bookmarkEnd w:id="4"/>
    </w:p>
    <w:p w14:paraId="5745265E" w14:textId="77777777" w:rsidR="00B2692C" w:rsidRDefault="00B2692C" w:rsidP="00B2692C">
      <w:r>
        <w:t xml:space="preserve">Tento dokument má za úlohu popísať potenciálnu štruktúru prínosov, ktoré pripravované projekty rozvoja môžu priniesť. Rovnako prináša návod ako tieto </w:t>
      </w:r>
      <w:proofErr w:type="spellStart"/>
      <w:r>
        <w:t>prínsy</w:t>
      </w:r>
      <w:proofErr w:type="spellEnd"/>
      <w:r>
        <w:t xml:space="preserve"> definovať a to využitím excelovského nástroja </w:t>
      </w:r>
      <w:proofErr w:type="spellStart"/>
      <w:r w:rsidRPr="00FE54C9">
        <w:t>Kalkulacka_Prinosy_Projekty</w:t>
      </w:r>
      <w:proofErr w:type="spellEnd"/>
      <w:r w:rsidRPr="00FE54C9">
        <w:t xml:space="preserve"> rozvoja</w:t>
      </w:r>
      <w:r>
        <w:t>.</w:t>
      </w:r>
    </w:p>
    <w:p w14:paraId="12DDB932" w14:textId="77777777" w:rsidR="00B2692C" w:rsidRDefault="00B2692C" w:rsidP="00B2692C">
      <w:r>
        <w:t>Vzhľadom na rôznu štruktúru a zameranie projektov rozvoja sú potenciálne prínosy rozdelené do dvoch základných oblastí:</w:t>
      </w:r>
    </w:p>
    <w:p w14:paraId="5F166CDB" w14:textId="77777777" w:rsidR="00B2692C" w:rsidRDefault="00B2692C" w:rsidP="003819A3">
      <w:pPr>
        <w:pStyle w:val="Odsekzoznamu"/>
        <w:numPr>
          <w:ilvl w:val="0"/>
          <w:numId w:val="5"/>
        </w:numPr>
        <w:jc w:val="both"/>
      </w:pPr>
      <w:r>
        <w:t>Prínosy vyplývajúce z výmeny IKT zariadení</w:t>
      </w:r>
    </w:p>
    <w:p w14:paraId="7A5B0883" w14:textId="77777777" w:rsidR="00B2692C" w:rsidRDefault="00B2692C" w:rsidP="003819A3">
      <w:pPr>
        <w:pStyle w:val="Odsekzoznamu"/>
        <w:numPr>
          <w:ilvl w:val="0"/>
          <w:numId w:val="5"/>
        </w:numPr>
        <w:jc w:val="both"/>
      </w:pPr>
      <w:r>
        <w:t xml:space="preserve">Prínosy vyplývajúce z optimalizácie / zefektívnenie výkonu agendy vďaka projektom </w:t>
      </w:r>
    </w:p>
    <w:p w14:paraId="11628C91" w14:textId="77777777" w:rsidR="00B2692C" w:rsidRDefault="00B2692C" w:rsidP="00B2692C">
      <w:r>
        <w:t>Obe možnosti prínosov je možné kombinovať v prípade, ak projekt rozvoja má vplyv na obe stránky prínosov.</w:t>
      </w:r>
    </w:p>
    <w:p w14:paraId="0CB75DA3" w14:textId="77777777" w:rsidR="00B2692C" w:rsidRDefault="00B2692C" w:rsidP="00B2692C">
      <w:pPr>
        <w:pStyle w:val="Nadpis1"/>
      </w:pPr>
      <w:bookmarkStart w:id="5" w:name="_Toc90977833"/>
      <w:r>
        <w:t>Popis oblastí prínosov</w:t>
      </w:r>
      <w:bookmarkEnd w:id="5"/>
    </w:p>
    <w:p w14:paraId="718FEA36" w14:textId="77777777" w:rsidR="00B2692C" w:rsidRDefault="00B2692C" w:rsidP="00B2692C">
      <w:r>
        <w:t xml:space="preserve">V nasledujúcej časti dokumentu sú popísané jednotlivé oblasti prínosov a spôsoby ich kalkulácie. Z pohľadu využitia kalkulácie prínosov je potrebné rozlišovať fázu prípravy projektu a to z titulu relevancie identifikovaných prínosov. Iná je relevancia v prípade prípravnej fázy a iná v prípade </w:t>
      </w:r>
      <w:proofErr w:type="spellStart"/>
      <w:r>
        <w:t>inicializačnej</w:t>
      </w:r>
      <w:proofErr w:type="spellEnd"/>
      <w:r>
        <w:t xml:space="preserve"> fázy.</w:t>
      </w:r>
    </w:p>
    <w:p w14:paraId="39191C11" w14:textId="77777777" w:rsidR="00B2692C" w:rsidRDefault="00B2692C" w:rsidP="00B2692C">
      <w:pPr>
        <w:rPr>
          <w:b/>
          <w:bCs/>
          <w:i/>
          <w:iCs/>
        </w:rPr>
      </w:pPr>
      <w:r w:rsidRPr="003F574C">
        <w:rPr>
          <w:b/>
          <w:bCs/>
          <w:i/>
          <w:iCs/>
        </w:rPr>
        <w:t>Prípravná fáza projektu</w:t>
      </w:r>
    </w:p>
    <w:p w14:paraId="13569B29" w14:textId="77777777" w:rsidR="00B2692C" w:rsidRDefault="00B2692C" w:rsidP="00B2692C">
      <w:r>
        <w:t>V tejto fáze projektu je možné kalkulovať prínosy na základe odborných odhadov a skúseností z prípadných obdobne realizovaných projektov. Výsledné hodnoty slúžia skôr ako „</w:t>
      </w:r>
      <w:proofErr w:type="spellStart"/>
      <w:r>
        <w:t>vodítko</w:t>
      </w:r>
      <w:proofErr w:type="spellEnd"/>
      <w:r>
        <w:t>“ pri základnom porovnaní potenciálnych nákladov na realizáciu projektu a dosiahnuteľných prínosov.</w:t>
      </w:r>
    </w:p>
    <w:p w14:paraId="7C8B2558" w14:textId="77777777" w:rsidR="00B2692C" w:rsidRDefault="00B2692C" w:rsidP="00B2692C">
      <w:r>
        <w:t xml:space="preserve">Údaje sú dôležité predovšetkým pre vedenie organizácie, aby sa vedelo rozhodnúť, či investovať ďalšie zdroje do </w:t>
      </w:r>
      <w:proofErr w:type="spellStart"/>
      <w:r>
        <w:t>inicializačnej</w:t>
      </w:r>
      <w:proofErr w:type="spellEnd"/>
      <w:r>
        <w:t xml:space="preserve"> a ostatných fáz prípravy a následnej realizácie projektu.</w:t>
      </w:r>
    </w:p>
    <w:p w14:paraId="01249CAE" w14:textId="77777777" w:rsidR="00B2692C" w:rsidRDefault="00B2692C" w:rsidP="00B2692C">
      <w:pPr>
        <w:rPr>
          <w:b/>
          <w:bCs/>
          <w:i/>
          <w:iCs/>
        </w:rPr>
      </w:pPr>
      <w:proofErr w:type="spellStart"/>
      <w:r w:rsidRPr="003F574C">
        <w:rPr>
          <w:b/>
          <w:bCs/>
          <w:i/>
          <w:iCs/>
        </w:rPr>
        <w:t>Inicializačná</w:t>
      </w:r>
      <w:proofErr w:type="spellEnd"/>
      <w:r w:rsidRPr="003F574C">
        <w:rPr>
          <w:b/>
          <w:bCs/>
          <w:i/>
          <w:iCs/>
        </w:rPr>
        <w:t xml:space="preserve"> fáza</w:t>
      </w:r>
    </w:p>
    <w:p w14:paraId="749B6E7D" w14:textId="77777777" w:rsidR="00B2692C" w:rsidRDefault="00B2692C" w:rsidP="00B2692C">
      <w:r w:rsidRPr="003F574C">
        <w:t xml:space="preserve">Výstupy </w:t>
      </w:r>
      <w:r>
        <w:t xml:space="preserve">z tejto fázy projektu sú podkladovými materiálmi pre získanie stanoviska MIRRI a často aj stanoviska UHP. Preto pre túto fázu prípravy dokumentácie nie je vhodné používať kvalifikované odhady pre jednotlivé parametre prípadov použitia, ale je potrebné mať údaje podložené na základe reálnych dát, ktoré v organizácií vznikajú a existujú. </w:t>
      </w:r>
    </w:p>
    <w:p w14:paraId="09EAA2DB" w14:textId="77777777" w:rsidR="00B2692C" w:rsidRPr="00871BD4" w:rsidRDefault="00B2692C" w:rsidP="00B2692C">
      <w:r>
        <w:t xml:space="preserve">V rámci jednotlivých prípadov použitia sú uvedené príklady, odkiaľ čerpať údaje pre zreálnenie výpočtov benefitov. </w:t>
      </w:r>
    </w:p>
    <w:p w14:paraId="09766ABA" w14:textId="77777777" w:rsidR="00B2692C" w:rsidRDefault="00B2692C" w:rsidP="00B2692C">
      <w:pPr>
        <w:pStyle w:val="Nadpis2"/>
      </w:pPr>
      <w:bookmarkStart w:id="6" w:name="_Toc90977834"/>
      <w:r>
        <w:t>Prínosy vyplývajúce z výmeny IKT zariadení</w:t>
      </w:r>
      <w:bookmarkEnd w:id="6"/>
    </w:p>
    <w:p w14:paraId="1EE919C5" w14:textId="77777777" w:rsidR="00B2692C" w:rsidRDefault="00B2692C" w:rsidP="00B2692C">
      <w:r>
        <w:t xml:space="preserve">V tejto časti je popísaná štruktúra prínosov a ich výpočtu pre projekty, ktoré sú zamerané na výmenu IKT zariadení ako sú napr. desktopy, káble, </w:t>
      </w:r>
      <w:proofErr w:type="spellStart"/>
      <w:r>
        <w:t>switche</w:t>
      </w:r>
      <w:proofErr w:type="spellEnd"/>
      <w:r>
        <w:t xml:space="preserve">, servery a pod., ktorých funkčnosť bezprostredne ovplyvňuje výkon práce zamestnancov daných OVM (prípadne inštitúcií verejnej správy) alebo ovplyvňuje prístupnosť služby verejnosti. </w:t>
      </w:r>
    </w:p>
    <w:p w14:paraId="6F8E56E2" w14:textId="77777777" w:rsidR="00B2692C" w:rsidRDefault="00B2692C" w:rsidP="00B2692C">
      <w:r>
        <w:t xml:space="preserve">Rovnako je možné kalkulovať prínosy pre výmenu napr. SW komponentov, ktoré majú charakter „krabicových“ riešení. </w:t>
      </w:r>
    </w:p>
    <w:p w14:paraId="42A7FE68" w14:textId="77777777" w:rsidR="00B2692C" w:rsidRDefault="00B2692C" w:rsidP="00B2692C">
      <w:r>
        <w:t xml:space="preserve">Obe tieto situácie vedú z zvýšeniu efektivity zabezpečenia výkonu dotknutého povolania alebo poskytovania služieb verejnosti. </w:t>
      </w:r>
    </w:p>
    <w:p w14:paraId="41D7C19C" w14:textId="77777777" w:rsidR="00B2692C" w:rsidRDefault="00B2692C" w:rsidP="00B2692C">
      <w:r>
        <w:t>V nasledujúcej časti sú popísané 3 základné možnosti ako kalkulovať dopad „nečinnosti“ v prípade zastaranosti / nepostačujúcej funkcionalite týchto komponentov. Jedná sa o nasledovné prípady:</w:t>
      </w:r>
    </w:p>
    <w:p w14:paraId="0D2B51BF" w14:textId="77777777" w:rsidR="00B2692C" w:rsidRDefault="00B2692C" w:rsidP="003819A3">
      <w:pPr>
        <w:pStyle w:val="Odsekzoznamu"/>
        <w:numPr>
          <w:ilvl w:val="0"/>
          <w:numId w:val="3"/>
        </w:numPr>
        <w:jc w:val="both"/>
      </w:pPr>
      <w:r>
        <w:lastRenderedPageBreak/>
        <w:t>Znemožnenie výkonu povolania pracovníkov</w:t>
      </w:r>
    </w:p>
    <w:p w14:paraId="51EBB838" w14:textId="77777777" w:rsidR="00B2692C" w:rsidRDefault="00B2692C" w:rsidP="003819A3">
      <w:pPr>
        <w:pStyle w:val="Odsekzoznamu"/>
        <w:numPr>
          <w:ilvl w:val="0"/>
          <w:numId w:val="3"/>
        </w:numPr>
        <w:jc w:val="both"/>
      </w:pPr>
      <w:r>
        <w:t>Úspora resp. kalkulácia prevádzkových nákladov</w:t>
      </w:r>
    </w:p>
    <w:p w14:paraId="5B072026" w14:textId="77777777" w:rsidR="00B2692C" w:rsidRDefault="00B2692C" w:rsidP="003819A3">
      <w:pPr>
        <w:pStyle w:val="Odsekzoznamu"/>
        <w:numPr>
          <w:ilvl w:val="0"/>
          <w:numId w:val="3"/>
        </w:numPr>
        <w:jc w:val="both"/>
      </w:pPr>
      <w:r>
        <w:t>Zníženie rizika výpadku služby</w:t>
      </w:r>
    </w:p>
    <w:p w14:paraId="3B69298C" w14:textId="77777777" w:rsidR="00B2692C" w:rsidRPr="009652AA" w:rsidRDefault="00B2692C" w:rsidP="00B2692C">
      <w:r>
        <w:t xml:space="preserve">Vždy sa porovnávajú náklady vynaložené na obnovu zariadenia a jeho následnú prevádzku s nákladmi súvisiacimi s prevádzkou existujúceho zariadenia a nákladov vyplývajúcich z možnej finančnej straty resp. </w:t>
      </w:r>
      <w:proofErr w:type="spellStart"/>
      <w:r>
        <w:t>neefektivity</w:t>
      </w:r>
      <w:proofErr w:type="spellEnd"/>
      <w:r>
        <w:t xml:space="preserve"> výkonu či už zamestnancov alebo zákazníkov inštitúcií (občan / podnikateľ/ iná inštitúcia verejnej správy).  </w:t>
      </w:r>
    </w:p>
    <w:p w14:paraId="4C6BAE3C" w14:textId="77777777" w:rsidR="00B2692C" w:rsidRDefault="00B2692C" w:rsidP="00B2692C">
      <w:pPr>
        <w:pStyle w:val="Nadpis3"/>
      </w:pPr>
      <w:bookmarkStart w:id="7" w:name="_Toc90977835"/>
      <w:r>
        <w:t>Prípad 1 – Znemožnenie výkonu povolania</w:t>
      </w:r>
      <w:bookmarkEnd w:id="7"/>
    </w:p>
    <w:p w14:paraId="5A080D7C" w14:textId="77777777" w:rsidR="00B2692C" w:rsidRDefault="00B2692C" w:rsidP="00B2692C">
      <w:r>
        <w:t xml:space="preserve">Tento prípad je zameraný na kalkuláciu neefektívnych nákladov, ktoré vyplývajú zo znemožnenia výkonu práce v dôsledku zastaraných technológií alebo softwarového vybavenia. Základným predpokladom tohto prípadu je zadefinovanie dotknutých pracovníkov, ktorých práca je závislá na danom zariadení (infraštruktúre) a identifikovanie rizika (v percentách) výpadku dotknutého zariadenia (infraštruktúry). </w:t>
      </w:r>
    </w:p>
    <w:p w14:paraId="01FA3826" w14:textId="77777777" w:rsidR="00B2692C" w:rsidRDefault="00B2692C" w:rsidP="00B2692C">
      <w:pPr>
        <w:pStyle w:val="Nadpis4"/>
      </w:pPr>
      <w:r>
        <w:t>Potrebné premenné na kalkuláciu prínosov</w:t>
      </w:r>
    </w:p>
    <w:p w14:paraId="7748C512" w14:textId="77777777" w:rsidR="00B2692C" w:rsidRDefault="00B2692C" w:rsidP="003819A3">
      <w:pPr>
        <w:pStyle w:val="Odsekzoznamu"/>
        <w:numPr>
          <w:ilvl w:val="0"/>
          <w:numId w:val="2"/>
        </w:numPr>
        <w:jc w:val="both"/>
      </w:pPr>
      <w:r>
        <w:t>Identifikovanie zariadenia / infraštruktúry</w:t>
      </w:r>
    </w:p>
    <w:p w14:paraId="3DBD3762" w14:textId="77777777" w:rsidR="00B2692C" w:rsidRDefault="00B2692C" w:rsidP="003819A3">
      <w:pPr>
        <w:pStyle w:val="Odsekzoznamu"/>
        <w:numPr>
          <w:ilvl w:val="0"/>
          <w:numId w:val="2"/>
        </w:numPr>
        <w:jc w:val="both"/>
      </w:pPr>
      <w:r>
        <w:t>Identifikovanie počtu dotknutých pracovníkov, ktorí prácu vykonávajú</w:t>
      </w:r>
    </w:p>
    <w:p w14:paraId="1F026E1D" w14:textId="77777777" w:rsidR="00B2692C" w:rsidRDefault="00B2692C" w:rsidP="003819A3">
      <w:pPr>
        <w:pStyle w:val="Odsekzoznamu"/>
        <w:numPr>
          <w:ilvl w:val="0"/>
          <w:numId w:val="2"/>
        </w:numPr>
        <w:jc w:val="both"/>
      </w:pPr>
      <w:r>
        <w:t>Identifikovanie % výkonu práce, na ktoré využívajú dané zariadenie / infraštruktúru</w:t>
      </w:r>
    </w:p>
    <w:p w14:paraId="3B471B43" w14:textId="77777777" w:rsidR="00B2692C" w:rsidRDefault="00B2692C" w:rsidP="003819A3">
      <w:pPr>
        <w:pStyle w:val="Odsekzoznamu"/>
        <w:numPr>
          <w:ilvl w:val="0"/>
          <w:numId w:val="2"/>
        </w:numPr>
        <w:jc w:val="both"/>
      </w:pPr>
      <w:r>
        <w:t xml:space="preserve">Identifikovanie </w:t>
      </w:r>
      <w:r w:rsidRPr="58CEAA39">
        <w:rPr>
          <w:rFonts w:ascii="Symbol" w:eastAsia="Symbol" w:hAnsi="Symbol" w:cs="Symbol"/>
        </w:rPr>
        <w:t></w:t>
      </w:r>
      <w:r>
        <w:t xml:space="preserve"> ceny práce (</w:t>
      </w:r>
      <w:proofErr w:type="spellStart"/>
      <w:r>
        <w:t>superhrubá</w:t>
      </w:r>
      <w:proofErr w:type="spellEnd"/>
      <w:r>
        <w:t xml:space="preserve"> mzda) zamestnancov, ktorí sú riešením ovplyvnení (jedná sa o priemernú hodnotu mzdy pre dotknutých pracovníkov)</w:t>
      </w:r>
    </w:p>
    <w:p w14:paraId="31EDB32E" w14:textId="77777777" w:rsidR="00B2692C" w:rsidRDefault="00B2692C" w:rsidP="003819A3">
      <w:pPr>
        <w:pStyle w:val="Odsekzoznamu"/>
        <w:numPr>
          <w:ilvl w:val="0"/>
          <w:numId w:val="2"/>
        </w:numPr>
        <w:jc w:val="both"/>
      </w:pPr>
      <w:r>
        <w:t>Identifikovanie % prípadného výpadku</w:t>
      </w:r>
    </w:p>
    <w:p w14:paraId="06FFBD63" w14:textId="77777777" w:rsidR="00B2692C" w:rsidRDefault="00B2692C" w:rsidP="00B2692C">
      <w:pPr>
        <w:pStyle w:val="Nadpis4"/>
      </w:pPr>
      <w:r>
        <w:t>Spôsob kalkulácie</w:t>
      </w:r>
    </w:p>
    <w:p w14:paraId="1C1131FE" w14:textId="77777777" w:rsidR="00B2692C" w:rsidRDefault="00B2692C" w:rsidP="00B2692C">
      <w:r>
        <w:t xml:space="preserve">Kalkulácia vychádza z identifikácie neefektívneho času pracovníkov, kedy nemôžu efektívne vykonávať svoju prácu z titulu technických obmedzení. Táto hodnota </w:t>
      </w:r>
      <w:proofErr w:type="spellStart"/>
      <w:r>
        <w:t>neefektivity</w:t>
      </w:r>
      <w:proofErr w:type="spellEnd"/>
      <w:r>
        <w:t xml:space="preserve"> sa započítava následne do vynaložených nákladov súčasného stavu a porovnáva sa s obstarávacími výdavkami a budúcou prevádzkou nového riešenia. Kalkulácia je prepočítaná  na obdobie 10 rokov. </w:t>
      </w:r>
    </w:p>
    <w:p w14:paraId="5AB7AB7F" w14:textId="77777777" w:rsidR="00B2692C" w:rsidRDefault="00B2692C" w:rsidP="00B2692C">
      <w:pPr>
        <w:pStyle w:val="Nadpis4"/>
      </w:pPr>
      <w:r>
        <w:t>Potenciálne zdroje údajov v </w:t>
      </w:r>
      <w:proofErr w:type="spellStart"/>
      <w:r>
        <w:t>inicializačnej</w:t>
      </w:r>
      <w:proofErr w:type="spellEnd"/>
      <w:r>
        <w:t xml:space="preserve"> fáze</w:t>
      </w:r>
    </w:p>
    <w:tbl>
      <w:tblPr>
        <w:tblStyle w:val="Mriekatabukysvetl"/>
        <w:tblW w:w="9067" w:type="dxa"/>
        <w:tblLook w:val="04A0" w:firstRow="1" w:lastRow="0" w:firstColumn="1" w:lastColumn="0" w:noHBand="0" w:noVBand="1"/>
      </w:tblPr>
      <w:tblGrid>
        <w:gridCol w:w="3539"/>
        <w:gridCol w:w="5528"/>
      </w:tblGrid>
      <w:tr w:rsidR="00B2692C" w:rsidRPr="00F93577" w14:paraId="6C84E7BC" w14:textId="77777777" w:rsidTr="009612A6">
        <w:trPr>
          <w:trHeight w:val="276"/>
        </w:trPr>
        <w:tc>
          <w:tcPr>
            <w:tcW w:w="3539" w:type="dxa"/>
            <w:shd w:val="clear" w:color="auto" w:fill="DEEAF6" w:themeFill="accent1" w:themeFillTint="33"/>
            <w:noWrap/>
          </w:tcPr>
          <w:p w14:paraId="533B1940" w14:textId="77777777" w:rsidR="00B2692C" w:rsidRPr="00F93577" w:rsidRDefault="00B2692C" w:rsidP="009612A6">
            <w:pPr>
              <w:rPr>
                <w:rFonts w:eastAsia="Times New Roman" w:cs="Calibri Light"/>
                <w:b/>
                <w:bCs/>
                <w:color w:val="000000"/>
                <w:sz w:val="20"/>
                <w:szCs w:val="20"/>
                <w:lang w:eastAsia="sk-SK"/>
              </w:rPr>
            </w:pPr>
            <w:r w:rsidRPr="00F93577">
              <w:rPr>
                <w:rFonts w:eastAsia="Times New Roman" w:cs="Calibri Light"/>
                <w:b/>
                <w:bCs/>
                <w:color w:val="000000"/>
                <w:sz w:val="20"/>
                <w:szCs w:val="20"/>
                <w:lang w:eastAsia="sk-SK"/>
              </w:rPr>
              <w:t>Položka kalkulácie</w:t>
            </w:r>
          </w:p>
        </w:tc>
        <w:tc>
          <w:tcPr>
            <w:tcW w:w="5528" w:type="dxa"/>
            <w:shd w:val="clear" w:color="auto" w:fill="DEEAF6" w:themeFill="accent1" w:themeFillTint="33"/>
          </w:tcPr>
          <w:p w14:paraId="1D449E98" w14:textId="77777777" w:rsidR="00B2692C" w:rsidRPr="00F93577" w:rsidRDefault="00B2692C" w:rsidP="009612A6">
            <w:pPr>
              <w:rPr>
                <w:rFonts w:eastAsia="Times New Roman" w:cs="Calibri Light"/>
                <w:b/>
                <w:bCs/>
                <w:color w:val="000000"/>
                <w:sz w:val="20"/>
                <w:szCs w:val="20"/>
                <w:lang w:eastAsia="sk-SK"/>
              </w:rPr>
            </w:pPr>
            <w:r w:rsidRPr="00F93577">
              <w:rPr>
                <w:rFonts w:eastAsia="Times New Roman" w:cs="Calibri Light"/>
                <w:b/>
                <w:bCs/>
                <w:color w:val="000000"/>
                <w:sz w:val="20"/>
                <w:szCs w:val="20"/>
                <w:lang w:eastAsia="sk-SK"/>
              </w:rPr>
              <w:t>Zdroj údajov</w:t>
            </w:r>
          </w:p>
        </w:tc>
      </w:tr>
      <w:tr w:rsidR="00B2692C" w:rsidRPr="00F93577" w14:paraId="050C2224" w14:textId="77777777" w:rsidTr="009612A6">
        <w:trPr>
          <w:trHeight w:val="276"/>
        </w:trPr>
        <w:tc>
          <w:tcPr>
            <w:tcW w:w="3539" w:type="dxa"/>
            <w:noWrap/>
            <w:hideMark/>
          </w:tcPr>
          <w:p w14:paraId="41BB122E"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Valorizačné % mzdy</w:t>
            </w:r>
          </w:p>
        </w:tc>
        <w:tc>
          <w:tcPr>
            <w:tcW w:w="5528" w:type="dxa"/>
          </w:tcPr>
          <w:p w14:paraId="40B5445B"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sidRPr="003F574C">
              <w:rPr>
                <w:rFonts w:eastAsia="Times New Roman" w:cs="Calibri Light"/>
                <w:color w:val="000000"/>
                <w:sz w:val="20"/>
                <w:szCs w:val="20"/>
                <w:lang w:eastAsia="sk-SK"/>
              </w:rPr>
              <w:t>Kolektívna zmluva, prípadné iné dokumenty (mzdový predpis a pod.)</w:t>
            </w:r>
          </w:p>
        </w:tc>
      </w:tr>
      <w:tr w:rsidR="00B2692C" w:rsidRPr="00F93577" w14:paraId="2CEF08C8" w14:textId="77777777" w:rsidTr="009612A6">
        <w:trPr>
          <w:trHeight w:val="276"/>
        </w:trPr>
        <w:tc>
          <w:tcPr>
            <w:tcW w:w="3539" w:type="dxa"/>
            <w:noWrap/>
            <w:hideMark/>
          </w:tcPr>
          <w:p w14:paraId="3D8672B4" w14:textId="77777777" w:rsidR="00B2692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Nárast výpadkov počas rokov</w:t>
            </w:r>
          </w:p>
          <w:p w14:paraId="69EB42FF" w14:textId="77777777" w:rsidR="00B2692C" w:rsidRPr="003F574C" w:rsidRDefault="00B2692C" w:rsidP="009612A6">
            <w:pPr>
              <w:rPr>
                <w:rFonts w:eastAsia="Times New Roman" w:cs="Calibri Light"/>
                <w:color w:val="000000"/>
                <w:sz w:val="20"/>
                <w:szCs w:val="20"/>
                <w:lang w:eastAsia="sk-SK"/>
              </w:rPr>
            </w:pPr>
            <w:r w:rsidRPr="0021645E">
              <w:rPr>
                <w:rFonts w:eastAsia="Times New Roman" w:cs="Calibri Light"/>
                <w:color w:val="000000"/>
                <w:sz w:val="20"/>
                <w:szCs w:val="20"/>
                <w:lang w:eastAsia="sk-SK"/>
              </w:rPr>
              <w:t>% Výpadkov</w:t>
            </w:r>
          </w:p>
        </w:tc>
        <w:tc>
          <w:tcPr>
            <w:tcW w:w="5528" w:type="dxa"/>
          </w:tcPr>
          <w:p w14:paraId="01762827"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sidRPr="003F574C">
              <w:rPr>
                <w:rFonts w:eastAsia="Times New Roman" w:cs="Calibri Light"/>
                <w:color w:val="000000"/>
                <w:sz w:val="20"/>
                <w:szCs w:val="20"/>
                <w:lang w:eastAsia="sk-SK"/>
              </w:rPr>
              <w:t>Údaje z prevádzky IS o zaznamenaných výpadkoch a dĺžky ich trvania</w:t>
            </w:r>
          </w:p>
        </w:tc>
      </w:tr>
      <w:tr w:rsidR="00B2692C" w:rsidRPr="00F93577" w14:paraId="49774D81" w14:textId="77777777" w:rsidTr="009612A6">
        <w:trPr>
          <w:trHeight w:val="276"/>
        </w:trPr>
        <w:tc>
          <w:tcPr>
            <w:tcW w:w="3539" w:type="dxa"/>
            <w:noWrap/>
            <w:hideMark/>
          </w:tcPr>
          <w:p w14:paraId="6930A55D"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Počet dotknutých pracovníkov</w:t>
            </w:r>
          </w:p>
        </w:tc>
        <w:tc>
          <w:tcPr>
            <w:tcW w:w="5528" w:type="dxa"/>
          </w:tcPr>
          <w:p w14:paraId="0A44DBC9"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sidRPr="003F574C">
              <w:rPr>
                <w:rFonts w:eastAsia="Times New Roman" w:cs="Calibri Light"/>
                <w:color w:val="000000"/>
                <w:sz w:val="20"/>
                <w:szCs w:val="20"/>
                <w:lang w:eastAsia="sk-SK"/>
              </w:rPr>
              <w:t>Údaje z personálneho oddelenia, že dané pozície majú vykonávať danú činnosť</w:t>
            </w:r>
          </w:p>
          <w:p w14:paraId="0EB05489"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sidRPr="003F574C">
              <w:rPr>
                <w:rFonts w:eastAsia="Times New Roman" w:cs="Calibri Light"/>
                <w:color w:val="000000"/>
                <w:sz w:val="20"/>
                <w:szCs w:val="20"/>
                <w:lang w:eastAsia="sk-SK"/>
              </w:rPr>
              <w:t>Údaje z </w:t>
            </w:r>
            <w:proofErr w:type="spellStart"/>
            <w:r w:rsidRPr="003F574C">
              <w:rPr>
                <w:rFonts w:eastAsia="Times New Roman" w:cs="Calibri Light"/>
                <w:color w:val="000000"/>
                <w:sz w:val="20"/>
                <w:szCs w:val="20"/>
                <w:lang w:eastAsia="sk-SK"/>
              </w:rPr>
              <w:t>Active</w:t>
            </w:r>
            <w:proofErr w:type="spellEnd"/>
            <w:r w:rsidRPr="003F574C">
              <w:rPr>
                <w:rFonts w:eastAsia="Times New Roman" w:cs="Calibri Light"/>
                <w:color w:val="000000"/>
                <w:sz w:val="20"/>
                <w:szCs w:val="20"/>
                <w:lang w:eastAsia="sk-SK"/>
              </w:rPr>
              <w:t xml:space="preserve"> </w:t>
            </w:r>
            <w:proofErr w:type="spellStart"/>
            <w:r w:rsidRPr="003F574C">
              <w:rPr>
                <w:rFonts w:eastAsia="Times New Roman" w:cs="Calibri Light"/>
                <w:color w:val="000000"/>
                <w:sz w:val="20"/>
                <w:szCs w:val="20"/>
                <w:lang w:eastAsia="sk-SK"/>
              </w:rPr>
              <w:t>Directory</w:t>
            </w:r>
            <w:proofErr w:type="spellEnd"/>
            <w:r w:rsidRPr="003F574C">
              <w:rPr>
                <w:rFonts w:eastAsia="Times New Roman" w:cs="Calibri Light"/>
                <w:color w:val="000000"/>
                <w:sz w:val="20"/>
                <w:szCs w:val="20"/>
                <w:lang w:eastAsia="sk-SK"/>
              </w:rPr>
              <w:t>, že dané pozície majú k danému zariadeniu / SW prístup a používajú ho na výkon práce</w:t>
            </w:r>
          </w:p>
          <w:p w14:paraId="1DA7CD2F"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sidRPr="003F574C">
              <w:rPr>
                <w:rFonts w:eastAsia="Times New Roman" w:cs="Calibri Light"/>
                <w:color w:val="000000"/>
                <w:sz w:val="20"/>
                <w:szCs w:val="20"/>
                <w:lang w:eastAsia="sk-SK"/>
              </w:rPr>
              <w:t>Log manažment, že dané pozície vykonávajú analyzované činnosti</w:t>
            </w:r>
          </w:p>
        </w:tc>
      </w:tr>
      <w:tr w:rsidR="00B2692C" w:rsidRPr="00F93577" w14:paraId="5B240E15" w14:textId="77777777" w:rsidTr="009612A6">
        <w:trPr>
          <w:trHeight w:val="276"/>
        </w:trPr>
        <w:tc>
          <w:tcPr>
            <w:tcW w:w="3539" w:type="dxa"/>
            <w:noWrap/>
            <w:hideMark/>
          </w:tcPr>
          <w:p w14:paraId="00E52802"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 Práce na ktoré využívajú zariadenie</w:t>
            </w:r>
          </w:p>
        </w:tc>
        <w:tc>
          <w:tcPr>
            <w:tcW w:w="5528" w:type="dxa"/>
          </w:tcPr>
          <w:p w14:paraId="723C758B" w14:textId="77777777" w:rsidR="00B2692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Analytické údaje zo snímky dňa</w:t>
            </w:r>
          </w:p>
          <w:p w14:paraId="147644C5" w14:textId="77777777" w:rsidR="00B2692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Údaje z realizovaných personálnych projektov</w:t>
            </w:r>
          </w:p>
          <w:p w14:paraId="1838EE8B"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w:t>
            </w:r>
          </w:p>
        </w:tc>
      </w:tr>
      <w:tr w:rsidR="00B2692C" w:rsidRPr="00F93577" w14:paraId="019E1510" w14:textId="77777777" w:rsidTr="009612A6">
        <w:trPr>
          <w:trHeight w:val="276"/>
        </w:trPr>
        <w:tc>
          <w:tcPr>
            <w:tcW w:w="3539" w:type="dxa"/>
            <w:noWrap/>
            <w:hideMark/>
          </w:tcPr>
          <w:p w14:paraId="113D0F54"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Mzdový náklad</w:t>
            </w:r>
          </w:p>
        </w:tc>
        <w:tc>
          <w:tcPr>
            <w:tcW w:w="5528" w:type="dxa"/>
          </w:tcPr>
          <w:p w14:paraId="6E81B8DE"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Mzdové účtovníctvo</w:t>
            </w:r>
          </w:p>
        </w:tc>
      </w:tr>
    </w:tbl>
    <w:p w14:paraId="289AB665" w14:textId="77777777" w:rsidR="00B2692C" w:rsidRPr="00F93577" w:rsidRDefault="00B2692C" w:rsidP="00B2692C"/>
    <w:p w14:paraId="52540148" w14:textId="77777777" w:rsidR="00B2692C" w:rsidRDefault="00B2692C" w:rsidP="00B2692C">
      <w:pPr>
        <w:pStyle w:val="Nadpis3"/>
      </w:pPr>
      <w:bookmarkStart w:id="8" w:name="_Toc90977836"/>
      <w:r>
        <w:t>Prípad 2 – Úspora prevádzkových nákladov</w:t>
      </w:r>
      <w:bookmarkEnd w:id="8"/>
    </w:p>
    <w:p w14:paraId="7BC1FC29" w14:textId="77777777" w:rsidR="00B2692C" w:rsidRDefault="00B2692C" w:rsidP="00B2692C">
      <w:r>
        <w:t xml:space="preserve">Tento prípad je zameraný na kalkuláciu nákladov (či už pozitívnu alebo negatívnu) vyplývajúcich z porovnania nákladov na prevádzku nového zariadenia / infraštruktúr s nákladmi na prevádzku </w:t>
      </w:r>
      <w:r>
        <w:lastRenderedPageBreak/>
        <w:t>existujúceho zariadenia. Jedná sa o prípad, kedy prevádzkové náklady súčasného riešenia sú zaťažené neobvykle vysokými nákladmi napr. na opravy a údržbu z titulu zastarania dotknutých zariadení.</w:t>
      </w:r>
    </w:p>
    <w:p w14:paraId="5BF3A0B0" w14:textId="77777777" w:rsidR="00B2692C" w:rsidRDefault="00B2692C" w:rsidP="00B2692C">
      <w:pPr>
        <w:pStyle w:val="Nadpis4"/>
      </w:pPr>
      <w:r>
        <w:t>Potrebné premenné na kalkuláciu prínosov</w:t>
      </w:r>
    </w:p>
    <w:p w14:paraId="2C685A14" w14:textId="77777777" w:rsidR="00B2692C" w:rsidRDefault="00B2692C" w:rsidP="003819A3">
      <w:pPr>
        <w:pStyle w:val="Odsekzoznamu"/>
        <w:numPr>
          <w:ilvl w:val="0"/>
          <w:numId w:val="2"/>
        </w:numPr>
        <w:jc w:val="both"/>
      </w:pPr>
      <w:r>
        <w:t>Identifikovanie zariadenia / infraštruktúry</w:t>
      </w:r>
    </w:p>
    <w:p w14:paraId="3A547873" w14:textId="77777777" w:rsidR="00B2692C" w:rsidRDefault="00B2692C" w:rsidP="003819A3">
      <w:pPr>
        <w:pStyle w:val="Odsekzoznamu"/>
        <w:numPr>
          <w:ilvl w:val="0"/>
          <w:numId w:val="2"/>
        </w:numPr>
        <w:jc w:val="both"/>
      </w:pPr>
      <w:r>
        <w:t>Identifikovanie AS IS nákladov na existujúce riešenie:</w:t>
      </w:r>
    </w:p>
    <w:p w14:paraId="559D9CAE" w14:textId="77777777" w:rsidR="00B2692C" w:rsidRDefault="00B2692C" w:rsidP="003819A3">
      <w:pPr>
        <w:pStyle w:val="Odsekzoznamu"/>
        <w:numPr>
          <w:ilvl w:val="1"/>
          <w:numId w:val="2"/>
        </w:numPr>
        <w:jc w:val="both"/>
      </w:pPr>
      <w:r>
        <w:t> prevádzkové bežné výdavky</w:t>
      </w:r>
    </w:p>
    <w:p w14:paraId="1A90B54D" w14:textId="77777777" w:rsidR="00B2692C" w:rsidRDefault="00B2692C" w:rsidP="003819A3">
      <w:pPr>
        <w:pStyle w:val="Odsekzoznamu"/>
        <w:numPr>
          <w:ilvl w:val="0"/>
          <w:numId w:val="2"/>
        </w:numPr>
        <w:jc w:val="both"/>
      </w:pPr>
      <w:r>
        <w:t>Identifikovanie TO BE nákladov na prevádzku nového riešenia:</w:t>
      </w:r>
    </w:p>
    <w:p w14:paraId="3C8808A4" w14:textId="77777777" w:rsidR="00B2692C" w:rsidRDefault="00B2692C" w:rsidP="003819A3">
      <w:pPr>
        <w:pStyle w:val="Odsekzoznamu"/>
        <w:numPr>
          <w:ilvl w:val="1"/>
          <w:numId w:val="2"/>
        </w:numPr>
        <w:jc w:val="both"/>
      </w:pPr>
      <w:r>
        <w:t> prevádzkové bežné výdavky</w:t>
      </w:r>
    </w:p>
    <w:p w14:paraId="49C041DC" w14:textId="77777777" w:rsidR="00B2692C" w:rsidRDefault="00B2692C" w:rsidP="003819A3">
      <w:pPr>
        <w:pStyle w:val="Odsekzoznamu"/>
        <w:numPr>
          <w:ilvl w:val="1"/>
          <w:numId w:val="2"/>
        </w:numPr>
        <w:jc w:val="both"/>
      </w:pPr>
      <w:r>
        <w:t> opravy a udržiavanie v čase (odhady)</w:t>
      </w:r>
    </w:p>
    <w:p w14:paraId="6FAB7D4B" w14:textId="77777777" w:rsidR="00B2692C" w:rsidRDefault="00B2692C" w:rsidP="00B2692C">
      <w:pPr>
        <w:pStyle w:val="Nadpis4"/>
      </w:pPr>
      <w:r>
        <w:t>Spôsob kalkulácie prínosov</w:t>
      </w:r>
    </w:p>
    <w:p w14:paraId="20F2A76D" w14:textId="77777777" w:rsidR="00B2692C" w:rsidRDefault="00B2692C" w:rsidP="00B2692C">
      <w:r>
        <w:t>Kalkulácia je založená na porovnaní AS IS prevádzkových nákladov ako kumulatívnych nákladov v čase počas 10tich rokov a sumy nákladov na obstaranie riešenia a jeho prevádzky v horizonte 10tich rokov. Do komplexného porovnania nákladov tak vstupuje tento rozdiel buď ako pozitívny (šetrenie prevádzkových nákladov) alebo ako negatívny (budúce prevádzkové náklady sú vyššie) faktor vyhodnotenia.</w:t>
      </w:r>
    </w:p>
    <w:p w14:paraId="180DB9C5" w14:textId="77777777" w:rsidR="00B2692C" w:rsidRDefault="00B2692C" w:rsidP="00B2692C">
      <w:pPr>
        <w:pStyle w:val="Nadpis4"/>
      </w:pPr>
      <w:r>
        <w:t>Potenciálne zdroje údajov v </w:t>
      </w:r>
      <w:proofErr w:type="spellStart"/>
      <w:r>
        <w:t>inicializačnej</w:t>
      </w:r>
      <w:proofErr w:type="spellEnd"/>
      <w:r>
        <w:t xml:space="preserve"> fáze</w:t>
      </w:r>
    </w:p>
    <w:tbl>
      <w:tblPr>
        <w:tblStyle w:val="Mriekatabukysvetl"/>
        <w:tblW w:w="9067" w:type="dxa"/>
        <w:tblLook w:val="04A0" w:firstRow="1" w:lastRow="0" w:firstColumn="1" w:lastColumn="0" w:noHBand="0" w:noVBand="1"/>
      </w:tblPr>
      <w:tblGrid>
        <w:gridCol w:w="3539"/>
        <w:gridCol w:w="5528"/>
      </w:tblGrid>
      <w:tr w:rsidR="00B2692C" w:rsidRPr="00755B64" w14:paraId="4D716762" w14:textId="77777777" w:rsidTr="009612A6">
        <w:trPr>
          <w:trHeight w:val="276"/>
        </w:trPr>
        <w:tc>
          <w:tcPr>
            <w:tcW w:w="3539" w:type="dxa"/>
            <w:shd w:val="clear" w:color="auto" w:fill="DEEAF6" w:themeFill="accent1" w:themeFillTint="33"/>
            <w:noWrap/>
          </w:tcPr>
          <w:p w14:paraId="619C84BE"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Položka kalkulácie</w:t>
            </w:r>
          </w:p>
        </w:tc>
        <w:tc>
          <w:tcPr>
            <w:tcW w:w="5528" w:type="dxa"/>
            <w:shd w:val="clear" w:color="auto" w:fill="DEEAF6" w:themeFill="accent1" w:themeFillTint="33"/>
          </w:tcPr>
          <w:p w14:paraId="4C9D667B"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Zdroj údajov</w:t>
            </w:r>
          </w:p>
        </w:tc>
      </w:tr>
      <w:tr w:rsidR="00B2692C" w:rsidRPr="00755B64" w14:paraId="638119D7" w14:textId="77777777" w:rsidTr="009612A6">
        <w:trPr>
          <w:trHeight w:val="276"/>
        </w:trPr>
        <w:tc>
          <w:tcPr>
            <w:tcW w:w="3539" w:type="dxa"/>
            <w:noWrap/>
            <w:hideMark/>
          </w:tcPr>
          <w:p w14:paraId="1297E742"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 xml:space="preserve">Ročné prevádzkové náklady - AS IS </w:t>
            </w:r>
            <w:r>
              <w:rPr>
                <w:rFonts w:eastAsia="Times New Roman" w:cs="Calibri Light"/>
                <w:color w:val="000000"/>
                <w:sz w:val="20"/>
                <w:szCs w:val="20"/>
                <w:lang w:eastAsia="sk-SK"/>
              </w:rPr>
              <w:t>–</w:t>
            </w:r>
            <w:r w:rsidRPr="003F574C">
              <w:rPr>
                <w:rFonts w:eastAsia="Times New Roman" w:cs="Calibri Light"/>
                <w:color w:val="000000"/>
                <w:sz w:val="20"/>
                <w:szCs w:val="20"/>
                <w:lang w:eastAsia="sk-SK"/>
              </w:rPr>
              <w:t xml:space="preserve"> SLA</w:t>
            </w:r>
          </w:p>
        </w:tc>
        <w:tc>
          <w:tcPr>
            <w:tcW w:w="5528" w:type="dxa"/>
          </w:tcPr>
          <w:p w14:paraId="688F7B7B"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Jedná sa o údaje z účtovníctva, ktoré sa viažu na súčasné zabezpečenie prevádzky</w:t>
            </w:r>
          </w:p>
        </w:tc>
      </w:tr>
      <w:tr w:rsidR="00B2692C" w:rsidRPr="00755B64" w14:paraId="5FB97BF7" w14:textId="77777777" w:rsidTr="009612A6">
        <w:trPr>
          <w:trHeight w:val="276"/>
        </w:trPr>
        <w:tc>
          <w:tcPr>
            <w:tcW w:w="3539" w:type="dxa"/>
            <w:noWrap/>
            <w:hideMark/>
          </w:tcPr>
          <w:p w14:paraId="6AC9261E"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Prevádzkové náklady - TO BE - SLA %</w:t>
            </w:r>
          </w:p>
        </w:tc>
        <w:tc>
          <w:tcPr>
            <w:tcW w:w="5528" w:type="dxa"/>
          </w:tcPr>
          <w:p w14:paraId="41C84502" w14:textId="77777777" w:rsidR="00B2692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Jedná sa o stanovenie %, ktoré vychádza z príručiek na kalkuláciu SLA nákladov</w:t>
            </w:r>
          </w:p>
          <w:p w14:paraId="3B0C3E29"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Prípadne je potrebné použiť náklady z obdobných projektov na zabezpečenie prevádzky</w:t>
            </w:r>
          </w:p>
        </w:tc>
      </w:tr>
      <w:tr w:rsidR="00B2692C" w:rsidRPr="00755B64" w14:paraId="59930B8C" w14:textId="77777777" w:rsidTr="009612A6">
        <w:trPr>
          <w:trHeight w:val="276"/>
        </w:trPr>
        <w:tc>
          <w:tcPr>
            <w:tcW w:w="3539" w:type="dxa"/>
            <w:noWrap/>
            <w:hideMark/>
          </w:tcPr>
          <w:p w14:paraId="69D5A119" w14:textId="77777777" w:rsidR="00B2692C" w:rsidRPr="003F574C" w:rsidRDefault="00B2692C" w:rsidP="009612A6">
            <w:pPr>
              <w:rPr>
                <w:rFonts w:eastAsia="Times New Roman" w:cs="Calibri Light"/>
                <w:color w:val="000000"/>
                <w:sz w:val="20"/>
                <w:szCs w:val="20"/>
                <w:lang w:eastAsia="sk-SK"/>
              </w:rPr>
            </w:pPr>
            <w:r w:rsidRPr="003F574C">
              <w:rPr>
                <w:rFonts w:eastAsia="Times New Roman" w:cs="Calibri Light"/>
                <w:color w:val="000000"/>
                <w:sz w:val="20"/>
                <w:szCs w:val="20"/>
                <w:lang w:eastAsia="sk-SK"/>
              </w:rPr>
              <w:t xml:space="preserve">Ročné prevádzkové náklady - TO BE </w:t>
            </w:r>
            <w:r>
              <w:rPr>
                <w:rFonts w:eastAsia="Times New Roman" w:cs="Calibri Light"/>
                <w:color w:val="000000"/>
                <w:sz w:val="20"/>
                <w:szCs w:val="20"/>
                <w:lang w:eastAsia="sk-SK"/>
              </w:rPr>
              <w:t>–</w:t>
            </w:r>
            <w:r w:rsidRPr="003F574C">
              <w:rPr>
                <w:rFonts w:eastAsia="Times New Roman" w:cs="Calibri Light"/>
                <w:color w:val="000000"/>
                <w:sz w:val="20"/>
                <w:szCs w:val="20"/>
                <w:lang w:eastAsia="sk-SK"/>
              </w:rPr>
              <w:t xml:space="preserve"> ROZVOJ</w:t>
            </w:r>
          </w:p>
        </w:tc>
        <w:tc>
          <w:tcPr>
            <w:tcW w:w="5528" w:type="dxa"/>
          </w:tcPr>
          <w:p w14:paraId="43922B47" w14:textId="77777777" w:rsidR="00B2692C" w:rsidRPr="003F574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Jedná sa o odhad nákladov buď na základe % odporúčaného UPH a metodikami alebo stanovenej hodnoty z obdobných realizovaných projektov</w:t>
            </w:r>
          </w:p>
        </w:tc>
      </w:tr>
    </w:tbl>
    <w:p w14:paraId="792EE202" w14:textId="77777777" w:rsidR="00B2692C" w:rsidRDefault="00B2692C" w:rsidP="00B2692C">
      <w:pPr>
        <w:pStyle w:val="Nadpis3"/>
      </w:pPr>
      <w:bookmarkStart w:id="9" w:name="_Toc90977837"/>
      <w:r>
        <w:t>Prípad 3 – Zníženie rizika výpadku služby</w:t>
      </w:r>
      <w:bookmarkEnd w:id="9"/>
    </w:p>
    <w:p w14:paraId="16A15300" w14:textId="77777777" w:rsidR="00B2692C" w:rsidRDefault="00B2692C" w:rsidP="00B2692C">
      <w:r>
        <w:t>Tento prípad je založený na kalkulácii nákladov na strane občanov vyjadrených časom, ktorý občan vynaloží v snahe zrealizovať službu, ktorá sa stane počas snahy  vykonať službu „nedostupnou“. Takto vynaloží na dosiahnutie služby viac času ako v prípade, ak by služba bola bezproblémová. Základným predpokladom je stanovenie bežného (priemerného) času trvania vybavenia služby a „prestojov“, ktoré sú spôsobené nedostupnosťou. Rovnako je potrebné stanoviť aj % výpadku služby v časovom horizonte.</w:t>
      </w:r>
    </w:p>
    <w:p w14:paraId="45F9EC9C" w14:textId="77777777" w:rsidR="00B2692C" w:rsidRDefault="00B2692C" w:rsidP="00B2692C">
      <w:pPr>
        <w:pStyle w:val="Nadpis4"/>
      </w:pPr>
      <w:r>
        <w:t>Potrebné premenné na kalkuláciu prínosov</w:t>
      </w:r>
    </w:p>
    <w:p w14:paraId="1FF6ECB3" w14:textId="77777777" w:rsidR="00B2692C" w:rsidRDefault="00B2692C" w:rsidP="003819A3">
      <w:pPr>
        <w:pStyle w:val="Odsekzoznamu"/>
        <w:numPr>
          <w:ilvl w:val="0"/>
          <w:numId w:val="2"/>
        </w:numPr>
        <w:jc w:val="both"/>
      </w:pPr>
      <w:r>
        <w:t>Identifikovanie zariadenia / infraštruktúry</w:t>
      </w:r>
    </w:p>
    <w:p w14:paraId="5EE34234" w14:textId="77777777" w:rsidR="00B2692C" w:rsidRDefault="00B2692C" w:rsidP="003819A3">
      <w:pPr>
        <w:pStyle w:val="Odsekzoznamu"/>
        <w:numPr>
          <w:ilvl w:val="0"/>
          <w:numId w:val="2"/>
        </w:numPr>
        <w:jc w:val="both"/>
      </w:pPr>
      <w:r>
        <w:t>Identifikovanie dotknutej služby</w:t>
      </w:r>
    </w:p>
    <w:p w14:paraId="4F6FA10D" w14:textId="77777777" w:rsidR="00B2692C" w:rsidRDefault="00B2692C" w:rsidP="003819A3">
      <w:pPr>
        <w:pStyle w:val="Odsekzoznamu"/>
        <w:numPr>
          <w:ilvl w:val="0"/>
          <w:numId w:val="2"/>
        </w:numPr>
        <w:jc w:val="both"/>
      </w:pPr>
      <w:r>
        <w:t>Identifikovanie parametrov služby:</w:t>
      </w:r>
    </w:p>
    <w:p w14:paraId="0882599A" w14:textId="77777777" w:rsidR="00B2692C" w:rsidRDefault="00B2692C" w:rsidP="003819A3">
      <w:pPr>
        <w:pStyle w:val="Odsekzoznamu"/>
        <w:numPr>
          <w:ilvl w:val="1"/>
          <w:numId w:val="2"/>
        </w:numPr>
        <w:jc w:val="both"/>
      </w:pPr>
      <w:r>
        <w:t>počet podaní</w:t>
      </w:r>
    </w:p>
    <w:p w14:paraId="0BB40F50" w14:textId="77777777" w:rsidR="00B2692C" w:rsidRDefault="00B2692C" w:rsidP="003819A3">
      <w:pPr>
        <w:pStyle w:val="Odsekzoznamu"/>
        <w:numPr>
          <w:ilvl w:val="1"/>
          <w:numId w:val="2"/>
        </w:numPr>
        <w:jc w:val="both"/>
      </w:pPr>
      <w:r>
        <w:t>dĺžka trvania služby – aktívny čas používateľa (priemerný čas trvania služby)</w:t>
      </w:r>
    </w:p>
    <w:p w14:paraId="15BC238B" w14:textId="77777777" w:rsidR="00B2692C" w:rsidRDefault="00B2692C" w:rsidP="003819A3">
      <w:pPr>
        <w:pStyle w:val="Odsekzoznamu"/>
        <w:numPr>
          <w:ilvl w:val="1"/>
          <w:numId w:val="2"/>
        </w:numPr>
        <w:jc w:val="both"/>
      </w:pPr>
      <w:r>
        <w:t>% výpadku služby z počtu podaní</w:t>
      </w:r>
    </w:p>
    <w:p w14:paraId="6DAC36CD" w14:textId="77777777" w:rsidR="00B2692C" w:rsidRDefault="00B2692C" w:rsidP="003819A3">
      <w:pPr>
        <w:pStyle w:val="Odsekzoznamu"/>
        <w:numPr>
          <w:ilvl w:val="1"/>
          <w:numId w:val="2"/>
        </w:numPr>
        <w:jc w:val="both"/>
      </w:pPr>
      <w:r>
        <w:t>% hodnoty „prestoja“ – napr. 50% znamená, že je potrebných o 50% viac času na dokončenie služby</w:t>
      </w:r>
    </w:p>
    <w:p w14:paraId="02BF563B" w14:textId="77777777" w:rsidR="00B2692C" w:rsidRDefault="00B2692C" w:rsidP="003819A3">
      <w:pPr>
        <w:pStyle w:val="Odsekzoznamu"/>
        <w:numPr>
          <w:ilvl w:val="0"/>
          <w:numId w:val="2"/>
        </w:numPr>
        <w:jc w:val="both"/>
      </w:pPr>
      <w:r>
        <w:t>OPTIONAL - Identifikovanie prípadných budúcich „prestojov“ v čase</w:t>
      </w:r>
    </w:p>
    <w:p w14:paraId="015BBD60" w14:textId="77777777" w:rsidR="00B2692C" w:rsidRDefault="00B2692C" w:rsidP="003819A3">
      <w:pPr>
        <w:pStyle w:val="Odsekzoznamu"/>
        <w:numPr>
          <w:ilvl w:val="0"/>
          <w:numId w:val="2"/>
        </w:numPr>
        <w:jc w:val="both"/>
      </w:pPr>
      <w:r>
        <w:t>Identifikovanie nákladov na strane používateľa služby</w:t>
      </w:r>
    </w:p>
    <w:p w14:paraId="377CB83C" w14:textId="77777777" w:rsidR="00B2692C" w:rsidRDefault="00B2692C" w:rsidP="00B2692C">
      <w:pPr>
        <w:pStyle w:val="Nadpis4"/>
      </w:pPr>
      <w:r>
        <w:lastRenderedPageBreak/>
        <w:t>Spôsob kalkulácie prínosov</w:t>
      </w:r>
    </w:p>
    <w:p w14:paraId="46B4B4A6" w14:textId="77777777" w:rsidR="00B2692C" w:rsidRDefault="00B2692C" w:rsidP="00B2692C">
      <w:r>
        <w:t xml:space="preserve">Kalkulácia je založená na zadefinovaní nákladov, ktoré musí konzument služby vynaložiť navyše, aby dokončil realizovanú službu. Jedná sa vlastne o vyčíslenie nákladov na čas potrebný na dokončenie služby. Táto hodnota vstupuje do komplexného vyhodnotenia nákladov výmeny IKT alebo SW, ktoré sú potrebné pre plynulé zachovanie služby. </w:t>
      </w:r>
    </w:p>
    <w:p w14:paraId="1D832FC1" w14:textId="77777777" w:rsidR="00B2692C" w:rsidRDefault="00B2692C" w:rsidP="00B2692C">
      <w:pPr>
        <w:pStyle w:val="Nadpis4"/>
      </w:pPr>
      <w:r>
        <w:t>Potenciálne zdroje údajov v </w:t>
      </w:r>
      <w:proofErr w:type="spellStart"/>
      <w:r>
        <w:t>inicializačnej</w:t>
      </w:r>
      <w:proofErr w:type="spellEnd"/>
      <w:r>
        <w:t xml:space="preserve"> fáze</w:t>
      </w:r>
    </w:p>
    <w:tbl>
      <w:tblPr>
        <w:tblStyle w:val="Mriekatabukysvetl"/>
        <w:tblW w:w="9067" w:type="dxa"/>
        <w:tblLook w:val="04A0" w:firstRow="1" w:lastRow="0" w:firstColumn="1" w:lastColumn="0" w:noHBand="0" w:noVBand="1"/>
      </w:tblPr>
      <w:tblGrid>
        <w:gridCol w:w="3539"/>
        <w:gridCol w:w="5528"/>
      </w:tblGrid>
      <w:tr w:rsidR="00B2692C" w:rsidRPr="0021645E" w14:paraId="74D659F8" w14:textId="77777777" w:rsidTr="009612A6">
        <w:trPr>
          <w:trHeight w:val="276"/>
        </w:trPr>
        <w:tc>
          <w:tcPr>
            <w:tcW w:w="3539" w:type="dxa"/>
            <w:shd w:val="clear" w:color="auto" w:fill="DEEAF6" w:themeFill="accent1" w:themeFillTint="33"/>
            <w:noWrap/>
          </w:tcPr>
          <w:p w14:paraId="4CCBC4B9"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Položka kalkulácie</w:t>
            </w:r>
          </w:p>
        </w:tc>
        <w:tc>
          <w:tcPr>
            <w:tcW w:w="5528" w:type="dxa"/>
            <w:shd w:val="clear" w:color="auto" w:fill="DEEAF6" w:themeFill="accent1" w:themeFillTint="33"/>
          </w:tcPr>
          <w:p w14:paraId="4046BD3B"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Zdroj údajov</w:t>
            </w:r>
          </w:p>
        </w:tc>
      </w:tr>
      <w:tr w:rsidR="00B2692C" w:rsidRPr="00755B64" w14:paraId="376A2DE6" w14:textId="77777777" w:rsidTr="009612A6">
        <w:trPr>
          <w:trHeight w:val="276"/>
        </w:trPr>
        <w:tc>
          <w:tcPr>
            <w:tcW w:w="3539" w:type="dxa"/>
            <w:noWrap/>
            <w:vAlign w:val="bottom"/>
          </w:tcPr>
          <w:p w14:paraId="5E46819E" w14:textId="77777777" w:rsidR="00B2692C" w:rsidRPr="00317352" w:rsidRDefault="00B2692C" w:rsidP="009612A6">
            <w:pPr>
              <w:rPr>
                <w:rFonts w:eastAsia="Times New Roman" w:cs="Calibri Light"/>
                <w:color w:val="000000"/>
                <w:sz w:val="20"/>
                <w:szCs w:val="20"/>
                <w:lang w:eastAsia="sk-SK"/>
              </w:rPr>
            </w:pPr>
            <w:r w:rsidRPr="003F574C">
              <w:rPr>
                <w:rFonts w:cs="Calibri Light"/>
                <w:color w:val="000000"/>
              </w:rPr>
              <w:t>Nárast výpadku služby v %</w:t>
            </w:r>
          </w:p>
        </w:tc>
        <w:tc>
          <w:tcPr>
            <w:tcW w:w="5528" w:type="dxa"/>
          </w:tcPr>
          <w:p w14:paraId="51E7746C"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Prevádzkové štatistiky dostupnosti služieb</w:t>
            </w:r>
          </w:p>
        </w:tc>
      </w:tr>
      <w:tr w:rsidR="00B2692C" w:rsidRPr="00755B64" w14:paraId="52EF0158" w14:textId="77777777" w:rsidTr="009612A6">
        <w:trPr>
          <w:trHeight w:val="276"/>
        </w:trPr>
        <w:tc>
          <w:tcPr>
            <w:tcW w:w="3539" w:type="dxa"/>
            <w:noWrap/>
            <w:vAlign w:val="bottom"/>
          </w:tcPr>
          <w:p w14:paraId="7F6FA226" w14:textId="77777777" w:rsidR="00B2692C" w:rsidRPr="00317352" w:rsidRDefault="00B2692C" w:rsidP="009612A6">
            <w:pPr>
              <w:rPr>
                <w:rFonts w:eastAsia="Times New Roman" w:cs="Calibri Light"/>
                <w:color w:val="000000"/>
                <w:sz w:val="20"/>
                <w:szCs w:val="20"/>
                <w:lang w:eastAsia="sk-SK"/>
              </w:rPr>
            </w:pPr>
            <w:r w:rsidRPr="003F574C">
              <w:rPr>
                <w:rFonts w:cs="Calibri Light"/>
                <w:color w:val="000000"/>
              </w:rPr>
              <w:t>Priemerná hodinová mzda</w:t>
            </w:r>
          </w:p>
        </w:tc>
        <w:tc>
          <w:tcPr>
            <w:tcW w:w="5528" w:type="dxa"/>
          </w:tcPr>
          <w:p w14:paraId="78AC8496" w14:textId="77777777" w:rsidR="00B2692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Hodnota stanovená ako priemerná mzda v národnom hospodárstve v danom čase (napr. Q-1) vychádzajúca z údajov Štatistického úradu</w:t>
            </w:r>
          </w:p>
          <w:p w14:paraId="0D676735"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V prípade, ak sa jedná o špecifickú skupinu ľudí, je potrebné hodnotu revidovať</w:t>
            </w:r>
          </w:p>
        </w:tc>
      </w:tr>
      <w:tr w:rsidR="00B2692C" w:rsidRPr="00755B64" w14:paraId="7B077B51" w14:textId="77777777" w:rsidTr="009612A6">
        <w:trPr>
          <w:trHeight w:val="276"/>
        </w:trPr>
        <w:tc>
          <w:tcPr>
            <w:tcW w:w="3539" w:type="dxa"/>
            <w:noWrap/>
            <w:vAlign w:val="bottom"/>
          </w:tcPr>
          <w:p w14:paraId="36136370" w14:textId="77777777" w:rsidR="00B2692C" w:rsidRPr="00317352" w:rsidRDefault="00B2692C" w:rsidP="009612A6">
            <w:pPr>
              <w:rPr>
                <w:rFonts w:eastAsia="Times New Roman" w:cs="Calibri Light"/>
                <w:color w:val="000000"/>
                <w:sz w:val="20"/>
                <w:szCs w:val="20"/>
                <w:lang w:eastAsia="sk-SK"/>
              </w:rPr>
            </w:pPr>
            <w:r w:rsidRPr="003F574C">
              <w:rPr>
                <w:rFonts w:cs="Calibri Light"/>
                <w:color w:val="000000"/>
              </w:rPr>
              <w:t>Valorizácia mzdy v %</w:t>
            </w:r>
          </w:p>
        </w:tc>
        <w:tc>
          <w:tcPr>
            <w:tcW w:w="5528" w:type="dxa"/>
          </w:tcPr>
          <w:p w14:paraId="20DA8AB1"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Hodnota vychádzajúca z oficiálnych štatistík SR v tejto oblasti</w:t>
            </w:r>
          </w:p>
        </w:tc>
      </w:tr>
      <w:tr w:rsidR="00B2692C" w:rsidRPr="00755B64" w14:paraId="628D43B8" w14:textId="77777777" w:rsidTr="009612A6">
        <w:trPr>
          <w:trHeight w:val="276"/>
        </w:trPr>
        <w:tc>
          <w:tcPr>
            <w:tcW w:w="3539" w:type="dxa"/>
            <w:noWrap/>
          </w:tcPr>
          <w:p w14:paraId="6912DC84" w14:textId="77777777" w:rsidR="00B2692C" w:rsidRPr="00317352" w:rsidRDefault="00B2692C" w:rsidP="009612A6">
            <w:pPr>
              <w:rPr>
                <w:rFonts w:cs="Calibri Light"/>
                <w:color w:val="000000"/>
              </w:rPr>
            </w:pPr>
            <w:r w:rsidRPr="002747B7">
              <w:t>Počet podaní - ročne</w:t>
            </w:r>
          </w:p>
        </w:tc>
        <w:tc>
          <w:tcPr>
            <w:tcW w:w="5528" w:type="dxa"/>
          </w:tcPr>
          <w:p w14:paraId="13A2AB2B"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Prevádzkové štatistiky o početnosti realizácie služby</w:t>
            </w:r>
          </w:p>
        </w:tc>
      </w:tr>
      <w:tr w:rsidR="00B2692C" w:rsidRPr="00755B64" w14:paraId="5C408713" w14:textId="77777777" w:rsidTr="009612A6">
        <w:trPr>
          <w:trHeight w:val="276"/>
        </w:trPr>
        <w:tc>
          <w:tcPr>
            <w:tcW w:w="3539" w:type="dxa"/>
            <w:noWrap/>
          </w:tcPr>
          <w:p w14:paraId="606BE566" w14:textId="77777777" w:rsidR="00B2692C" w:rsidRPr="00317352" w:rsidRDefault="00B2692C" w:rsidP="009612A6">
            <w:pPr>
              <w:rPr>
                <w:rFonts w:cs="Calibri Light"/>
                <w:color w:val="000000"/>
              </w:rPr>
            </w:pPr>
            <w:r w:rsidRPr="002747B7">
              <w:t>Dĺžka trvania služby - min</w:t>
            </w:r>
          </w:p>
        </w:tc>
        <w:tc>
          <w:tcPr>
            <w:tcW w:w="5528" w:type="dxa"/>
          </w:tcPr>
          <w:p w14:paraId="264C680D"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Prevádzkové štatistiky o dĺžke trvania výkonu služby</w:t>
            </w:r>
          </w:p>
        </w:tc>
      </w:tr>
      <w:tr w:rsidR="00B2692C" w:rsidRPr="00755B64" w14:paraId="78883DE9" w14:textId="77777777" w:rsidTr="009612A6">
        <w:trPr>
          <w:trHeight w:val="276"/>
        </w:trPr>
        <w:tc>
          <w:tcPr>
            <w:tcW w:w="3539" w:type="dxa"/>
            <w:noWrap/>
          </w:tcPr>
          <w:p w14:paraId="328AC144" w14:textId="77777777" w:rsidR="00B2692C" w:rsidRPr="00317352" w:rsidRDefault="00B2692C" w:rsidP="009612A6">
            <w:pPr>
              <w:rPr>
                <w:rFonts w:cs="Calibri Light"/>
                <w:color w:val="000000"/>
              </w:rPr>
            </w:pPr>
            <w:r w:rsidRPr="002747B7">
              <w:t>% Výpadku služby</w:t>
            </w:r>
          </w:p>
        </w:tc>
        <w:tc>
          <w:tcPr>
            <w:tcW w:w="5528" w:type="dxa"/>
          </w:tcPr>
          <w:p w14:paraId="10250D9F"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Prevádzkové štatistiky dostupnosti služieb</w:t>
            </w:r>
          </w:p>
        </w:tc>
      </w:tr>
      <w:tr w:rsidR="00B2692C" w:rsidRPr="00755B64" w14:paraId="5855A0F3" w14:textId="77777777" w:rsidTr="009612A6">
        <w:trPr>
          <w:trHeight w:val="276"/>
        </w:trPr>
        <w:tc>
          <w:tcPr>
            <w:tcW w:w="3539" w:type="dxa"/>
            <w:noWrap/>
          </w:tcPr>
          <w:p w14:paraId="1DBC19D8" w14:textId="77777777" w:rsidR="00B2692C" w:rsidRPr="00317352" w:rsidRDefault="00B2692C" w:rsidP="009612A6">
            <w:pPr>
              <w:rPr>
                <w:rFonts w:cs="Calibri Light"/>
                <w:color w:val="000000"/>
              </w:rPr>
            </w:pPr>
            <w:r w:rsidRPr="002747B7">
              <w:t>% Predĺženia služby</w:t>
            </w:r>
          </w:p>
        </w:tc>
        <w:tc>
          <w:tcPr>
            <w:tcW w:w="5528" w:type="dxa"/>
          </w:tcPr>
          <w:p w14:paraId="5438333B" w14:textId="77777777" w:rsidR="00B2692C"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Hodnota trvania výpadku služby</w:t>
            </w:r>
          </w:p>
          <w:p w14:paraId="0B124E61"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w:t>
            </w:r>
          </w:p>
        </w:tc>
      </w:tr>
    </w:tbl>
    <w:p w14:paraId="680C6F94" w14:textId="77777777" w:rsidR="00B2692C" w:rsidRDefault="00B2692C" w:rsidP="00B2692C">
      <w:pPr>
        <w:pStyle w:val="Nadpis2"/>
      </w:pPr>
      <w:bookmarkStart w:id="10" w:name="_Toc90977838"/>
      <w:r>
        <w:t>Prínosy vyplývajúce z optimalizácie / zefektívnenie výkonu agendy vďaka projektom</w:t>
      </w:r>
      <w:bookmarkEnd w:id="10"/>
    </w:p>
    <w:p w14:paraId="402170C9" w14:textId="77777777" w:rsidR="00B2692C" w:rsidRDefault="00B2692C" w:rsidP="00B2692C">
      <w:r>
        <w:t xml:space="preserve">V tejto časti je popísaná štruktúra prínosov a ich výpočtu pre projekty, ktoré sú zamerané na zefektívnenie výkonu realizovanej agendy a/alebo zníženie nákladov na strane zákazníka (PO/FO) a to v forme skrátenia času trvania procesov. Rovnako je možné v tejto časti kalkulovať aj prínosy, ktoré majú aj iný charakter ako časový. </w:t>
      </w:r>
    </w:p>
    <w:p w14:paraId="5DF097B3" w14:textId="77777777" w:rsidR="00B2692C" w:rsidRDefault="00B2692C" w:rsidP="00B2692C">
      <w:r>
        <w:t>V nasledujúcej časti sú popísané 3 základné možnosti ako kalkulovať dopad realizovaného projektu rozvoja na zefektívnenie výkonu agendy. Jedná sa o nasledovné prípady:</w:t>
      </w:r>
    </w:p>
    <w:p w14:paraId="71F88F35" w14:textId="77777777" w:rsidR="00B2692C" w:rsidRDefault="00B2692C" w:rsidP="003819A3">
      <w:pPr>
        <w:pStyle w:val="Odsekzoznamu"/>
        <w:numPr>
          <w:ilvl w:val="0"/>
          <w:numId w:val="3"/>
        </w:numPr>
        <w:jc w:val="both"/>
      </w:pPr>
      <w:r>
        <w:t>Úspora nákladov na strane štátu</w:t>
      </w:r>
    </w:p>
    <w:p w14:paraId="679AD4A5" w14:textId="77777777" w:rsidR="00B2692C" w:rsidRDefault="00B2692C" w:rsidP="003819A3">
      <w:pPr>
        <w:pStyle w:val="Odsekzoznamu"/>
        <w:numPr>
          <w:ilvl w:val="0"/>
          <w:numId w:val="3"/>
        </w:numPr>
        <w:jc w:val="both"/>
      </w:pPr>
      <w:r>
        <w:t>Úspora nákladov klienta</w:t>
      </w:r>
    </w:p>
    <w:p w14:paraId="39DCA977" w14:textId="77777777" w:rsidR="00B2692C" w:rsidRDefault="00B2692C" w:rsidP="003819A3">
      <w:pPr>
        <w:pStyle w:val="Odsekzoznamu"/>
        <w:numPr>
          <w:ilvl w:val="0"/>
          <w:numId w:val="3"/>
        </w:numPr>
        <w:jc w:val="both"/>
      </w:pPr>
      <w:r>
        <w:t>Kvalitatívna úspora</w:t>
      </w:r>
    </w:p>
    <w:p w14:paraId="615E06CE" w14:textId="77777777" w:rsidR="00B2692C" w:rsidRPr="009652AA" w:rsidRDefault="00B2692C" w:rsidP="00B2692C">
      <w:r>
        <w:t xml:space="preserve">Táto kalkulácia predstavuje kalkuláciu pre jednu agendu vyjadrenú počtom požiadaviek v systéme resp. počtom realizovaných úkonov / služieb. V prípade, ak sú realizáciou projektu dotknuté viaceré agendy, je potrebné spraviť kalkuláciu na viac krát. </w:t>
      </w:r>
    </w:p>
    <w:p w14:paraId="6F37FF19" w14:textId="77777777" w:rsidR="00B2692C" w:rsidRDefault="00B2692C" w:rsidP="00B2692C">
      <w:pPr>
        <w:pStyle w:val="Nadpis3"/>
      </w:pPr>
      <w:bookmarkStart w:id="11" w:name="_Toc90977839"/>
      <w:r>
        <w:t>Prípad 1 – Úspora nákladov na strane štátu</w:t>
      </w:r>
      <w:bookmarkEnd w:id="11"/>
    </w:p>
    <w:p w14:paraId="5242625C" w14:textId="77777777" w:rsidR="00B2692C" w:rsidRDefault="00B2692C" w:rsidP="00B2692C">
      <w:r>
        <w:t xml:space="preserve">Tento prípad je zameraný na kalkuláciu nákladov na strane štátu, ktorá súvisí s agendou dotknutou projektom. Prínosy sú definované ako „ušetrené“ personálne náklady vyplývajúce zo zefektívnenia činností výkonu agendy a rovnako ako úspora materiálových nákladov, ktoré v cieľovom stave nebude potrebné vynaložiť. </w:t>
      </w:r>
    </w:p>
    <w:p w14:paraId="57C43C10" w14:textId="77777777" w:rsidR="00B2692C" w:rsidRDefault="00B2692C" w:rsidP="00B2692C">
      <w:r>
        <w:t>Ako príklad je možné uviesť elektronizáciu služieb, kedy spracovateľ nebude musieť realizovať manuálne úkony súvisiace napr. s evidenciou podaní a pod. a rovnako nebude musieť „míňať“ napr. kancelárske prostriedky na zabezpečenie služby (papier, tonery, poštovné a pod.).</w:t>
      </w:r>
    </w:p>
    <w:p w14:paraId="1E410715" w14:textId="77777777" w:rsidR="00B2692C" w:rsidRDefault="00B2692C" w:rsidP="00B2692C">
      <w:pPr>
        <w:pStyle w:val="Nadpis4"/>
      </w:pPr>
      <w:r>
        <w:t>Potrebné premenné na kalkuláciu prínosov</w:t>
      </w:r>
    </w:p>
    <w:p w14:paraId="3FB97F3B" w14:textId="77777777" w:rsidR="00B2692C" w:rsidRDefault="00B2692C" w:rsidP="003819A3">
      <w:pPr>
        <w:pStyle w:val="Odsekzoznamu"/>
        <w:numPr>
          <w:ilvl w:val="0"/>
          <w:numId w:val="3"/>
        </w:numPr>
        <w:jc w:val="both"/>
      </w:pPr>
      <w:r>
        <w:t>Identifikovanie projektu rozvoja a investičných výdavkov</w:t>
      </w:r>
    </w:p>
    <w:p w14:paraId="4A52C2AA" w14:textId="77777777" w:rsidR="00B2692C" w:rsidRDefault="00B2692C" w:rsidP="003819A3">
      <w:pPr>
        <w:pStyle w:val="Odsekzoznamu"/>
        <w:numPr>
          <w:ilvl w:val="0"/>
          <w:numId w:val="3"/>
        </w:numPr>
        <w:jc w:val="both"/>
      </w:pPr>
      <w:r>
        <w:t>Identifikácia agendy:</w:t>
      </w:r>
    </w:p>
    <w:p w14:paraId="6402D17E" w14:textId="77777777" w:rsidR="00B2692C" w:rsidRDefault="00B2692C" w:rsidP="003819A3">
      <w:pPr>
        <w:pStyle w:val="Odsekzoznamu"/>
        <w:numPr>
          <w:ilvl w:val="1"/>
          <w:numId w:val="3"/>
        </w:numPr>
        <w:jc w:val="both"/>
      </w:pPr>
      <w:r>
        <w:t>počet užívateľských požiadaviek na službu / početnosť agendy</w:t>
      </w:r>
    </w:p>
    <w:p w14:paraId="5B2BB187" w14:textId="77777777" w:rsidR="00B2692C" w:rsidRDefault="00B2692C" w:rsidP="003819A3">
      <w:pPr>
        <w:pStyle w:val="Odsekzoznamu"/>
        <w:numPr>
          <w:ilvl w:val="1"/>
          <w:numId w:val="3"/>
        </w:numPr>
        <w:jc w:val="both"/>
      </w:pPr>
      <w:r>
        <w:t>hodinový mzdový náklad – vrátane odvodov na strane zamestnávateľa</w:t>
      </w:r>
    </w:p>
    <w:p w14:paraId="36467151" w14:textId="77777777" w:rsidR="00B2692C" w:rsidRDefault="00B2692C" w:rsidP="003819A3">
      <w:pPr>
        <w:pStyle w:val="Odsekzoznamu"/>
        <w:numPr>
          <w:ilvl w:val="1"/>
          <w:numId w:val="3"/>
        </w:numPr>
        <w:jc w:val="both"/>
      </w:pPr>
      <w:r>
        <w:lastRenderedPageBreak/>
        <w:t>čas spracovania podania</w:t>
      </w:r>
    </w:p>
    <w:p w14:paraId="47761222" w14:textId="77777777" w:rsidR="00B2692C" w:rsidRPr="00840064" w:rsidRDefault="00B2692C" w:rsidP="003819A3">
      <w:pPr>
        <w:pStyle w:val="Odsekzoznamu"/>
        <w:numPr>
          <w:ilvl w:val="1"/>
          <w:numId w:val="3"/>
        </w:numPr>
        <w:jc w:val="both"/>
      </w:pPr>
      <w:r>
        <w:t>materiálové náklady na spracovanie podania</w:t>
      </w:r>
    </w:p>
    <w:p w14:paraId="17A276CC" w14:textId="77777777" w:rsidR="00B2692C" w:rsidRDefault="00B2692C" w:rsidP="00B2692C">
      <w:pPr>
        <w:pStyle w:val="Nadpis4"/>
      </w:pPr>
      <w:r>
        <w:t>Spôsob kalkulácie prínosov</w:t>
      </w:r>
    </w:p>
    <w:p w14:paraId="4EB43EC9" w14:textId="77777777" w:rsidR="00B2692C" w:rsidRDefault="00B2692C" w:rsidP="00B2692C">
      <w:r>
        <w:t xml:space="preserve">Kalkulácia vychádza z porovnania personálnych a materiálových nákladov na zabezpečenie danej agendy vyjadrenej jej početnosťou v sledovanom období (predpokladom je rok). Na základe stanoveného času trvania vybavenia agendy je možné identifikovať nárast prínosov v čase, ak bude projekt realizovaný. </w:t>
      </w:r>
    </w:p>
    <w:p w14:paraId="73D97437" w14:textId="77777777" w:rsidR="00B2692C" w:rsidRPr="00E72B03" w:rsidRDefault="00B2692C" w:rsidP="00B2692C">
      <w:r>
        <w:t>Rovnako je možné vidieť aj elimináciou materiálových nákladov na zabezpečenie vybavenia agendy.</w:t>
      </w:r>
    </w:p>
    <w:p w14:paraId="784C61F4" w14:textId="77777777" w:rsidR="00B2692C" w:rsidRDefault="00B2692C" w:rsidP="00B2692C">
      <w:pPr>
        <w:pStyle w:val="Nadpis4"/>
      </w:pPr>
      <w:r>
        <w:t>Potenciálne zdroje údajov v </w:t>
      </w:r>
      <w:proofErr w:type="spellStart"/>
      <w:r>
        <w:t>inicializačnej</w:t>
      </w:r>
      <w:proofErr w:type="spellEnd"/>
      <w:r>
        <w:t xml:space="preserve"> fáze projektu</w:t>
      </w:r>
    </w:p>
    <w:tbl>
      <w:tblPr>
        <w:tblStyle w:val="Mriekatabukysvetl"/>
        <w:tblW w:w="9067" w:type="dxa"/>
        <w:tblLook w:val="04A0" w:firstRow="1" w:lastRow="0" w:firstColumn="1" w:lastColumn="0" w:noHBand="0" w:noVBand="1"/>
      </w:tblPr>
      <w:tblGrid>
        <w:gridCol w:w="3539"/>
        <w:gridCol w:w="5528"/>
      </w:tblGrid>
      <w:tr w:rsidR="00B2692C" w:rsidRPr="0021645E" w14:paraId="733ACDC7" w14:textId="77777777" w:rsidTr="009612A6">
        <w:trPr>
          <w:trHeight w:val="276"/>
        </w:trPr>
        <w:tc>
          <w:tcPr>
            <w:tcW w:w="3539" w:type="dxa"/>
            <w:shd w:val="clear" w:color="auto" w:fill="DEEAF6" w:themeFill="accent1" w:themeFillTint="33"/>
            <w:noWrap/>
          </w:tcPr>
          <w:p w14:paraId="2556D723"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Položka kalkulácie</w:t>
            </w:r>
          </w:p>
        </w:tc>
        <w:tc>
          <w:tcPr>
            <w:tcW w:w="5528" w:type="dxa"/>
            <w:shd w:val="clear" w:color="auto" w:fill="DEEAF6" w:themeFill="accent1" w:themeFillTint="33"/>
          </w:tcPr>
          <w:p w14:paraId="0F88192F"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Zdroj údajov</w:t>
            </w:r>
          </w:p>
        </w:tc>
      </w:tr>
      <w:tr w:rsidR="00B2692C" w:rsidRPr="00755B64" w14:paraId="06DF459E" w14:textId="77777777" w:rsidTr="009612A6">
        <w:trPr>
          <w:trHeight w:val="276"/>
        </w:trPr>
        <w:tc>
          <w:tcPr>
            <w:tcW w:w="3539" w:type="dxa"/>
            <w:noWrap/>
          </w:tcPr>
          <w:p w14:paraId="31F543DB" w14:textId="77777777" w:rsidR="00B2692C" w:rsidRPr="00317352" w:rsidRDefault="00B2692C" w:rsidP="009612A6">
            <w:pPr>
              <w:rPr>
                <w:rFonts w:eastAsia="Times New Roman" w:cs="Calibri Light"/>
                <w:color w:val="000000"/>
                <w:sz w:val="20"/>
                <w:szCs w:val="20"/>
                <w:lang w:eastAsia="sk-SK"/>
              </w:rPr>
            </w:pPr>
            <w:r w:rsidRPr="004A4262">
              <w:t>Počet užívateľských požiadaviek - AS IS</w:t>
            </w:r>
          </w:p>
        </w:tc>
        <w:tc>
          <w:tcPr>
            <w:tcW w:w="5528" w:type="dxa"/>
          </w:tcPr>
          <w:p w14:paraId="2938E614"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Štatistika realizácie agendy napr. z agendového systému alebo inej evidencie</w:t>
            </w:r>
          </w:p>
        </w:tc>
      </w:tr>
      <w:tr w:rsidR="00B2692C" w:rsidRPr="00755B64" w14:paraId="7E184C7D" w14:textId="77777777" w:rsidTr="009612A6">
        <w:trPr>
          <w:trHeight w:val="276"/>
        </w:trPr>
        <w:tc>
          <w:tcPr>
            <w:tcW w:w="3539" w:type="dxa"/>
            <w:noWrap/>
          </w:tcPr>
          <w:p w14:paraId="3E7E624A" w14:textId="77777777" w:rsidR="00B2692C" w:rsidRPr="00317352" w:rsidRDefault="00B2692C" w:rsidP="009612A6">
            <w:pPr>
              <w:rPr>
                <w:rFonts w:eastAsia="Times New Roman" w:cs="Calibri Light"/>
                <w:color w:val="000000"/>
                <w:sz w:val="20"/>
                <w:szCs w:val="20"/>
                <w:lang w:eastAsia="sk-SK"/>
              </w:rPr>
            </w:pPr>
            <w:r w:rsidRPr="004A4262">
              <w:t>Počet užívateľských požiadaviek - TO BE</w:t>
            </w:r>
          </w:p>
        </w:tc>
        <w:tc>
          <w:tcPr>
            <w:tcW w:w="5528" w:type="dxa"/>
          </w:tcPr>
          <w:p w14:paraId="118D8AF3"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Jedná sa o stanovenie buď tých istých hodnôt, alebo ich nárast práve z titulu efektívnejšie výkonu služby / agendy</w:t>
            </w:r>
          </w:p>
        </w:tc>
      </w:tr>
      <w:tr w:rsidR="00B2692C" w:rsidRPr="00755B64" w14:paraId="073584D8" w14:textId="77777777" w:rsidTr="009612A6">
        <w:trPr>
          <w:trHeight w:val="276"/>
        </w:trPr>
        <w:tc>
          <w:tcPr>
            <w:tcW w:w="3539" w:type="dxa"/>
            <w:noWrap/>
            <w:vAlign w:val="bottom"/>
          </w:tcPr>
          <w:p w14:paraId="053B4ACE" w14:textId="77777777" w:rsidR="00B2692C" w:rsidRPr="003F1B24" w:rsidRDefault="00B2692C" w:rsidP="009612A6">
            <w:pPr>
              <w:rPr>
                <w:rFonts w:eastAsia="Times New Roman" w:cs="Calibri Light"/>
                <w:color w:val="000000"/>
                <w:sz w:val="20"/>
                <w:szCs w:val="20"/>
                <w:lang w:eastAsia="sk-SK"/>
              </w:rPr>
            </w:pPr>
            <w:r w:rsidRPr="003F574C">
              <w:rPr>
                <w:rFonts w:cs="Calibri Light"/>
                <w:color w:val="000000"/>
                <w:sz w:val="20"/>
                <w:szCs w:val="20"/>
              </w:rPr>
              <w:t>Mzdové náklady hodinový</w:t>
            </w:r>
          </w:p>
        </w:tc>
        <w:tc>
          <w:tcPr>
            <w:tcW w:w="5528" w:type="dxa"/>
          </w:tcPr>
          <w:p w14:paraId="4EB169D2"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Mzdové účtovníctvo</w:t>
            </w:r>
          </w:p>
        </w:tc>
      </w:tr>
      <w:tr w:rsidR="00B2692C" w:rsidRPr="00755B64" w14:paraId="570AAC5A" w14:textId="77777777" w:rsidTr="009612A6">
        <w:trPr>
          <w:trHeight w:val="276"/>
        </w:trPr>
        <w:tc>
          <w:tcPr>
            <w:tcW w:w="3539" w:type="dxa"/>
            <w:noWrap/>
            <w:vAlign w:val="bottom"/>
          </w:tcPr>
          <w:p w14:paraId="2B3606FF" w14:textId="77777777" w:rsidR="00B2692C" w:rsidRPr="003F1B24" w:rsidRDefault="00B2692C" w:rsidP="009612A6">
            <w:pPr>
              <w:rPr>
                <w:rFonts w:cs="Calibri Light"/>
                <w:color w:val="000000"/>
              </w:rPr>
            </w:pPr>
            <w:r w:rsidRPr="003F574C">
              <w:rPr>
                <w:rFonts w:cs="Calibri Light"/>
                <w:color w:val="000000"/>
                <w:sz w:val="20"/>
                <w:szCs w:val="20"/>
              </w:rPr>
              <w:t>Valorizácia mzdy</w:t>
            </w:r>
          </w:p>
        </w:tc>
        <w:tc>
          <w:tcPr>
            <w:tcW w:w="5528" w:type="dxa"/>
          </w:tcPr>
          <w:p w14:paraId="52B724C6"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sidRPr="0021645E">
              <w:rPr>
                <w:rFonts w:eastAsia="Times New Roman" w:cs="Calibri Light"/>
                <w:color w:val="000000"/>
                <w:sz w:val="20"/>
                <w:szCs w:val="20"/>
                <w:lang w:eastAsia="sk-SK"/>
              </w:rPr>
              <w:t>Kolektívna zmluva, prípadné iné dokumenty (mzdový predpis a pod.)</w:t>
            </w:r>
          </w:p>
        </w:tc>
      </w:tr>
      <w:tr w:rsidR="00B2692C" w:rsidRPr="00755B64" w14:paraId="7CD0D6BB" w14:textId="77777777" w:rsidTr="009612A6">
        <w:trPr>
          <w:trHeight w:val="276"/>
        </w:trPr>
        <w:tc>
          <w:tcPr>
            <w:tcW w:w="3539" w:type="dxa"/>
            <w:noWrap/>
            <w:vAlign w:val="bottom"/>
          </w:tcPr>
          <w:p w14:paraId="4F82CC2A" w14:textId="77777777" w:rsidR="00B2692C" w:rsidRPr="003F1B24" w:rsidRDefault="00B2692C" w:rsidP="009612A6">
            <w:pPr>
              <w:rPr>
                <w:rFonts w:cs="Calibri Light"/>
                <w:color w:val="000000"/>
              </w:rPr>
            </w:pPr>
            <w:r w:rsidRPr="003F574C">
              <w:rPr>
                <w:rFonts w:cs="Calibri Light"/>
                <w:color w:val="000000"/>
                <w:sz w:val="20"/>
                <w:szCs w:val="20"/>
              </w:rPr>
              <w:t xml:space="preserve">Inflačný </w:t>
            </w:r>
            <w:proofErr w:type="spellStart"/>
            <w:r w:rsidRPr="003F574C">
              <w:rPr>
                <w:rFonts w:cs="Calibri Light"/>
                <w:color w:val="000000"/>
                <w:sz w:val="20"/>
                <w:szCs w:val="20"/>
              </w:rPr>
              <w:t>kooeficient</w:t>
            </w:r>
            <w:proofErr w:type="spellEnd"/>
          </w:p>
        </w:tc>
        <w:tc>
          <w:tcPr>
            <w:tcW w:w="5528" w:type="dxa"/>
          </w:tcPr>
          <w:p w14:paraId="67DF4E6F"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Oficiálne štatistiky SR za sledované obdobie</w:t>
            </w:r>
          </w:p>
        </w:tc>
      </w:tr>
      <w:tr w:rsidR="00B2692C" w:rsidRPr="00755B64" w14:paraId="644222BC" w14:textId="77777777" w:rsidTr="009612A6">
        <w:trPr>
          <w:trHeight w:val="276"/>
        </w:trPr>
        <w:tc>
          <w:tcPr>
            <w:tcW w:w="3539" w:type="dxa"/>
            <w:noWrap/>
            <w:vAlign w:val="bottom"/>
          </w:tcPr>
          <w:p w14:paraId="72CABF0A" w14:textId="77777777" w:rsidR="00B2692C" w:rsidRPr="003F1B24" w:rsidRDefault="00B2692C" w:rsidP="009612A6">
            <w:pPr>
              <w:rPr>
                <w:rFonts w:cs="Calibri Light"/>
                <w:color w:val="000000"/>
              </w:rPr>
            </w:pPr>
            <w:r w:rsidRPr="003F574C">
              <w:rPr>
                <w:rFonts w:cs="Calibri Light"/>
                <w:color w:val="000000"/>
                <w:sz w:val="20"/>
                <w:szCs w:val="20"/>
              </w:rPr>
              <w:t>Čas spracovania podania AS IS</w:t>
            </w:r>
          </w:p>
        </w:tc>
        <w:tc>
          <w:tcPr>
            <w:tcW w:w="5528" w:type="dxa"/>
          </w:tcPr>
          <w:p w14:paraId="670FCD41"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Štatistika realizácie agendy napr. z agendového systému alebo inej evidencie</w:t>
            </w:r>
          </w:p>
        </w:tc>
      </w:tr>
      <w:tr w:rsidR="00B2692C" w:rsidRPr="00755B64" w14:paraId="0CAA9F58" w14:textId="77777777" w:rsidTr="009612A6">
        <w:trPr>
          <w:trHeight w:val="276"/>
        </w:trPr>
        <w:tc>
          <w:tcPr>
            <w:tcW w:w="3539" w:type="dxa"/>
            <w:noWrap/>
            <w:vAlign w:val="bottom"/>
          </w:tcPr>
          <w:p w14:paraId="583B6441" w14:textId="77777777" w:rsidR="00B2692C" w:rsidRPr="003F1B24" w:rsidRDefault="00B2692C" w:rsidP="009612A6">
            <w:pPr>
              <w:rPr>
                <w:rFonts w:cs="Calibri Light"/>
                <w:color w:val="000000"/>
              </w:rPr>
            </w:pPr>
            <w:r w:rsidRPr="003F574C">
              <w:rPr>
                <w:rFonts w:cs="Calibri Light"/>
                <w:color w:val="000000"/>
                <w:sz w:val="20"/>
                <w:szCs w:val="20"/>
              </w:rPr>
              <w:t>Čas spracovania podania AS IS</w:t>
            </w:r>
          </w:p>
        </w:tc>
        <w:tc>
          <w:tcPr>
            <w:tcW w:w="5528" w:type="dxa"/>
          </w:tcPr>
          <w:p w14:paraId="79820945"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Odhad dopadu realizácie projektu na trvanie výkonu agendy (napr. eliminácia niektorých krokov, ktoré mali vyčíslenú dobu trvania alebo úspory času obdobných projektov)</w:t>
            </w:r>
          </w:p>
        </w:tc>
      </w:tr>
      <w:tr w:rsidR="00B2692C" w:rsidRPr="00755B64" w14:paraId="6FB00942" w14:textId="77777777" w:rsidTr="009612A6">
        <w:trPr>
          <w:trHeight w:val="276"/>
        </w:trPr>
        <w:tc>
          <w:tcPr>
            <w:tcW w:w="3539" w:type="dxa"/>
            <w:noWrap/>
            <w:vAlign w:val="bottom"/>
          </w:tcPr>
          <w:p w14:paraId="08AFAF71" w14:textId="77777777" w:rsidR="00B2692C" w:rsidRPr="003F1B24" w:rsidRDefault="00B2692C" w:rsidP="009612A6">
            <w:pPr>
              <w:rPr>
                <w:rFonts w:cs="Calibri Light"/>
                <w:color w:val="000000"/>
              </w:rPr>
            </w:pPr>
            <w:r w:rsidRPr="003F574C">
              <w:rPr>
                <w:rFonts w:cs="Calibri Light"/>
                <w:color w:val="000000"/>
                <w:sz w:val="20"/>
                <w:szCs w:val="20"/>
              </w:rPr>
              <w:t>Materiálové náklady AS IS</w:t>
            </w:r>
          </w:p>
        </w:tc>
        <w:tc>
          <w:tcPr>
            <w:tcW w:w="5528" w:type="dxa"/>
          </w:tcPr>
          <w:p w14:paraId="56EA2591"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Štatistika realizácie agendy napr. z agendového systému alebo inej evidencie</w:t>
            </w:r>
          </w:p>
        </w:tc>
      </w:tr>
      <w:tr w:rsidR="00B2692C" w:rsidRPr="00755B64" w14:paraId="69A02150" w14:textId="77777777" w:rsidTr="009612A6">
        <w:trPr>
          <w:trHeight w:val="276"/>
        </w:trPr>
        <w:tc>
          <w:tcPr>
            <w:tcW w:w="3539" w:type="dxa"/>
            <w:noWrap/>
            <w:vAlign w:val="bottom"/>
          </w:tcPr>
          <w:p w14:paraId="4F602428" w14:textId="77777777" w:rsidR="00B2692C" w:rsidRPr="003F1B24" w:rsidRDefault="00B2692C" w:rsidP="009612A6">
            <w:pPr>
              <w:rPr>
                <w:rFonts w:cs="Calibri Light"/>
                <w:color w:val="000000"/>
              </w:rPr>
            </w:pPr>
            <w:r w:rsidRPr="003F574C">
              <w:rPr>
                <w:rFonts w:cs="Calibri Light"/>
                <w:color w:val="000000"/>
                <w:sz w:val="20"/>
                <w:szCs w:val="20"/>
              </w:rPr>
              <w:t>Materiálové náklady AS IS</w:t>
            </w:r>
          </w:p>
        </w:tc>
        <w:tc>
          <w:tcPr>
            <w:tcW w:w="5528" w:type="dxa"/>
          </w:tcPr>
          <w:p w14:paraId="3658040C"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Identifikovanie eliminovaných nákladov na výkon agendy (napr. irelevantné poštové, tlač a pod.)</w:t>
            </w:r>
          </w:p>
        </w:tc>
      </w:tr>
    </w:tbl>
    <w:p w14:paraId="3F2AFBEA" w14:textId="77777777" w:rsidR="00B2692C" w:rsidRDefault="00B2692C" w:rsidP="00B2692C">
      <w:pPr>
        <w:pStyle w:val="Nadpis3"/>
      </w:pPr>
      <w:bookmarkStart w:id="12" w:name="_Toc90977840"/>
      <w:r>
        <w:t>Úspora nákladov klienta</w:t>
      </w:r>
      <w:bookmarkEnd w:id="12"/>
    </w:p>
    <w:p w14:paraId="6F0F1187" w14:textId="77777777" w:rsidR="00B2692C" w:rsidRDefault="00B2692C" w:rsidP="00B2692C">
      <w:r>
        <w:t xml:space="preserve">Tento prípad je zameraný na kalkuláciu nákladov, ktoré musí vynaložiť klient (PO alebo FO) na realizáciu agendy, resp. služby. Prínosy sú definované ako „ušetrené“ náklady klienta vyplývajúce zo zefektívnenia poskytovania služieb / agend, čím nie je potrebná taká časová dotácia zo strany klienta ako v súčasnom stave. Rovnako sa jedná aj o ušetrenie materiálových a iných vyvolaných nákladov v podobe napr. poštovného, cestovného a pod.  </w:t>
      </w:r>
    </w:p>
    <w:p w14:paraId="302059DC" w14:textId="77777777" w:rsidR="00B2692C" w:rsidRDefault="00B2692C" w:rsidP="00B2692C">
      <w:r>
        <w:t xml:space="preserve">Rovnako je možné uviesť ako príklad elektronizáciu služieb, kedy klient nemusí </w:t>
      </w:r>
      <w:proofErr w:type="spellStart"/>
      <w:r>
        <w:t>abslvovať</w:t>
      </w:r>
      <w:proofErr w:type="spellEnd"/>
      <w:r>
        <w:t xml:space="preserve"> cestu na úrad a zháňať potvrdenia, ale je mu umožnený výkon služby / agendy online. Takto ušetrí nie len čas (nákladovo vyjadrený cez jeho mzdu), ale aj ostatné dodatočné náklady. </w:t>
      </w:r>
    </w:p>
    <w:p w14:paraId="64242376" w14:textId="77777777" w:rsidR="00B2692C" w:rsidRDefault="00B2692C" w:rsidP="00B2692C">
      <w:pPr>
        <w:pStyle w:val="Nadpis4"/>
      </w:pPr>
      <w:r>
        <w:t>Potrebné premenné na kalkuláciu prínosov</w:t>
      </w:r>
    </w:p>
    <w:p w14:paraId="59715E33" w14:textId="77777777" w:rsidR="00B2692C" w:rsidRDefault="00B2692C" w:rsidP="003819A3">
      <w:pPr>
        <w:pStyle w:val="Odsekzoznamu"/>
        <w:numPr>
          <w:ilvl w:val="0"/>
          <w:numId w:val="3"/>
        </w:numPr>
        <w:jc w:val="both"/>
      </w:pPr>
      <w:r>
        <w:t>Identifikovanie projektu rozvoja a investičných výdavkov</w:t>
      </w:r>
    </w:p>
    <w:p w14:paraId="6D37BFCA" w14:textId="77777777" w:rsidR="00B2692C" w:rsidRDefault="00B2692C" w:rsidP="003819A3">
      <w:pPr>
        <w:pStyle w:val="Odsekzoznamu"/>
        <w:numPr>
          <w:ilvl w:val="0"/>
          <w:numId w:val="3"/>
        </w:numPr>
        <w:jc w:val="both"/>
      </w:pPr>
      <w:r>
        <w:t>Identifikácia služby, ktorú klient vykonáva:</w:t>
      </w:r>
    </w:p>
    <w:p w14:paraId="0EC58C7E" w14:textId="77777777" w:rsidR="00B2692C" w:rsidRDefault="00B2692C" w:rsidP="003819A3">
      <w:pPr>
        <w:pStyle w:val="Odsekzoznamu"/>
        <w:numPr>
          <w:ilvl w:val="1"/>
          <w:numId w:val="3"/>
        </w:numPr>
        <w:jc w:val="both"/>
      </w:pPr>
      <w:r>
        <w:t>počet užívateľských požiadaviek na službu / početnosť agendy</w:t>
      </w:r>
    </w:p>
    <w:p w14:paraId="4BAB64A9" w14:textId="77777777" w:rsidR="00B2692C" w:rsidRDefault="00B2692C" w:rsidP="003819A3">
      <w:pPr>
        <w:pStyle w:val="Odsekzoznamu"/>
        <w:numPr>
          <w:ilvl w:val="1"/>
          <w:numId w:val="3"/>
        </w:numPr>
        <w:jc w:val="both"/>
      </w:pPr>
      <w:r>
        <w:t>hodinový mzdový náklad – vyjadrený napr. ako hodnota v národnom hospodárstve</w:t>
      </w:r>
    </w:p>
    <w:p w14:paraId="09418BA7" w14:textId="77777777" w:rsidR="00B2692C" w:rsidRDefault="00B2692C" w:rsidP="003819A3">
      <w:pPr>
        <w:pStyle w:val="Odsekzoznamu"/>
        <w:numPr>
          <w:ilvl w:val="1"/>
          <w:numId w:val="3"/>
        </w:numPr>
        <w:jc w:val="both"/>
      </w:pPr>
      <w:r>
        <w:t>čas spracovania podania</w:t>
      </w:r>
    </w:p>
    <w:p w14:paraId="32973A7E" w14:textId="77777777" w:rsidR="00B2692C" w:rsidRPr="00840064" w:rsidRDefault="00B2692C" w:rsidP="003819A3">
      <w:pPr>
        <w:pStyle w:val="Odsekzoznamu"/>
        <w:numPr>
          <w:ilvl w:val="1"/>
          <w:numId w:val="3"/>
        </w:numPr>
        <w:jc w:val="both"/>
      </w:pPr>
      <w:r>
        <w:t>materiálové náklady na spracovanie podania</w:t>
      </w:r>
    </w:p>
    <w:p w14:paraId="6EABCFC8" w14:textId="77777777" w:rsidR="00B2692C" w:rsidRDefault="00B2692C" w:rsidP="00B2692C">
      <w:pPr>
        <w:pStyle w:val="Nadpis4"/>
      </w:pPr>
      <w:r>
        <w:t>Spôsob kalkulácie prínosov</w:t>
      </w:r>
    </w:p>
    <w:p w14:paraId="504F2DF5" w14:textId="77777777" w:rsidR="00B2692C" w:rsidRDefault="00B2692C" w:rsidP="00B2692C">
      <w:r>
        <w:t xml:space="preserve">Kalkulácia vychádza z porovnania nákladového vyjadrenia času potrebného na zabezpečenie služby a dodatočných materiálových a iných nákladov, ktoré je potrebné vynaložiť. Na základe stanoveného </w:t>
      </w:r>
      <w:r>
        <w:lastRenderedPageBreak/>
        <w:t xml:space="preserve">času trvania vybavenia agendy v súčasnom a navrhovanom stave je možné identifikovať nárast prínosov v čase, ak bude projekt realizovaný. </w:t>
      </w:r>
    </w:p>
    <w:p w14:paraId="08A2E50D" w14:textId="77777777" w:rsidR="00B2692C" w:rsidRPr="00E72B03" w:rsidRDefault="00B2692C" w:rsidP="00B2692C">
      <w:r>
        <w:t>Rovnako je možné vidieť aj elimináciou materiálových a iných nákladov na zabezpečenie vybavenia agendy.</w:t>
      </w:r>
    </w:p>
    <w:p w14:paraId="6C39DD6A" w14:textId="77777777" w:rsidR="00B2692C" w:rsidRDefault="00B2692C" w:rsidP="00B2692C">
      <w:pPr>
        <w:pStyle w:val="Nadpis4"/>
      </w:pPr>
      <w:r>
        <w:t>Potenciálne zdroje údajov v </w:t>
      </w:r>
      <w:proofErr w:type="spellStart"/>
      <w:r>
        <w:t>inicializačnej</w:t>
      </w:r>
      <w:proofErr w:type="spellEnd"/>
      <w:r>
        <w:t xml:space="preserve"> fáze projektu</w:t>
      </w:r>
    </w:p>
    <w:tbl>
      <w:tblPr>
        <w:tblStyle w:val="Mriekatabukysvetl"/>
        <w:tblW w:w="9067" w:type="dxa"/>
        <w:tblLook w:val="04A0" w:firstRow="1" w:lastRow="0" w:firstColumn="1" w:lastColumn="0" w:noHBand="0" w:noVBand="1"/>
      </w:tblPr>
      <w:tblGrid>
        <w:gridCol w:w="3539"/>
        <w:gridCol w:w="5528"/>
      </w:tblGrid>
      <w:tr w:rsidR="00B2692C" w:rsidRPr="0021645E" w14:paraId="7838284C" w14:textId="77777777" w:rsidTr="009612A6">
        <w:trPr>
          <w:trHeight w:val="276"/>
        </w:trPr>
        <w:tc>
          <w:tcPr>
            <w:tcW w:w="3539" w:type="dxa"/>
            <w:shd w:val="clear" w:color="auto" w:fill="DEEAF6" w:themeFill="accent1" w:themeFillTint="33"/>
            <w:noWrap/>
          </w:tcPr>
          <w:p w14:paraId="02F02678"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Položka kalkulácie</w:t>
            </w:r>
          </w:p>
        </w:tc>
        <w:tc>
          <w:tcPr>
            <w:tcW w:w="5528" w:type="dxa"/>
            <w:shd w:val="clear" w:color="auto" w:fill="DEEAF6" w:themeFill="accent1" w:themeFillTint="33"/>
          </w:tcPr>
          <w:p w14:paraId="52007FEA" w14:textId="77777777" w:rsidR="00B2692C" w:rsidRPr="00755B64" w:rsidRDefault="00B2692C" w:rsidP="009612A6">
            <w:pPr>
              <w:rPr>
                <w:rFonts w:eastAsia="Times New Roman" w:cs="Calibri Light"/>
                <w:b/>
                <w:bCs/>
                <w:color w:val="000000"/>
                <w:sz w:val="20"/>
                <w:szCs w:val="20"/>
                <w:lang w:eastAsia="sk-SK"/>
              </w:rPr>
            </w:pPr>
            <w:r w:rsidRPr="00755B64">
              <w:rPr>
                <w:rFonts w:eastAsia="Times New Roman" w:cs="Calibri Light"/>
                <w:b/>
                <w:bCs/>
                <w:color w:val="000000"/>
                <w:sz w:val="20"/>
                <w:szCs w:val="20"/>
                <w:lang w:eastAsia="sk-SK"/>
              </w:rPr>
              <w:t>Zdroj údajov</w:t>
            </w:r>
          </w:p>
        </w:tc>
      </w:tr>
      <w:tr w:rsidR="00B2692C" w:rsidRPr="00755B64" w14:paraId="5AA35C97" w14:textId="77777777" w:rsidTr="009612A6">
        <w:trPr>
          <w:trHeight w:val="276"/>
        </w:trPr>
        <w:tc>
          <w:tcPr>
            <w:tcW w:w="3539" w:type="dxa"/>
            <w:noWrap/>
          </w:tcPr>
          <w:p w14:paraId="1D6ED8DB" w14:textId="77777777" w:rsidR="00B2692C" w:rsidRPr="00317352" w:rsidRDefault="00B2692C" w:rsidP="009612A6">
            <w:pPr>
              <w:rPr>
                <w:rFonts w:eastAsia="Times New Roman" w:cs="Calibri Light"/>
                <w:color w:val="000000"/>
                <w:sz w:val="20"/>
                <w:szCs w:val="20"/>
                <w:lang w:eastAsia="sk-SK"/>
              </w:rPr>
            </w:pPr>
            <w:r w:rsidRPr="004A4262">
              <w:t>Počet užívateľských požiadaviek - AS IS</w:t>
            </w:r>
          </w:p>
        </w:tc>
        <w:tc>
          <w:tcPr>
            <w:tcW w:w="5528" w:type="dxa"/>
          </w:tcPr>
          <w:p w14:paraId="40821D1B"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Štatistika realizácie agendy napr. z agendového systému alebo inej evidencie</w:t>
            </w:r>
          </w:p>
        </w:tc>
      </w:tr>
      <w:tr w:rsidR="00B2692C" w:rsidRPr="00755B64" w14:paraId="29CA93FA" w14:textId="77777777" w:rsidTr="009612A6">
        <w:trPr>
          <w:trHeight w:val="276"/>
        </w:trPr>
        <w:tc>
          <w:tcPr>
            <w:tcW w:w="3539" w:type="dxa"/>
            <w:noWrap/>
          </w:tcPr>
          <w:p w14:paraId="4823E725" w14:textId="77777777" w:rsidR="00B2692C" w:rsidRPr="00317352" w:rsidRDefault="00B2692C" w:rsidP="009612A6">
            <w:pPr>
              <w:rPr>
                <w:rFonts w:eastAsia="Times New Roman" w:cs="Calibri Light"/>
                <w:color w:val="000000"/>
                <w:sz w:val="20"/>
                <w:szCs w:val="20"/>
                <w:lang w:eastAsia="sk-SK"/>
              </w:rPr>
            </w:pPr>
            <w:r w:rsidRPr="004A4262">
              <w:t>Počet užívateľských požiadaviek - TO BE</w:t>
            </w:r>
          </w:p>
        </w:tc>
        <w:tc>
          <w:tcPr>
            <w:tcW w:w="5528" w:type="dxa"/>
          </w:tcPr>
          <w:p w14:paraId="24674B90"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Jedná sa o stanovenie buď tých istých hodnôt, alebo ich nárast práve z titulu efektívnejšie výkonu služby / agendy</w:t>
            </w:r>
          </w:p>
        </w:tc>
      </w:tr>
      <w:tr w:rsidR="00B2692C" w:rsidRPr="00755B64" w14:paraId="3564D13C" w14:textId="77777777" w:rsidTr="009612A6">
        <w:trPr>
          <w:trHeight w:val="276"/>
        </w:trPr>
        <w:tc>
          <w:tcPr>
            <w:tcW w:w="3539" w:type="dxa"/>
            <w:noWrap/>
            <w:vAlign w:val="bottom"/>
          </w:tcPr>
          <w:p w14:paraId="5B9BAE4B" w14:textId="77777777" w:rsidR="00B2692C" w:rsidRPr="003F1B24" w:rsidRDefault="00B2692C" w:rsidP="009612A6">
            <w:pPr>
              <w:rPr>
                <w:rFonts w:eastAsia="Times New Roman" w:cs="Calibri Light"/>
                <w:color w:val="000000"/>
                <w:sz w:val="20"/>
                <w:szCs w:val="20"/>
                <w:lang w:eastAsia="sk-SK"/>
              </w:rPr>
            </w:pPr>
            <w:r w:rsidRPr="0021645E">
              <w:rPr>
                <w:rFonts w:cs="Calibri Light"/>
                <w:color w:val="000000"/>
                <w:sz w:val="20"/>
                <w:szCs w:val="20"/>
              </w:rPr>
              <w:t>Mzdové náklady hodinový</w:t>
            </w:r>
          </w:p>
        </w:tc>
        <w:tc>
          <w:tcPr>
            <w:tcW w:w="5528" w:type="dxa"/>
          </w:tcPr>
          <w:p w14:paraId="7E7A503B"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Mzdové účtovníctvo</w:t>
            </w:r>
          </w:p>
        </w:tc>
      </w:tr>
      <w:tr w:rsidR="00B2692C" w:rsidRPr="00755B64" w14:paraId="6B546D4E" w14:textId="77777777" w:rsidTr="009612A6">
        <w:trPr>
          <w:trHeight w:val="276"/>
        </w:trPr>
        <w:tc>
          <w:tcPr>
            <w:tcW w:w="3539" w:type="dxa"/>
            <w:noWrap/>
            <w:vAlign w:val="bottom"/>
          </w:tcPr>
          <w:p w14:paraId="77BBB08D" w14:textId="77777777" w:rsidR="00B2692C" w:rsidRPr="003F1B24" w:rsidRDefault="00B2692C" w:rsidP="009612A6">
            <w:pPr>
              <w:rPr>
                <w:rFonts w:cs="Calibri Light"/>
                <w:color w:val="000000"/>
              </w:rPr>
            </w:pPr>
            <w:r w:rsidRPr="0021645E">
              <w:rPr>
                <w:rFonts w:cs="Calibri Light"/>
                <w:color w:val="000000"/>
                <w:sz w:val="20"/>
                <w:szCs w:val="20"/>
              </w:rPr>
              <w:t>Valorizácia mzdy</w:t>
            </w:r>
          </w:p>
        </w:tc>
        <w:tc>
          <w:tcPr>
            <w:tcW w:w="5528" w:type="dxa"/>
          </w:tcPr>
          <w:p w14:paraId="7671158B"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Priemerná hodnota rastu miezd v národnom hospodárstve</w:t>
            </w:r>
          </w:p>
        </w:tc>
      </w:tr>
      <w:tr w:rsidR="00B2692C" w:rsidRPr="00755B64" w14:paraId="4E369326" w14:textId="77777777" w:rsidTr="009612A6">
        <w:trPr>
          <w:trHeight w:val="276"/>
        </w:trPr>
        <w:tc>
          <w:tcPr>
            <w:tcW w:w="3539" w:type="dxa"/>
            <w:noWrap/>
            <w:vAlign w:val="bottom"/>
          </w:tcPr>
          <w:p w14:paraId="20F23443" w14:textId="77777777" w:rsidR="00B2692C" w:rsidRPr="003F1B24" w:rsidRDefault="00B2692C" w:rsidP="009612A6">
            <w:pPr>
              <w:rPr>
                <w:rFonts w:cs="Calibri Light"/>
                <w:color w:val="000000"/>
              </w:rPr>
            </w:pPr>
            <w:r w:rsidRPr="0021645E">
              <w:rPr>
                <w:rFonts w:cs="Calibri Light"/>
                <w:color w:val="000000"/>
                <w:sz w:val="20"/>
                <w:szCs w:val="20"/>
              </w:rPr>
              <w:t xml:space="preserve">Inflačný </w:t>
            </w:r>
            <w:proofErr w:type="spellStart"/>
            <w:r w:rsidRPr="0021645E">
              <w:rPr>
                <w:rFonts w:cs="Calibri Light"/>
                <w:color w:val="000000"/>
                <w:sz w:val="20"/>
                <w:szCs w:val="20"/>
              </w:rPr>
              <w:t>kooeficient</w:t>
            </w:r>
            <w:proofErr w:type="spellEnd"/>
          </w:p>
        </w:tc>
        <w:tc>
          <w:tcPr>
            <w:tcW w:w="5528" w:type="dxa"/>
          </w:tcPr>
          <w:p w14:paraId="06CBA99D"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Oficiálne štatistiky SR za sledované obdobie</w:t>
            </w:r>
          </w:p>
        </w:tc>
      </w:tr>
      <w:tr w:rsidR="00B2692C" w:rsidRPr="00755B64" w14:paraId="06A5FFB5" w14:textId="77777777" w:rsidTr="009612A6">
        <w:trPr>
          <w:trHeight w:val="276"/>
        </w:trPr>
        <w:tc>
          <w:tcPr>
            <w:tcW w:w="3539" w:type="dxa"/>
            <w:noWrap/>
            <w:vAlign w:val="bottom"/>
          </w:tcPr>
          <w:p w14:paraId="1EB7EB9A" w14:textId="77777777" w:rsidR="00B2692C" w:rsidRPr="003F1B24" w:rsidRDefault="00B2692C" w:rsidP="009612A6">
            <w:pPr>
              <w:rPr>
                <w:rFonts w:cs="Calibri Light"/>
                <w:color w:val="000000"/>
              </w:rPr>
            </w:pPr>
            <w:r w:rsidRPr="0021645E">
              <w:rPr>
                <w:rFonts w:cs="Calibri Light"/>
                <w:color w:val="000000"/>
                <w:sz w:val="20"/>
                <w:szCs w:val="20"/>
              </w:rPr>
              <w:t xml:space="preserve">Čas </w:t>
            </w:r>
            <w:r>
              <w:rPr>
                <w:rFonts w:cs="Calibri Light"/>
                <w:color w:val="000000"/>
                <w:sz w:val="20"/>
                <w:szCs w:val="20"/>
              </w:rPr>
              <w:t>vypracovania</w:t>
            </w:r>
            <w:r w:rsidRPr="0021645E">
              <w:rPr>
                <w:rFonts w:cs="Calibri Light"/>
                <w:color w:val="000000"/>
                <w:sz w:val="20"/>
                <w:szCs w:val="20"/>
              </w:rPr>
              <w:t xml:space="preserve"> podania AS IS</w:t>
            </w:r>
          </w:p>
        </w:tc>
        <w:tc>
          <w:tcPr>
            <w:tcW w:w="5528" w:type="dxa"/>
          </w:tcPr>
          <w:p w14:paraId="10D641C6"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Štatistika realizácie agendy napr. z agendového systému alebo inej evidencie</w:t>
            </w:r>
          </w:p>
        </w:tc>
      </w:tr>
      <w:tr w:rsidR="00B2692C" w:rsidRPr="00755B64" w14:paraId="1F72328E" w14:textId="77777777" w:rsidTr="009612A6">
        <w:trPr>
          <w:trHeight w:val="276"/>
        </w:trPr>
        <w:tc>
          <w:tcPr>
            <w:tcW w:w="3539" w:type="dxa"/>
            <w:noWrap/>
            <w:vAlign w:val="bottom"/>
          </w:tcPr>
          <w:p w14:paraId="294F6DC4" w14:textId="77777777" w:rsidR="00B2692C" w:rsidRPr="003F1B24" w:rsidRDefault="00B2692C" w:rsidP="009612A6">
            <w:pPr>
              <w:rPr>
                <w:rFonts w:cs="Calibri Light"/>
                <w:color w:val="000000"/>
              </w:rPr>
            </w:pPr>
            <w:r w:rsidRPr="0021645E">
              <w:rPr>
                <w:rFonts w:cs="Calibri Light"/>
                <w:color w:val="000000"/>
                <w:sz w:val="20"/>
                <w:szCs w:val="20"/>
              </w:rPr>
              <w:t xml:space="preserve">Čas </w:t>
            </w:r>
            <w:r>
              <w:rPr>
                <w:rFonts w:cs="Calibri Light"/>
                <w:color w:val="000000"/>
                <w:sz w:val="20"/>
                <w:szCs w:val="20"/>
              </w:rPr>
              <w:t>vypracovania</w:t>
            </w:r>
            <w:r w:rsidRPr="0021645E">
              <w:rPr>
                <w:rFonts w:cs="Calibri Light"/>
                <w:color w:val="000000"/>
                <w:sz w:val="20"/>
                <w:szCs w:val="20"/>
              </w:rPr>
              <w:t xml:space="preserve"> podania </w:t>
            </w:r>
            <w:r>
              <w:rPr>
                <w:rFonts w:cs="Calibri Light"/>
                <w:color w:val="000000"/>
                <w:sz w:val="20"/>
                <w:szCs w:val="20"/>
              </w:rPr>
              <w:t>TO BE</w:t>
            </w:r>
          </w:p>
        </w:tc>
        <w:tc>
          <w:tcPr>
            <w:tcW w:w="5528" w:type="dxa"/>
          </w:tcPr>
          <w:p w14:paraId="6732B5B8"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Odhad dopadu realizácie projektu na trvanie výkonu agendy (napr. eliminácia niektorých krokov, ktoré mali vyčíslenú dobu trvania alebo úspory času obdobných projektov)</w:t>
            </w:r>
          </w:p>
        </w:tc>
      </w:tr>
      <w:tr w:rsidR="00B2692C" w:rsidRPr="00755B64" w14:paraId="58B63559" w14:textId="77777777" w:rsidTr="009612A6">
        <w:trPr>
          <w:trHeight w:val="276"/>
        </w:trPr>
        <w:tc>
          <w:tcPr>
            <w:tcW w:w="3539" w:type="dxa"/>
            <w:noWrap/>
            <w:vAlign w:val="bottom"/>
          </w:tcPr>
          <w:p w14:paraId="7B0A3BD6" w14:textId="77777777" w:rsidR="00B2692C" w:rsidRPr="003F1B24" w:rsidRDefault="00B2692C" w:rsidP="009612A6">
            <w:pPr>
              <w:rPr>
                <w:rFonts w:cs="Calibri Light"/>
                <w:color w:val="000000"/>
              </w:rPr>
            </w:pPr>
            <w:r w:rsidRPr="0021645E">
              <w:rPr>
                <w:rFonts w:cs="Calibri Light"/>
                <w:color w:val="000000"/>
                <w:sz w:val="20"/>
                <w:szCs w:val="20"/>
              </w:rPr>
              <w:t>Materiálové náklady AS IS</w:t>
            </w:r>
          </w:p>
        </w:tc>
        <w:tc>
          <w:tcPr>
            <w:tcW w:w="5528" w:type="dxa"/>
          </w:tcPr>
          <w:p w14:paraId="52A6812B"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Štatistika dĺžky trvania vybavenia agendy napr. z agendového systému alebo inej evidencie</w:t>
            </w:r>
          </w:p>
        </w:tc>
      </w:tr>
      <w:tr w:rsidR="00B2692C" w:rsidRPr="00755B64" w14:paraId="79E018C7" w14:textId="77777777" w:rsidTr="009612A6">
        <w:trPr>
          <w:trHeight w:val="276"/>
        </w:trPr>
        <w:tc>
          <w:tcPr>
            <w:tcW w:w="3539" w:type="dxa"/>
            <w:noWrap/>
            <w:vAlign w:val="bottom"/>
          </w:tcPr>
          <w:p w14:paraId="6129724B" w14:textId="77777777" w:rsidR="00B2692C" w:rsidRPr="003F1B24" w:rsidRDefault="00B2692C" w:rsidP="009612A6">
            <w:pPr>
              <w:rPr>
                <w:rFonts w:cs="Calibri Light"/>
                <w:color w:val="000000"/>
              </w:rPr>
            </w:pPr>
            <w:r w:rsidRPr="0021645E">
              <w:rPr>
                <w:rFonts w:cs="Calibri Light"/>
                <w:color w:val="000000"/>
                <w:sz w:val="20"/>
                <w:szCs w:val="20"/>
              </w:rPr>
              <w:t xml:space="preserve">Materiálové náklady </w:t>
            </w:r>
            <w:r>
              <w:rPr>
                <w:rFonts w:cs="Calibri Light"/>
                <w:color w:val="000000"/>
                <w:sz w:val="20"/>
                <w:szCs w:val="20"/>
              </w:rPr>
              <w:t>TO BE</w:t>
            </w:r>
          </w:p>
        </w:tc>
        <w:tc>
          <w:tcPr>
            <w:tcW w:w="5528" w:type="dxa"/>
          </w:tcPr>
          <w:p w14:paraId="0E1294B8" w14:textId="77777777" w:rsidR="00B2692C" w:rsidRPr="0021645E" w:rsidRDefault="00B2692C" w:rsidP="003819A3">
            <w:pPr>
              <w:pStyle w:val="Odsekzoznamu"/>
              <w:numPr>
                <w:ilvl w:val="0"/>
                <w:numId w:val="2"/>
              </w:numPr>
              <w:rPr>
                <w:rFonts w:eastAsia="Times New Roman" w:cs="Calibri Light"/>
                <w:color w:val="000000"/>
                <w:sz w:val="20"/>
                <w:szCs w:val="20"/>
                <w:lang w:eastAsia="sk-SK"/>
              </w:rPr>
            </w:pPr>
            <w:r>
              <w:rPr>
                <w:rFonts w:eastAsia="Times New Roman" w:cs="Calibri Light"/>
                <w:color w:val="000000"/>
                <w:sz w:val="20"/>
                <w:szCs w:val="20"/>
                <w:lang w:eastAsia="sk-SK"/>
              </w:rPr>
              <w:t>Identifikovanie eliminovaných nákladov na zabezpečenie agendy (napr. irelevantné poštové, tlač a pod.)</w:t>
            </w:r>
          </w:p>
        </w:tc>
      </w:tr>
    </w:tbl>
    <w:p w14:paraId="25238481" w14:textId="77777777" w:rsidR="00B2692C" w:rsidRDefault="00B2692C" w:rsidP="00B2692C">
      <w:pPr>
        <w:pStyle w:val="Nadpis3"/>
      </w:pPr>
      <w:bookmarkStart w:id="13" w:name="_Toc90977841"/>
      <w:r>
        <w:t>Kvalitatívne prínosy</w:t>
      </w:r>
      <w:bookmarkEnd w:id="13"/>
    </w:p>
    <w:p w14:paraId="5E9F063A" w14:textId="77777777" w:rsidR="00B2692C" w:rsidRDefault="00B2692C" w:rsidP="00B2692C">
      <w:r>
        <w:t xml:space="preserve">V tomto prípade sa jedná o identifikovanie prínosov, ktoré majú iný charakter ako 2 vyššie uvedené prístupy. Je preto potrebné mať k dispozícií aj podrobnú kalkuláciu prínosov a logiky ich výpočtu mimo tieto nástroje, pričom do „kalkulačky“ budú transponované len výsledky identifikovaných prínosov v podobe AS IS nákladov a TO BE nákladov.  </w:t>
      </w:r>
    </w:p>
    <w:p w14:paraId="15BED636" w14:textId="77777777" w:rsidR="00B2692C" w:rsidRPr="004A1587" w:rsidRDefault="00B2692C" w:rsidP="00B2692C">
      <w:r>
        <w:t>V prípade, ak sa jedná o pozitívny prístup k prínosom (napr. že niečoho v ekonomickom vyjadrení bude viac), je potrebné použiť pre zadávané číselné hodnoty znamienko mínus.</w:t>
      </w:r>
    </w:p>
    <w:p w14:paraId="552C81C0" w14:textId="77777777" w:rsidR="00B2692C" w:rsidRDefault="00B2692C" w:rsidP="00B2692C">
      <w:pPr>
        <w:pStyle w:val="Nadpis1"/>
      </w:pPr>
      <w:bookmarkStart w:id="14" w:name="_Toc90977842"/>
      <w:r>
        <w:t>EXCEL</w:t>
      </w:r>
      <w:bookmarkEnd w:id="14"/>
    </w:p>
    <w:p w14:paraId="277A7C11" w14:textId="77777777" w:rsidR="00B2692C" w:rsidRDefault="00B2692C" w:rsidP="00B2692C">
      <w:r>
        <w:t xml:space="preserve">Na kalkuláciu bol pripravený jednoduchý </w:t>
      </w:r>
      <w:proofErr w:type="spellStart"/>
      <w:r>
        <w:t>excel</w:t>
      </w:r>
      <w:proofErr w:type="spellEnd"/>
      <w:r>
        <w:t xml:space="preserve">, v ktorom je možné stanoviť jednotlivé parametre pre zamýšľaný projekt. Excel je koncipovaný ako súbor povinných polí, ktoré je potrebné vyplniť (žlté polia) a automatických prepočtov (šedé polia) pre všetky potrebné parametre, ktoré sú nevyhnutné na výpočet finálnej kalkulácie. </w:t>
      </w:r>
    </w:p>
    <w:p w14:paraId="20F65F6F" w14:textId="77777777" w:rsidR="00B2692C" w:rsidRDefault="00B2692C" w:rsidP="00B2692C">
      <w:pPr>
        <w:pStyle w:val="Nadpis2"/>
      </w:pPr>
      <w:bookmarkStart w:id="15" w:name="_Toc90977843"/>
      <w:r>
        <w:t>Prínosy vyplývajúce z výmeny IKT</w:t>
      </w:r>
      <w:bookmarkEnd w:id="15"/>
    </w:p>
    <w:p w14:paraId="26B7F533" w14:textId="77777777" w:rsidR="00B2692C" w:rsidRDefault="00B2692C" w:rsidP="00B2692C">
      <w:r>
        <w:t>Postup vyplňovania:</w:t>
      </w:r>
    </w:p>
    <w:p w14:paraId="7A467120" w14:textId="77777777" w:rsidR="00B2692C" w:rsidRDefault="00B2692C" w:rsidP="003819A3">
      <w:pPr>
        <w:pStyle w:val="Odsekzoznamu"/>
        <w:numPr>
          <w:ilvl w:val="0"/>
          <w:numId w:val="4"/>
        </w:numPr>
        <w:jc w:val="both"/>
      </w:pPr>
      <w:r>
        <w:t>Vyplnenie odhadu investičných výdavkov a ich zaradenie v čase (roky)</w:t>
      </w:r>
    </w:p>
    <w:p w14:paraId="7B6EE364" w14:textId="77777777" w:rsidR="00B2692C" w:rsidRDefault="00B2692C" w:rsidP="003819A3">
      <w:pPr>
        <w:pStyle w:val="Odsekzoznamu"/>
        <w:numPr>
          <w:ilvl w:val="0"/>
          <w:numId w:val="4"/>
        </w:numPr>
        <w:jc w:val="both"/>
      </w:pPr>
      <w:r>
        <w:t xml:space="preserve">Výber uplatnených USE </w:t>
      </w:r>
      <w:proofErr w:type="spellStart"/>
      <w:r>
        <w:t>CASEov</w:t>
      </w:r>
      <w:proofErr w:type="spellEnd"/>
      <w:r>
        <w:t>:</w:t>
      </w:r>
    </w:p>
    <w:p w14:paraId="68165C73" w14:textId="77777777" w:rsidR="00B2692C" w:rsidRDefault="00B2692C" w:rsidP="003819A3">
      <w:pPr>
        <w:pStyle w:val="Odsekzoznamu"/>
        <w:numPr>
          <w:ilvl w:val="1"/>
          <w:numId w:val="4"/>
        </w:numPr>
        <w:jc w:val="both"/>
      </w:pPr>
      <w:r>
        <w:t xml:space="preserve">Ak </w:t>
      </w:r>
      <w:r w:rsidRPr="005E31EE">
        <w:rPr>
          <w:b/>
          <w:bCs/>
        </w:rPr>
        <w:t>ANO</w:t>
      </w:r>
      <w:r>
        <w:rPr>
          <w:b/>
          <w:bCs/>
        </w:rPr>
        <w:t xml:space="preserve"> </w:t>
      </w:r>
      <w:r w:rsidRPr="005E31EE">
        <w:t>zob</w:t>
      </w:r>
      <w:r>
        <w:t xml:space="preserve">razí sa štruktúra daného </w:t>
      </w:r>
      <w:proofErr w:type="spellStart"/>
      <w:r>
        <w:t>caseu</w:t>
      </w:r>
      <w:proofErr w:type="spellEnd"/>
    </w:p>
    <w:p w14:paraId="3CE5A1FC" w14:textId="77777777" w:rsidR="00B2692C" w:rsidRDefault="00B2692C" w:rsidP="003819A3">
      <w:pPr>
        <w:pStyle w:val="Odsekzoznamu"/>
        <w:numPr>
          <w:ilvl w:val="1"/>
          <w:numId w:val="4"/>
        </w:numPr>
        <w:jc w:val="both"/>
      </w:pPr>
      <w:r>
        <w:t xml:space="preserve">Ak </w:t>
      </w:r>
      <w:r w:rsidRPr="00953CE7">
        <w:rPr>
          <w:b/>
          <w:bCs/>
        </w:rPr>
        <w:t>NIE</w:t>
      </w:r>
      <w:r>
        <w:t xml:space="preserve"> polia pre štruktúru </w:t>
      </w:r>
      <w:proofErr w:type="spellStart"/>
      <w:r>
        <w:t>caseu</w:t>
      </w:r>
      <w:proofErr w:type="spellEnd"/>
      <w:r>
        <w:t xml:space="preserve"> ostatnú neaktívne</w:t>
      </w:r>
    </w:p>
    <w:p w14:paraId="50842433" w14:textId="77777777" w:rsidR="00B2692C" w:rsidRDefault="00B2692C" w:rsidP="003819A3">
      <w:pPr>
        <w:pStyle w:val="Odsekzoznamu"/>
        <w:numPr>
          <w:ilvl w:val="0"/>
          <w:numId w:val="4"/>
        </w:numPr>
        <w:jc w:val="both"/>
      </w:pPr>
      <w:r>
        <w:t>Prípad – Prevádzkové náklady:</w:t>
      </w:r>
    </w:p>
    <w:p w14:paraId="786DA8B1" w14:textId="77777777" w:rsidR="00B2692C" w:rsidRDefault="00B2692C" w:rsidP="003819A3">
      <w:pPr>
        <w:pStyle w:val="Odsekzoznamu"/>
        <w:numPr>
          <w:ilvl w:val="1"/>
          <w:numId w:val="4"/>
        </w:numPr>
        <w:jc w:val="both"/>
      </w:pPr>
      <w:r>
        <w:t>Zadávané hodnoty:</w:t>
      </w:r>
    </w:p>
    <w:p w14:paraId="21ED8B49" w14:textId="77777777" w:rsidR="00B2692C" w:rsidRDefault="00B2692C" w:rsidP="003819A3">
      <w:pPr>
        <w:pStyle w:val="Odsekzoznamu"/>
        <w:numPr>
          <w:ilvl w:val="2"/>
          <w:numId w:val="4"/>
        </w:numPr>
        <w:jc w:val="both"/>
      </w:pPr>
      <w:r>
        <w:t xml:space="preserve"> Potrebné stanoviť prevádzkové náklady v čase – náklady na SLA existujúceho riešenia</w:t>
      </w:r>
    </w:p>
    <w:p w14:paraId="31052219" w14:textId="77777777" w:rsidR="00B2692C" w:rsidRDefault="00B2692C" w:rsidP="003819A3">
      <w:pPr>
        <w:pStyle w:val="Odsekzoznamu"/>
        <w:numPr>
          <w:ilvl w:val="2"/>
          <w:numId w:val="4"/>
        </w:numPr>
        <w:jc w:val="both"/>
      </w:pPr>
      <w:r>
        <w:t>Stanovenie % hodnoty SLA budúceho riešenia ako náklad na ročnú prevádzku</w:t>
      </w:r>
    </w:p>
    <w:p w14:paraId="2CF9E3DD" w14:textId="77777777" w:rsidR="00B2692C" w:rsidRDefault="00B2692C" w:rsidP="003819A3">
      <w:pPr>
        <w:pStyle w:val="Odsekzoznamu"/>
        <w:numPr>
          <w:ilvl w:val="2"/>
          <w:numId w:val="4"/>
        </w:numPr>
        <w:jc w:val="both"/>
      </w:pPr>
      <w:r>
        <w:lastRenderedPageBreak/>
        <w:t>Stanovenie ročných nákladov na rozvoj daného riešenia</w:t>
      </w:r>
    </w:p>
    <w:p w14:paraId="09A75368" w14:textId="77777777" w:rsidR="00B2692C" w:rsidRDefault="00B2692C" w:rsidP="003819A3">
      <w:pPr>
        <w:pStyle w:val="Odsekzoznamu"/>
        <w:numPr>
          <w:ilvl w:val="1"/>
          <w:numId w:val="4"/>
        </w:numPr>
        <w:jc w:val="both"/>
      </w:pPr>
      <w:r>
        <w:t>Dopočítané hodnoty:</w:t>
      </w:r>
    </w:p>
    <w:p w14:paraId="73376025" w14:textId="77777777" w:rsidR="00B2692C" w:rsidRDefault="00B2692C" w:rsidP="003819A3">
      <w:pPr>
        <w:pStyle w:val="Odsekzoznamu"/>
        <w:numPr>
          <w:ilvl w:val="2"/>
          <w:numId w:val="4"/>
        </w:numPr>
        <w:jc w:val="both"/>
      </w:pPr>
      <w:r>
        <w:t>Kumulatívne AS IS prevádzkové náklady</w:t>
      </w:r>
    </w:p>
    <w:p w14:paraId="2E706174" w14:textId="77777777" w:rsidR="00B2692C" w:rsidRDefault="00B2692C" w:rsidP="003819A3">
      <w:pPr>
        <w:pStyle w:val="Odsekzoznamu"/>
        <w:numPr>
          <w:ilvl w:val="2"/>
          <w:numId w:val="4"/>
        </w:numPr>
        <w:jc w:val="both"/>
      </w:pPr>
      <w:r>
        <w:t>Ročné prevádzkové náklady na SLA pre TO BE stav</w:t>
      </w:r>
    </w:p>
    <w:p w14:paraId="28577C47" w14:textId="77777777" w:rsidR="00B2692C" w:rsidRDefault="00B2692C" w:rsidP="003819A3">
      <w:pPr>
        <w:pStyle w:val="Odsekzoznamu"/>
        <w:numPr>
          <w:ilvl w:val="2"/>
          <w:numId w:val="4"/>
        </w:numPr>
        <w:jc w:val="both"/>
      </w:pPr>
      <w:r>
        <w:t>Kumulatívne TO BE prevádzkové náklady vrátane rozvoja</w:t>
      </w:r>
    </w:p>
    <w:p w14:paraId="3F47812A" w14:textId="77777777" w:rsidR="00B2692C" w:rsidRDefault="00B2692C" w:rsidP="003819A3">
      <w:pPr>
        <w:pStyle w:val="Odsekzoznamu"/>
        <w:numPr>
          <w:ilvl w:val="0"/>
          <w:numId w:val="4"/>
        </w:numPr>
        <w:jc w:val="both"/>
      </w:pPr>
      <w:r>
        <w:t>Prípad – Znemožnenie výkonu</w:t>
      </w:r>
    </w:p>
    <w:p w14:paraId="35330C23" w14:textId="77777777" w:rsidR="00B2692C" w:rsidRDefault="00B2692C" w:rsidP="003819A3">
      <w:pPr>
        <w:pStyle w:val="Odsekzoznamu"/>
        <w:numPr>
          <w:ilvl w:val="1"/>
          <w:numId w:val="4"/>
        </w:numPr>
        <w:jc w:val="both"/>
      </w:pPr>
      <w:r>
        <w:t>Zadávané hodnoty:</w:t>
      </w:r>
    </w:p>
    <w:p w14:paraId="0265796E" w14:textId="77777777" w:rsidR="00B2692C" w:rsidRDefault="00B2692C" w:rsidP="003819A3">
      <w:pPr>
        <w:pStyle w:val="Odsekzoznamu"/>
        <w:numPr>
          <w:ilvl w:val="2"/>
          <w:numId w:val="4"/>
        </w:numPr>
        <w:jc w:val="both"/>
      </w:pPr>
      <w:r>
        <w:t>Stanovenie % valorizácie mzdy zamestnancov, ktorí prichádzajú do styku s AS IS riešením pri výkone svojej agendy</w:t>
      </w:r>
    </w:p>
    <w:p w14:paraId="09F014DB" w14:textId="77777777" w:rsidR="00B2692C" w:rsidRDefault="00B2692C" w:rsidP="003819A3">
      <w:pPr>
        <w:pStyle w:val="Odsekzoznamu"/>
        <w:numPr>
          <w:ilvl w:val="2"/>
          <w:numId w:val="4"/>
        </w:numPr>
        <w:jc w:val="both"/>
      </w:pPr>
      <w:r>
        <w:t>Stanovenie % nárastu výpadkov AS IS riešenia v rokoch za predpokladu, že sa s daným riešením nebude nič robiť</w:t>
      </w:r>
    </w:p>
    <w:p w14:paraId="5A5CC943" w14:textId="77777777" w:rsidR="00B2692C" w:rsidRDefault="00B2692C" w:rsidP="003819A3">
      <w:pPr>
        <w:pStyle w:val="Odsekzoznamu"/>
        <w:numPr>
          <w:ilvl w:val="2"/>
          <w:numId w:val="4"/>
        </w:numPr>
        <w:jc w:val="both"/>
      </w:pPr>
      <w:r>
        <w:t>Počet pracovníkov, ktorý vykonávajú agendu, ktorá je závislá na funkčnosti AS IS riešenia</w:t>
      </w:r>
    </w:p>
    <w:p w14:paraId="34A1E68C" w14:textId="77777777" w:rsidR="00B2692C" w:rsidRDefault="00B2692C" w:rsidP="003819A3">
      <w:pPr>
        <w:pStyle w:val="Odsekzoznamu"/>
        <w:numPr>
          <w:ilvl w:val="2"/>
          <w:numId w:val="4"/>
        </w:numPr>
        <w:jc w:val="both"/>
      </w:pPr>
      <w:r>
        <w:t>Stanovenie % času pracovníkov, ktorý venujú výkonu agendy dotknutej AS IS riešením</w:t>
      </w:r>
    </w:p>
    <w:p w14:paraId="421663E6" w14:textId="77777777" w:rsidR="00B2692C" w:rsidRDefault="00B2692C" w:rsidP="003819A3">
      <w:pPr>
        <w:pStyle w:val="Odsekzoznamu"/>
        <w:numPr>
          <w:ilvl w:val="2"/>
          <w:numId w:val="4"/>
        </w:numPr>
        <w:jc w:val="both"/>
      </w:pPr>
      <w:r>
        <w:t>Stanovanie priemerného mzdového nákladu (</w:t>
      </w:r>
      <w:proofErr w:type="spellStart"/>
      <w:r>
        <w:t>superhrubá</w:t>
      </w:r>
      <w:proofErr w:type="spellEnd"/>
      <w:r>
        <w:t xml:space="preserve"> mzda + odmeny) pre rok 1</w:t>
      </w:r>
    </w:p>
    <w:p w14:paraId="70033CA1" w14:textId="77777777" w:rsidR="00B2692C" w:rsidRDefault="00B2692C" w:rsidP="003819A3">
      <w:pPr>
        <w:pStyle w:val="Odsekzoznamu"/>
        <w:numPr>
          <w:ilvl w:val="2"/>
          <w:numId w:val="4"/>
        </w:numPr>
        <w:jc w:val="both"/>
      </w:pPr>
      <w:r>
        <w:t>Stanovenie % výpadkov služby v 1. roku</w:t>
      </w:r>
    </w:p>
    <w:p w14:paraId="4739D0AB" w14:textId="77777777" w:rsidR="00B2692C" w:rsidRDefault="00B2692C" w:rsidP="003819A3">
      <w:pPr>
        <w:pStyle w:val="Odsekzoznamu"/>
        <w:numPr>
          <w:ilvl w:val="1"/>
          <w:numId w:val="4"/>
        </w:numPr>
        <w:jc w:val="both"/>
      </w:pPr>
      <w:r>
        <w:t>Dopočítané hodnoty:</w:t>
      </w:r>
    </w:p>
    <w:p w14:paraId="1007046B" w14:textId="77777777" w:rsidR="00B2692C" w:rsidRDefault="00B2692C" w:rsidP="003819A3">
      <w:pPr>
        <w:pStyle w:val="Odsekzoznamu"/>
        <w:numPr>
          <w:ilvl w:val="2"/>
          <w:numId w:val="4"/>
        </w:numPr>
        <w:jc w:val="both"/>
      </w:pPr>
      <w:r>
        <w:t>Mzdové náklady v rokoch 2 – 10</w:t>
      </w:r>
    </w:p>
    <w:p w14:paraId="78413D9B" w14:textId="77777777" w:rsidR="00B2692C" w:rsidRDefault="00B2692C" w:rsidP="003819A3">
      <w:pPr>
        <w:pStyle w:val="Odsekzoznamu"/>
        <w:numPr>
          <w:ilvl w:val="2"/>
          <w:numId w:val="4"/>
        </w:numPr>
        <w:jc w:val="both"/>
      </w:pPr>
      <w:r>
        <w:t>% výpadku služby v rokoch 2 – 10</w:t>
      </w:r>
    </w:p>
    <w:p w14:paraId="79E5611C" w14:textId="77777777" w:rsidR="00B2692C" w:rsidRDefault="00B2692C" w:rsidP="003819A3">
      <w:pPr>
        <w:pStyle w:val="Odsekzoznamu"/>
        <w:numPr>
          <w:ilvl w:val="2"/>
          <w:numId w:val="4"/>
        </w:numPr>
        <w:jc w:val="both"/>
      </w:pPr>
      <w:r>
        <w:t>Náklady na výpadky v aktuálnom roku</w:t>
      </w:r>
    </w:p>
    <w:p w14:paraId="6FCB6E79" w14:textId="77777777" w:rsidR="00B2692C" w:rsidRDefault="00B2692C" w:rsidP="003819A3">
      <w:pPr>
        <w:pStyle w:val="Odsekzoznamu"/>
        <w:numPr>
          <w:ilvl w:val="2"/>
          <w:numId w:val="4"/>
        </w:numPr>
        <w:jc w:val="both"/>
      </w:pPr>
      <w:r>
        <w:t>Kumulatívne náklady na výpadky počas 10 rokov</w:t>
      </w:r>
    </w:p>
    <w:p w14:paraId="6A5A092C" w14:textId="77777777" w:rsidR="00B2692C" w:rsidRDefault="00B2692C" w:rsidP="003819A3">
      <w:pPr>
        <w:pStyle w:val="Odsekzoznamu"/>
        <w:numPr>
          <w:ilvl w:val="0"/>
          <w:numId w:val="4"/>
        </w:numPr>
        <w:jc w:val="both"/>
      </w:pPr>
      <w:r>
        <w:t>Prípad – Zníženie rizika výpadku služby</w:t>
      </w:r>
    </w:p>
    <w:p w14:paraId="1B1EC882" w14:textId="77777777" w:rsidR="00B2692C" w:rsidRDefault="00B2692C" w:rsidP="003819A3">
      <w:pPr>
        <w:pStyle w:val="Odsekzoznamu"/>
        <w:numPr>
          <w:ilvl w:val="1"/>
          <w:numId w:val="4"/>
        </w:numPr>
        <w:jc w:val="both"/>
      </w:pPr>
      <w:r>
        <w:t>Zadávané hodnoty:</w:t>
      </w:r>
    </w:p>
    <w:p w14:paraId="06FEEFCF" w14:textId="77777777" w:rsidR="00B2692C" w:rsidRDefault="00B2692C" w:rsidP="003819A3">
      <w:pPr>
        <w:pStyle w:val="Odsekzoznamu"/>
        <w:numPr>
          <w:ilvl w:val="2"/>
          <w:numId w:val="4"/>
        </w:numPr>
        <w:jc w:val="both"/>
      </w:pPr>
      <w:r>
        <w:t>Stanovenie % nárastu výpadkov služieb v dôsledku zachovania AS IS stavu</w:t>
      </w:r>
    </w:p>
    <w:p w14:paraId="7D427DBC" w14:textId="77777777" w:rsidR="00B2692C" w:rsidRDefault="00B2692C" w:rsidP="003819A3">
      <w:pPr>
        <w:pStyle w:val="Odsekzoznamu"/>
        <w:numPr>
          <w:ilvl w:val="2"/>
          <w:numId w:val="4"/>
        </w:numPr>
        <w:jc w:val="both"/>
      </w:pPr>
      <w:r>
        <w:t>Stanovenie hodinovej mzdy v dotknutom sektore, ktorý využíva službu (môže byť priemerná hodinová mzda v národnom hospodárstve)</w:t>
      </w:r>
    </w:p>
    <w:p w14:paraId="7ADE9592" w14:textId="77777777" w:rsidR="00B2692C" w:rsidRDefault="00B2692C" w:rsidP="003819A3">
      <w:pPr>
        <w:pStyle w:val="Odsekzoznamu"/>
        <w:numPr>
          <w:ilvl w:val="2"/>
          <w:numId w:val="4"/>
        </w:numPr>
        <w:jc w:val="both"/>
      </w:pPr>
      <w:r>
        <w:t>Stanovenie % valorizácie mzdy zákazníkov využívajúcich služby</w:t>
      </w:r>
    </w:p>
    <w:p w14:paraId="481D010B" w14:textId="77777777" w:rsidR="00B2692C" w:rsidRDefault="00B2692C" w:rsidP="003819A3">
      <w:pPr>
        <w:pStyle w:val="Odsekzoznamu"/>
        <w:numPr>
          <w:ilvl w:val="2"/>
          <w:numId w:val="4"/>
        </w:numPr>
        <w:jc w:val="both"/>
      </w:pPr>
      <w:r>
        <w:t>Počet podaní ročne pre každý rok</w:t>
      </w:r>
    </w:p>
    <w:p w14:paraId="1BBDD858" w14:textId="77777777" w:rsidR="00B2692C" w:rsidRDefault="00B2692C" w:rsidP="003819A3">
      <w:pPr>
        <w:pStyle w:val="Odsekzoznamu"/>
        <w:numPr>
          <w:ilvl w:val="2"/>
          <w:numId w:val="4"/>
        </w:numPr>
        <w:jc w:val="both"/>
      </w:pPr>
      <w:r>
        <w:t>Dĺžka trvania služby v minútach</w:t>
      </w:r>
    </w:p>
    <w:p w14:paraId="5D21572C" w14:textId="77777777" w:rsidR="00B2692C" w:rsidRDefault="00B2692C" w:rsidP="003819A3">
      <w:pPr>
        <w:pStyle w:val="Odsekzoznamu"/>
        <w:numPr>
          <w:ilvl w:val="2"/>
          <w:numId w:val="4"/>
        </w:numPr>
        <w:jc w:val="both"/>
      </w:pPr>
      <w:r>
        <w:t>Stanovenie % výpadkov služby v 1. roku</w:t>
      </w:r>
    </w:p>
    <w:p w14:paraId="631A1D75" w14:textId="77777777" w:rsidR="00B2692C" w:rsidRDefault="00B2692C" w:rsidP="003819A3">
      <w:pPr>
        <w:pStyle w:val="Odsekzoznamu"/>
        <w:numPr>
          <w:ilvl w:val="2"/>
          <w:numId w:val="4"/>
        </w:numPr>
        <w:jc w:val="both"/>
      </w:pPr>
      <w:r>
        <w:t>Stanovenie % predĺženia pre potreby dokončenia služby klientom</w:t>
      </w:r>
    </w:p>
    <w:p w14:paraId="7BE8EF9C" w14:textId="77777777" w:rsidR="00B2692C" w:rsidRDefault="00B2692C" w:rsidP="003819A3">
      <w:pPr>
        <w:pStyle w:val="Odsekzoznamu"/>
        <w:numPr>
          <w:ilvl w:val="1"/>
          <w:numId w:val="4"/>
        </w:numPr>
        <w:jc w:val="both"/>
      </w:pPr>
      <w:r>
        <w:t>Dopočítané hodnoty:</w:t>
      </w:r>
    </w:p>
    <w:p w14:paraId="323D3945" w14:textId="77777777" w:rsidR="00B2692C" w:rsidRDefault="00B2692C" w:rsidP="003819A3">
      <w:pPr>
        <w:pStyle w:val="Odsekzoznamu"/>
        <w:numPr>
          <w:ilvl w:val="2"/>
          <w:numId w:val="4"/>
        </w:numPr>
        <w:jc w:val="both"/>
      </w:pPr>
      <w:r>
        <w:t>% výpadku služby v rokoch 2 – 10</w:t>
      </w:r>
    </w:p>
    <w:p w14:paraId="71CAE0CF" w14:textId="77777777" w:rsidR="00B2692C" w:rsidRDefault="00B2692C" w:rsidP="003819A3">
      <w:pPr>
        <w:pStyle w:val="Odsekzoznamu"/>
        <w:numPr>
          <w:ilvl w:val="2"/>
          <w:numId w:val="4"/>
        </w:numPr>
        <w:jc w:val="both"/>
      </w:pPr>
      <w:r>
        <w:t>Náklady na prestoje v aktuálnom roku</w:t>
      </w:r>
    </w:p>
    <w:p w14:paraId="0F1F4FC0" w14:textId="77777777" w:rsidR="00B2692C" w:rsidRDefault="00B2692C" w:rsidP="003819A3">
      <w:pPr>
        <w:pStyle w:val="Odsekzoznamu"/>
        <w:numPr>
          <w:ilvl w:val="2"/>
          <w:numId w:val="4"/>
        </w:numPr>
        <w:jc w:val="both"/>
      </w:pPr>
      <w:r>
        <w:t>Kumulatívne náklady na prestoje počas 10 rokov</w:t>
      </w:r>
    </w:p>
    <w:p w14:paraId="3F43379D" w14:textId="77777777" w:rsidR="00B2692C" w:rsidRPr="00C36BEB" w:rsidRDefault="00B2692C" w:rsidP="003819A3">
      <w:pPr>
        <w:pStyle w:val="Odsekzoznamu"/>
        <w:numPr>
          <w:ilvl w:val="0"/>
          <w:numId w:val="4"/>
        </w:numPr>
        <w:jc w:val="both"/>
      </w:pPr>
      <w:r>
        <w:t>Následne po vyplnení všetkých relevantných faktorov vyplní v riadku A, či je daný projekt rentabilný alebo nie, resp. za akých okolností je rentabilný, a v ktorom roku začína plynúť rentabilita.</w:t>
      </w:r>
    </w:p>
    <w:p w14:paraId="10B96B16" w14:textId="77777777" w:rsidR="00B2692C" w:rsidRDefault="00B2692C" w:rsidP="00B2692C">
      <w:pPr>
        <w:pStyle w:val="Nadpis2"/>
      </w:pPr>
      <w:bookmarkStart w:id="16" w:name="_Toc90977844"/>
      <w:r>
        <w:t>Prínosy vyplývajúce z optimalizácie / zefektívnenia výkonu agendy vďaka projektom</w:t>
      </w:r>
      <w:bookmarkEnd w:id="16"/>
    </w:p>
    <w:p w14:paraId="344DF7CB" w14:textId="77777777" w:rsidR="00B2692C" w:rsidRDefault="00B2692C" w:rsidP="00B2692C">
      <w:r>
        <w:t>Postup vyplňovania:</w:t>
      </w:r>
    </w:p>
    <w:p w14:paraId="2E28078E" w14:textId="77777777" w:rsidR="00B2692C" w:rsidRDefault="00B2692C" w:rsidP="003819A3">
      <w:pPr>
        <w:pStyle w:val="Odsekzoznamu"/>
        <w:numPr>
          <w:ilvl w:val="0"/>
          <w:numId w:val="6"/>
        </w:numPr>
        <w:jc w:val="both"/>
      </w:pPr>
      <w:r>
        <w:t>Vyplnenie odhadu investičných výdavkov a ich zaradenie v čase (roky)</w:t>
      </w:r>
    </w:p>
    <w:p w14:paraId="50B6A023" w14:textId="77777777" w:rsidR="00B2692C" w:rsidRDefault="00B2692C" w:rsidP="003819A3">
      <w:pPr>
        <w:pStyle w:val="Odsekzoznamu"/>
        <w:numPr>
          <w:ilvl w:val="0"/>
          <w:numId w:val="6"/>
        </w:numPr>
        <w:jc w:val="both"/>
      </w:pPr>
      <w:r>
        <w:t xml:space="preserve">Výber uplatnených USE </w:t>
      </w:r>
      <w:proofErr w:type="spellStart"/>
      <w:r>
        <w:t>CASEov</w:t>
      </w:r>
      <w:proofErr w:type="spellEnd"/>
      <w:r>
        <w:t>:</w:t>
      </w:r>
    </w:p>
    <w:p w14:paraId="092A387C" w14:textId="77777777" w:rsidR="00B2692C" w:rsidRDefault="00B2692C" w:rsidP="003819A3">
      <w:pPr>
        <w:pStyle w:val="Odsekzoznamu"/>
        <w:numPr>
          <w:ilvl w:val="1"/>
          <w:numId w:val="6"/>
        </w:numPr>
        <w:jc w:val="both"/>
      </w:pPr>
      <w:r>
        <w:t xml:space="preserve">Ak </w:t>
      </w:r>
      <w:r w:rsidRPr="005E31EE">
        <w:rPr>
          <w:b/>
          <w:bCs/>
        </w:rPr>
        <w:t>ANO</w:t>
      </w:r>
      <w:r>
        <w:rPr>
          <w:b/>
          <w:bCs/>
        </w:rPr>
        <w:t xml:space="preserve"> </w:t>
      </w:r>
      <w:r w:rsidRPr="005E31EE">
        <w:t>zob</w:t>
      </w:r>
      <w:r>
        <w:t xml:space="preserve">razí sa štruktúra daného </w:t>
      </w:r>
      <w:proofErr w:type="spellStart"/>
      <w:r>
        <w:t>caseu</w:t>
      </w:r>
      <w:proofErr w:type="spellEnd"/>
    </w:p>
    <w:p w14:paraId="33C59163" w14:textId="77777777" w:rsidR="00B2692C" w:rsidRDefault="00B2692C" w:rsidP="003819A3">
      <w:pPr>
        <w:pStyle w:val="Odsekzoznamu"/>
        <w:numPr>
          <w:ilvl w:val="1"/>
          <w:numId w:val="6"/>
        </w:numPr>
        <w:jc w:val="both"/>
      </w:pPr>
      <w:r>
        <w:t xml:space="preserve">Ak </w:t>
      </w:r>
      <w:r w:rsidRPr="00953CE7">
        <w:rPr>
          <w:b/>
          <w:bCs/>
        </w:rPr>
        <w:t>NIE</w:t>
      </w:r>
      <w:r>
        <w:t xml:space="preserve"> polia pre štruktúru </w:t>
      </w:r>
      <w:proofErr w:type="spellStart"/>
      <w:r>
        <w:t>caseu</w:t>
      </w:r>
      <w:proofErr w:type="spellEnd"/>
      <w:r>
        <w:t xml:space="preserve"> ostatnú neaktívne</w:t>
      </w:r>
    </w:p>
    <w:p w14:paraId="3D67607A" w14:textId="77777777" w:rsidR="00B2692C" w:rsidRDefault="00B2692C" w:rsidP="003819A3">
      <w:pPr>
        <w:pStyle w:val="Odsekzoznamu"/>
        <w:numPr>
          <w:ilvl w:val="0"/>
          <w:numId w:val="6"/>
        </w:numPr>
        <w:jc w:val="both"/>
      </w:pPr>
      <w:r>
        <w:lastRenderedPageBreak/>
        <w:t>Stanovte p</w:t>
      </w:r>
      <w:r w:rsidRPr="004C0A1A">
        <w:t>očet užívateľských požiadaviek v</w:t>
      </w:r>
      <w:r>
        <w:t> </w:t>
      </w:r>
      <w:r w:rsidRPr="004C0A1A">
        <w:t>systéme</w:t>
      </w:r>
      <w:r>
        <w:t>, ktoré budú následne predmetom kalkulácie pre ušetrený čas na strane štátu ako aj klienta</w:t>
      </w:r>
    </w:p>
    <w:p w14:paraId="41ECF62C" w14:textId="77777777" w:rsidR="00B2692C" w:rsidRDefault="00B2692C" w:rsidP="003819A3">
      <w:pPr>
        <w:pStyle w:val="Odsekzoznamu"/>
        <w:numPr>
          <w:ilvl w:val="0"/>
          <w:numId w:val="6"/>
        </w:numPr>
        <w:jc w:val="both"/>
      </w:pPr>
      <w:r>
        <w:t xml:space="preserve">Prípad – </w:t>
      </w:r>
      <w:r w:rsidRPr="005033B6">
        <w:t>Úspora nákladov na strane štátu</w:t>
      </w:r>
      <w:r>
        <w:t>:</w:t>
      </w:r>
    </w:p>
    <w:p w14:paraId="3AACC542" w14:textId="77777777" w:rsidR="00B2692C" w:rsidRDefault="00B2692C" w:rsidP="003819A3">
      <w:pPr>
        <w:pStyle w:val="Odsekzoznamu"/>
        <w:numPr>
          <w:ilvl w:val="1"/>
          <w:numId w:val="6"/>
        </w:numPr>
        <w:jc w:val="both"/>
      </w:pPr>
      <w:r>
        <w:t>Zadávané hodnoty:</w:t>
      </w:r>
    </w:p>
    <w:p w14:paraId="11185590" w14:textId="77777777" w:rsidR="00B2692C" w:rsidRDefault="00B2692C" w:rsidP="003819A3">
      <w:pPr>
        <w:pStyle w:val="Odsekzoznamu"/>
        <w:numPr>
          <w:ilvl w:val="2"/>
          <w:numId w:val="6"/>
        </w:numPr>
        <w:jc w:val="both"/>
      </w:pPr>
      <w:r>
        <w:t>Potrebné stanoviť priemerný hodinový náklad, ktorý obsahuje aj odvody na starne zamestnávateľa ako aj prípadné odmeny</w:t>
      </w:r>
      <w:r w:rsidRPr="004C0A1A">
        <w:tab/>
      </w:r>
    </w:p>
    <w:p w14:paraId="6D972DF5" w14:textId="77777777" w:rsidR="00B2692C" w:rsidRDefault="00B2692C" w:rsidP="003819A3">
      <w:pPr>
        <w:pStyle w:val="Odsekzoznamu"/>
        <w:numPr>
          <w:ilvl w:val="2"/>
          <w:numId w:val="6"/>
        </w:numPr>
        <w:jc w:val="both"/>
      </w:pPr>
      <w:r>
        <w:t>Stanovenie % valorizácie mzdy zamestnancov, ktorí vykonávajú agendu</w:t>
      </w:r>
    </w:p>
    <w:p w14:paraId="5BCAF621" w14:textId="77777777" w:rsidR="00B2692C" w:rsidRDefault="00B2692C" w:rsidP="003819A3">
      <w:pPr>
        <w:pStyle w:val="Odsekzoznamu"/>
        <w:numPr>
          <w:ilvl w:val="2"/>
          <w:numId w:val="6"/>
        </w:numPr>
        <w:jc w:val="both"/>
      </w:pPr>
      <w:r>
        <w:t>Stanovenie inflačného koeficientu pre potreby dopočtu materiálových nákladov</w:t>
      </w:r>
    </w:p>
    <w:p w14:paraId="14514002" w14:textId="77777777" w:rsidR="00B2692C" w:rsidRDefault="00B2692C" w:rsidP="003819A3">
      <w:pPr>
        <w:pStyle w:val="Odsekzoznamu"/>
        <w:numPr>
          <w:ilvl w:val="2"/>
          <w:numId w:val="6"/>
        </w:numPr>
        <w:jc w:val="both"/>
      </w:pPr>
      <w:r>
        <w:t>Stanovanie času spracovania podania v AS IS a TO BE stave, kedy údaje by mali vychádzať z analytických podkladov</w:t>
      </w:r>
    </w:p>
    <w:p w14:paraId="0C115569" w14:textId="77777777" w:rsidR="00B2692C" w:rsidRDefault="00B2692C" w:rsidP="003819A3">
      <w:pPr>
        <w:pStyle w:val="Odsekzoznamu"/>
        <w:numPr>
          <w:ilvl w:val="2"/>
          <w:numId w:val="6"/>
        </w:numPr>
        <w:jc w:val="both"/>
      </w:pPr>
      <w:r>
        <w:t>Stanovenie materiálových nákladov na jedno podanie</w:t>
      </w:r>
    </w:p>
    <w:p w14:paraId="100657F7" w14:textId="77777777" w:rsidR="00B2692C" w:rsidRDefault="00B2692C" w:rsidP="003819A3">
      <w:pPr>
        <w:pStyle w:val="Odsekzoznamu"/>
        <w:numPr>
          <w:ilvl w:val="1"/>
          <w:numId w:val="6"/>
        </w:numPr>
        <w:jc w:val="both"/>
      </w:pPr>
      <w:r>
        <w:t>Dopočítané hodnoty:</w:t>
      </w:r>
    </w:p>
    <w:p w14:paraId="5E6968C2" w14:textId="77777777" w:rsidR="00B2692C" w:rsidRDefault="00B2692C" w:rsidP="003819A3">
      <w:pPr>
        <w:pStyle w:val="Odsekzoznamu"/>
        <w:numPr>
          <w:ilvl w:val="2"/>
          <w:numId w:val="6"/>
        </w:numPr>
        <w:jc w:val="both"/>
      </w:pPr>
      <w:r>
        <w:t>Mzdový náklad v 2 – 10 roku</w:t>
      </w:r>
    </w:p>
    <w:p w14:paraId="0CE4C601" w14:textId="77777777" w:rsidR="00B2692C" w:rsidRDefault="00B2692C" w:rsidP="003819A3">
      <w:pPr>
        <w:pStyle w:val="Odsekzoznamu"/>
        <w:numPr>
          <w:ilvl w:val="2"/>
          <w:numId w:val="6"/>
        </w:numPr>
        <w:jc w:val="both"/>
      </w:pPr>
      <w:r>
        <w:t>Materiálový nákladov v 2 – 10 roku pre AS IS ako aj TO BE stav</w:t>
      </w:r>
    </w:p>
    <w:p w14:paraId="3F8CBA94" w14:textId="77777777" w:rsidR="00B2692C" w:rsidRDefault="00B2692C" w:rsidP="003819A3">
      <w:pPr>
        <w:pStyle w:val="Odsekzoznamu"/>
        <w:numPr>
          <w:ilvl w:val="2"/>
          <w:numId w:val="6"/>
        </w:numPr>
        <w:jc w:val="both"/>
      </w:pPr>
      <w:r>
        <w:t>Celkové ročné náklady AS IS a TO BE pre daný rok</w:t>
      </w:r>
    </w:p>
    <w:p w14:paraId="14DE8BAC" w14:textId="77777777" w:rsidR="00B2692C" w:rsidRDefault="00B2692C" w:rsidP="003819A3">
      <w:pPr>
        <w:pStyle w:val="Odsekzoznamu"/>
        <w:numPr>
          <w:ilvl w:val="2"/>
          <w:numId w:val="6"/>
        </w:numPr>
        <w:jc w:val="both"/>
      </w:pPr>
      <w:r>
        <w:t>Kumulatívne náklady na zabezpečenie agendy počas 10 rokov</w:t>
      </w:r>
    </w:p>
    <w:p w14:paraId="38A0F909" w14:textId="77777777" w:rsidR="00B2692C" w:rsidRDefault="00B2692C" w:rsidP="003819A3">
      <w:pPr>
        <w:pStyle w:val="Odsekzoznamu"/>
        <w:numPr>
          <w:ilvl w:val="0"/>
          <w:numId w:val="6"/>
        </w:numPr>
        <w:jc w:val="both"/>
      </w:pPr>
      <w:r>
        <w:t>Prípad – Úspora nákladov klienta</w:t>
      </w:r>
    </w:p>
    <w:p w14:paraId="127EA6EA" w14:textId="77777777" w:rsidR="00B2692C" w:rsidRDefault="00B2692C" w:rsidP="003819A3">
      <w:pPr>
        <w:pStyle w:val="Odsekzoznamu"/>
        <w:numPr>
          <w:ilvl w:val="1"/>
          <w:numId w:val="6"/>
        </w:numPr>
        <w:jc w:val="both"/>
      </w:pPr>
      <w:r>
        <w:t>Zadávané hodnoty:</w:t>
      </w:r>
    </w:p>
    <w:p w14:paraId="1FD60DEA" w14:textId="77777777" w:rsidR="00B2692C" w:rsidRDefault="00B2692C" w:rsidP="003819A3">
      <w:pPr>
        <w:pStyle w:val="Odsekzoznamu"/>
        <w:numPr>
          <w:ilvl w:val="2"/>
          <w:numId w:val="6"/>
        </w:numPr>
        <w:jc w:val="both"/>
      </w:pPr>
      <w:r>
        <w:t>Stanovenie hodinovej mzdy v dotknutom sektore, ktorý využíva službu (môže byť priemerná hodinová mzda v národnom hospodárstve)</w:t>
      </w:r>
      <w:r w:rsidRPr="004C0A1A">
        <w:tab/>
      </w:r>
    </w:p>
    <w:p w14:paraId="71E0989B" w14:textId="77777777" w:rsidR="00B2692C" w:rsidRDefault="00B2692C" w:rsidP="003819A3">
      <w:pPr>
        <w:pStyle w:val="Odsekzoznamu"/>
        <w:numPr>
          <w:ilvl w:val="2"/>
          <w:numId w:val="6"/>
        </w:numPr>
        <w:jc w:val="both"/>
      </w:pPr>
      <w:r>
        <w:t>Stanovenie % valorizácie mzdy zákazníkov využívajúcich služby</w:t>
      </w:r>
    </w:p>
    <w:p w14:paraId="504B60E7" w14:textId="77777777" w:rsidR="00B2692C" w:rsidRDefault="00B2692C" w:rsidP="003819A3">
      <w:pPr>
        <w:pStyle w:val="Odsekzoznamu"/>
        <w:numPr>
          <w:ilvl w:val="2"/>
          <w:numId w:val="6"/>
        </w:numPr>
        <w:jc w:val="both"/>
      </w:pPr>
      <w:r>
        <w:t>Stanovenie inflačného koeficientu pre potreby dopočtu materiálových nákladov</w:t>
      </w:r>
    </w:p>
    <w:p w14:paraId="76D15BA6" w14:textId="77777777" w:rsidR="00B2692C" w:rsidRDefault="00B2692C" w:rsidP="003819A3">
      <w:pPr>
        <w:pStyle w:val="Odsekzoznamu"/>
        <w:numPr>
          <w:ilvl w:val="2"/>
          <w:numId w:val="6"/>
        </w:numPr>
        <w:jc w:val="both"/>
      </w:pPr>
      <w:r>
        <w:t>Stanovanie času vypracovania podania klientom v AS IS a TO BE stave, kedy údaje by mali vychádzať z analytických podkladov</w:t>
      </w:r>
    </w:p>
    <w:p w14:paraId="58B5F86C" w14:textId="77777777" w:rsidR="00B2692C" w:rsidRDefault="00B2692C" w:rsidP="003819A3">
      <w:pPr>
        <w:pStyle w:val="Odsekzoznamu"/>
        <w:numPr>
          <w:ilvl w:val="2"/>
          <w:numId w:val="6"/>
        </w:numPr>
        <w:jc w:val="both"/>
      </w:pPr>
      <w:r>
        <w:t>Stanovenie materiálových nákladov na jedno vypracovávané podanie v 1. roku pre AS IS, ako aj TO BE stav</w:t>
      </w:r>
    </w:p>
    <w:p w14:paraId="580830A8" w14:textId="77777777" w:rsidR="00B2692C" w:rsidRDefault="00B2692C" w:rsidP="003819A3">
      <w:pPr>
        <w:pStyle w:val="Odsekzoznamu"/>
        <w:numPr>
          <w:ilvl w:val="1"/>
          <w:numId w:val="6"/>
        </w:numPr>
        <w:jc w:val="both"/>
      </w:pPr>
      <w:r>
        <w:t>Dopočítané hodnoty:</w:t>
      </w:r>
    </w:p>
    <w:p w14:paraId="4D3F8CAD" w14:textId="77777777" w:rsidR="00B2692C" w:rsidRDefault="00B2692C" w:rsidP="003819A3">
      <w:pPr>
        <w:pStyle w:val="Odsekzoznamu"/>
        <w:numPr>
          <w:ilvl w:val="2"/>
          <w:numId w:val="6"/>
        </w:numPr>
        <w:jc w:val="both"/>
      </w:pPr>
      <w:r>
        <w:t>Mzdový náklad v 2 – 10 roku</w:t>
      </w:r>
    </w:p>
    <w:p w14:paraId="1A04950D" w14:textId="77777777" w:rsidR="00B2692C" w:rsidRDefault="00B2692C" w:rsidP="003819A3">
      <w:pPr>
        <w:pStyle w:val="Odsekzoznamu"/>
        <w:numPr>
          <w:ilvl w:val="2"/>
          <w:numId w:val="6"/>
        </w:numPr>
        <w:jc w:val="both"/>
      </w:pPr>
      <w:r>
        <w:t>Materiálový nákladov v 2 – 10 roku pre AS IS ako aj TO BE stav</w:t>
      </w:r>
    </w:p>
    <w:p w14:paraId="3CD6E326" w14:textId="77777777" w:rsidR="00B2692C" w:rsidRDefault="00B2692C" w:rsidP="003819A3">
      <w:pPr>
        <w:pStyle w:val="Odsekzoznamu"/>
        <w:numPr>
          <w:ilvl w:val="2"/>
          <w:numId w:val="6"/>
        </w:numPr>
        <w:jc w:val="both"/>
      </w:pPr>
      <w:r>
        <w:t>Celkové ročné náklady AS IS a TO BE pre daný rok</w:t>
      </w:r>
    </w:p>
    <w:p w14:paraId="1AD4F0F7" w14:textId="77777777" w:rsidR="00B2692C" w:rsidRDefault="00B2692C" w:rsidP="003819A3">
      <w:pPr>
        <w:pStyle w:val="Odsekzoznamu"/>
        <w:numPr>
          <w:ilvl w:val="2"/>
          <w:numId w:val="6"/>
        </w:numPr>
        <w:jc w:val="both"/>
      </w:pPr>
      <w:r>
        <w:t>Kumulatívne náklady na zabezpečenie agendy počas 10 rokov</w:t>
      </w:r>
    </w:p>
    <w:p w14:paraId="762CE422" w14:textId="77777777" w:rsidR="00B2692C" w:rsidRDefault="00B2692C" w:rsidP="003819A3">
      <w:pPr>
        <w:pStyle w:val="Odsekzoznamu"/>
        <w:numPr>
          <w:ilvl w:val="0"/>
          <w:numId w:val="6"/>
        </w:numPr>
        <w:jc w:val="both"/>
      </w:pPr>
      <w:r>
        <w:t>Prípad - Kvalitatívne prínosy</w:t>
      </w:r>
    </w:p>
    <w:p w14:paraId="3338D33B" w14:textId="77777777" w:rsidR="00B2692C" w:rsidRDefault="00B2692C" w:rsidP="003819A3">
      <w:pPr>
        <w:pStyle w:val="Odsekzoznamu"/>
        <w:numPr>
          <w:ilvl w:val="1"/>
          <w:numId w:val="6"/>
        </w:numPr>
        <w:jc w:val="both"/>
      </w:pPr>
      <w:r>
        <w:t>Zadávané hodnoty:</w:t>
      </w:r>
    </w:p>
    <w:p w14:paraId="260C410C" w14:textId="77777777" w:rsidR="00B2692C" w:rsidRDefault="00B2692C" w:rsidP="003819A3">
      <w:pPr>
        <w:pStyle w:val="Odsekzoznamu"/>
        <w:numPr>
          <w:ilvl w:val="2"/>
          <w:numId w:val="6"/>
        </w:numPr>
        <w:jc w:val="both"/>
      </w:pPr>
      <w:r>
        <w:t>Hodnota dotknutých nákladov pre definovaný prínosy AS IS pre všetky roky</w:t>
      </w:r>
    </w:p>
    <w:p w14:paraId="3F282F31" w14:textId="77777777" w:rsidR="00B2692C" w:rsidRDefault="00B2692C" w:rsidP="003819A3">
      <w:pPr>
        <w:pStyle w:val="Odsekzoznamu"/>
        <w:numPr>
          <w:ilvl w:val="2"/>
          <w:numId w:val="6"/>
        </w:numPr>
        <w:jc w:val="both"/>
      </w:pPr>
      <w:r>
        <w:t>Hodnota dotknutých nákladov pre definovaný prínosy TO BE pre všetky roky</w:t>
      </w:r>
    </w:p>
    <w:p w14:paraId="03A74FBC" w14:textId="77777777" w:rsidR="00B2692C" w:rsidRDefault="00B2692C" w:rsidP="003819A3">
      <w:pPr>
        <w:pStyle w:val="Odsekzoznamu"/>
        <w:numPr>
          <w:ilvl w:val="1"/>
          <w:numId w:val="6"/>
        </w:numPr>
        <w:jc w:val="both"/>
      </w:pPr>
      <w:r>
        <w:t>Dopočítané hodnoty:</w:t>
      </w:r>
    </w:p>
    <w:p w14:paraId="44AA861C" w14:textId="77777777" w:rsidR="00B2692C" w:rsidRDefault="00B2692C" w:rsidP="003819A3">
      <w:pPr>
        <w:pStyle w:val="Odsekzoznamu"/>
        <w:numPr>
          <w:ilvl w:val="2"/>
          <w:numId w:val="6"/>
        </w:numPr>
        <w:jc w:val="both"/>
      </w:pPr>
      <w:r>
        <w:t>Kumulatívne náklady dotknutých prínosov AS IS</w:t>
      </w:r>
    </w:p>
    <w:p w14:paraId="5CE7BD75" w14:textId="77777777" w:rsidR="00B2692C" w:rsidRDefault="00B2692C" w:rsidP="003819A3">
      <w:pPr>
        <w:pStyle w:val="Odsekzoznamu"/>
        <w:numPr>
          <w:ilvl w:val="2"/>
          <w:numId w:val="6"/>
        </w:numPr>
        <w:jc w:val="both"/>
      </w:pPr>
      <w:r>
        <w:t>Kumulatívne náklady dotknutých prínosov TO BE</w:t>
      </w:r>
    </w:p>
    <w:p w14:paraId="415C10D0" w14:textId="77777777" w:rsidR="00B2692C" w:rsidRDefault="00B2692C" w:rsidP="003819A3">
      <w:pPr>
        <w:pStyle w:val="Odsekzoznamu"/>
        <w:numPr>
          <w:ilvl w:val="0"/>
          <w:numId w:val="6"/>
        </w:numPr>
        <w:jc w:val="both"/>
      </w:pPr>
      <w:r>
        <w:t>Následne po vyplnení všetkých relevantných faktorov vyplní v riadku A, či je daný projekt rentabilný alebo nie, resp. za akých okolností je rentabilný, a v ktorom roku začína plynúť rentabilita.</w:t>
      </w:r>
    </w:p>
    <w:p w14:paraId="03FDD734" w14:textId="77777777" w:rsidR="00B2692C" w:rsidRDefault="00B2692C" w:rsidP="00B2692C">
      <w:pPr>
        <w:pStyle w:val="Nadpis2"/>
      </w:pPr>
      <w:bookmarkStart w:id="17" w:name="_Toc90977845"/>
      <w:r>
        <w:t>SUMAR</w:t>
      </w:r>
      <w:bookmarkEnd w:id="17"/>
    </w:p>
    <w:p w14:paraId="3C359EFD" w14:textId="77777777" w:rsidR="00B2692C" w:rsidRDefault="00B2692C" w:rsidP="00B2692C">
      <w:r>
        <w:t xml:space="preserve">V tejto záložke sú skombinované hodnoty oboch spôsobov stanovenia prínosov ako aj súvisiacich investičných výdavkov. Hodnoty sú dopočítané a nie je potrebné ich meniť. </w:t>
      </w:r>
    </w:p>
    <w:p w14:paraId="7021131E" w14:textId="77777777" w:rsidR="00B2692C" w:rsidRPr="00763D5C" w:rsidRDefault="00B2692C" w:rsidP="00B2692C">
      <w:r>
        <w:lastRenderedPageBreak/>
        <w:t xml:space="preserve">Rovnako je výsledok podporený grafom, na ktorom je vidieť, v ktorom roku dochádza k návratnosti realizovaných projektov vo väzbe na identifikované prínosy. </w:t>
      </w:r>
    </w:p>
    <w:p w14:paraId="3FE7637B" w14:textId="77777777" w:rsidR="00B2692C" w:rsidRDefault="00B2692C" w:rsidP="00B2692C"/>
    <w:p w14:paraId="637805D2" w14:textId="77777777" w:rsidR="00DB638D" w:rsidRPr="00C745C8" w:rsidRDefault="00DB638D" w:rsidP="00DB638D">
      <w:pPr>
        <w:rPr>
          <w:rFonts w:cstheme="minorHAnsi"/>
        </w:rPr>
      </w:pPr>
    </w:p>
    <w:sectPr w:rsidR="00DB638D" w:rsidRPr="00C745C8" w:rsidSect="00FB343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C939" w14:textId="77777777" w:rsidR="003819A3" w:rsidRDefault="003819A3" w:rsidP="00FB3439">
      <w:pPr>
        <w:spacing w:after="0" w:line="240" w:lineRule="auto"/>
      </w:pPr>
      <w:r>
        <w:separator/>
      </w:r>
    </w:p>
  </w:endnote>
  <w:endnote w:type="continuationSeparator" w:id="0">
    <w:p w14:paraId="368BCA1B" w14:textId="77777777" w:rsidR="003819A3" w:rsidRDefault="003819A3" w:rsidP="00FB3439">
      <w:pPr>
        <w:spacing w:after="0" w:line="240" w:lineRule="auto"/>
      </w:pPr>
      <w:r>
        <w:continuationSeparator/>
      </w:r>
    </w:p>
  </w:endnote>
  <w:endnote w:type="continuationNotice" w:id="1">
    <w:p w14:paraId="2CB524CF" w14:textId="77777777" w:rsidR="003819A3" w:rsidRDefault="00381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87850"/>
      <w:docPartObj>
        <w:docPartGallery w:val="Page Numbers (Bottom of Page)"/>
        <w:docPartUnique/>
      </w:docPartObj>
    </w:sdtPr>
    <w:sdtEndPr/>
    <w:sdtContent>
      <w:p w14:paraId="2DFFD37F" w14:textId="736A2324" w:rsidR="00B224A1" w:rsidRDefault="00B224A1">
        <w:pPr>
          <w:pStyle w:val="Pta"/>
          <w:jc w:val="center"/>
        </w:pPr>
        <w:r>
          <w:fldChar w:fldCharType="begin"/>
        </w:r>
        <w:r>
          <w:instrText>PAGE   \* MERGEFORMAT</w:instrText>
        </w:r>
        <w:r>
          <w:fldChar w:fldCharType="separate"/>
        </w:r>
        <w:r w:rsidR="008B65F7">
          <w:rPr>
            <w:noProof/>
          </w:rPr>
          <w:t>1</w:t>
        </w:r>
        <w:r>
          <w:fldChar w:fldCharType="end"/>
        </w:r>
      </w:p>
    </w:sdtContent>
  </w:sdt>
  <w:p w14:paraId="3691E7B2" w14:textId="77777777" w:rsidR="00B224A1" w:rsidRDefault="00B224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C176" w14:textId="77777777" w:rsidR="003819A3" w:rsidRDefault="003819A3" w:rsidP="00FB3439">
      <w:pPr>
        <w:spacing w:after="0" w:line="240" w:lineRule="auto"/>
      </w:pPr>
      <w:r>
        <w:separator/>
      </w:r>
    </w:p>
  </w:footnote>
  <w:footnote w:type="continuationSeparator" w:id="0">
    <w:p w14:paraId="04A3515C" w14:textId="77777777" w:rsidR="003819A3" w:rsidRDefault="003819A3" w:rsidP="00FB3439">
      <w:pPr>
        <w:spacing w:after="0" w:line="240" w:lineRule="auto"/>
      </w:pPr>
      <w:r>
        <w:continuationSeparator/>
      </w:r>
    </w:p>
  </w:footnote>
  <w:footnote w:type="continuationNotice" w:id="1">
    <w:p w14:paraId="07243AE7" w14:textId="77777777" w:rsidR="003819A3" w:rsidRDefault="003819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1" w15:restartNumberingAfterBreak="0">
    <w:nsid w:val="34850E90"/>
    <w:multiLevelType w:val="hybridMultilevel"/>
    <w:tmpl w:val="D57CAD9A"/>
    <w:lvl w:ilvl="0" w:tplc="B354321C">
      <w:numFmt w:val="bullet"/>
      <w:lvlText w:val="-"/>
      <w:lvlJc w:val="left"/>
      <w:pPr>
        <w:ind w:left="408" w:hanging="360"/>
      </w:pPr>
      <w:rPr>
        <w:rFonts w:ascii="Calibri Light" w:eastAsiaTheme="minorHAnsi" w:hAnsi="Calibri Light" w:cs="Calibri Light" w:hint="default"/>
      </w:rPr>
    </w:lvl>
    <w:lvl w:ilvl="1" w:tplc="041B0003">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 w15:restartNumberingAfterBreak="0">
    <w:nsid w:val="39E971B2"/>
    <w:multiLevelType w:val="hybridMultilevel"/>
    <w:tmpl w:val="8238FEA6"/>
    <w:lvl w:ilvl="0" w:tplc="743CB14E">
      <w:numFmt w:val="bullet"/>
      <w:lvlText w:val="-"/>
      <w:lvlJc w:val="left"/>
      <w:pPr>
        <w:ind w:left="408" w:hanging="360"/>
      </w:pPr>
      <w:rPr>
        <w:rFonts w:ascii="Calibri Light" w:eastAsiaTheme="minorHAnsi" w:hAnsi="Calibri Light" w:cs="Calibri Light" w:hint="default"/>
      </w:rPr>
    </w:lvl>
    <w:lvl w:ilvl="1" w:tplc="041B0003">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3" w15:restartNumberingAfterBreak="0">
    <w:nsid w:val="492F5E8F"/>
    <w:multiLevelType w:val="hybridMultilevel"/>
    <w:tmpl w:val="91780ED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4354CD"/>
    <w:multiLevelType w:val="hybridMultilevel"/>
    <w:tmpl w:val="91780E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EA2914"/>
    <w:multiLevelType w:val="hybridMultilevel"/>
    <w:tmpl w:val="A4ACE97A"/>
    <w:lvl w:ilvl="0" w:tplc="5E08C08E">
      <w:start w:val="31"/>
      <w:numFmt w:val="bullet"/>
      <w:lvlText w:val="-"/>
      <w:lvlJc w:val="left"/>
      <w:pPr>
        <w:ind w:left="408" w:hanging="360"/>
      </w:pPr>
      <w:rPr>
        <w:rFonts w:ascii="Calibri Light" w:eastAsiaTheme="minorHAnsi" w:hAnsi="Calibri Light" w:cs="Calibri Light"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39"/>
    <w:rsid w:val="00016B1A"/>
    <w:rsid w:val="00033B3E"/>
    <w:rsid w:val="00096683"/>
    <w:rsid w:val="000968E9"/>
    <w:rsid w:val="000A4443"/>
    <w:rsid w:val="000C0BF0"/>
    <w:rsid w:val="000D5B6F"/>
    <w:rsid w:val="000E0901"/>
    <w:rsid w:val="000F5762"/>
    <w:rsid w:val="001100E4"/>
    <w:rsid w:val="00116823"/>
    <w:rsid w:val="00121E8F"/>
    <w:rsid w:val="00126842"/>
    <w:rsid w:val="0014293F"/>
    <w:rsid w:val="00166209"/>
    <w:rsid w:val="00184B57"/>
    <w:rsid w:val="001853D2"/>
    <w:rsid w:val="001C1C0B"/>
    <w:rsid w:val="001E5184"/>
    <w:rsid w:val="00203C38"/>
    <w:rsid w:val="00210636"/>
    <w:rsid w:val="00225F9D"/>
    <w:rsid w:val="00234DB2"/>
    <w:rsid w:val="002452FF"/>
    <w:rsid w:val="0026514D"/>
    <w:rsid w:val="00265A23"/>
    <w:rsid w:val="00281B53"/>
    <w:rsid w:val="002A547A"/>
    <w:rsid w:val="002B7E59"/>
    <w:rsid w:val="002C1FF9"/>
    <w:rsid w:val="002D75CC"/>
    <w:rsid w:val="00313244"/>
    <w:rsid w:val="0032488A"/>
    <w:rsid w:val="00336685"/>
    <w:rsid w:val="00346493"/>
    <w:rsid w:val="003517AB"/>
    <w:rsid w:val="003819A3"/>
    <w:rsid w:val="003B28E9"/>
    <w:rsid w:val="003B2C86"/>
    <w:rsid w:val="003C2702"/>
    <w:rsid w:val="003D5D71"/>
    <w:rsid w:val="00410BBA"/>
    <w:rsid w:val="004A000E"/>
    <w:rsid w:val="004C3961"/>
    <w:rsid w:val="004D594A"/>
    <w:rsid w:val="00527FB7"/>
    <w:rsid w:val="0053014D"/>
    <w:rsid w:val="005348EF"/>
    <w:rsid w:val="00547DA7"/>
    <w:rsid w:val="00562809"/>
    <w:rsid w:val="005743A3"/>
    <w:rsid w:val="0057457F"/>
    <w:rsid w:val="00580B5B"/>
    <w:rsid w:val="005B64A3"/>
    <w:rsid w:val="005D1205"/>
    <w:rsid w:val="005D5226"/>
    <w:rsid w:val="005E6BFF"/>
    <w:rsid w:val="0063111A"/>
    <w:rsid w:val="006319B8"/>
    <w:rsid w:val="0064314E"/>
    <w:rsid w:val="00684FF5"/>
    <w:rsid w:val="006A0529"/>
    <w:rsid w:val="006E3FF0"/>
    <w:rsid w:val="007078CF"/>
    <w:rsid w:val="0072028E"/>
    <w:rsid w:val="00751E64"/>
    <w:rsid w:val="007658CA"/>
    <w:rsid w:val="007703EA"/>
    <w:rsid w:val="007715B6"/>
    <w:rsid w:val="00795A59"/>
    <w:rsid w:val="007C4F51"/>
    <w:rsid w:val="007E2782"/>
    <w:rsid w:val="00816FC8"/>
    <w:rsid w:val="00822333"/>
    <w:rsid w:val="00843895"/>
    <w:rsid w:val="00881865"/>
    <w:rsid w:val="00883C96"/>
    <w:rsid w:val="008A6B6E"/>
    <w:rsid w:val="008B65F7"/>
    <w:rsid w:val="008E5150"/>
    <w:rsid w:val="008E597C"/>
    <w:rsid w:val="008F7BA4"/>
    <w:rsid w:val="009722E5"/>
    <w:rsid w:val="0098768C"/>
    <w:rsid w:val="00992DA1"/>
    <w:rsid w:val="009D60C8"/>
    <w:rsid w:val="009E470E"/>
    <w:rsid w:val="00A34DF3"/>
    <w:rsid w:val="00A434F5"/>
    <w:rsid w:val="00A515E6"/>
    <w:rsid w:val="00A55F99"/>
    <w:rsid w:val="00A74F43"/>
    <w:rsid w:val="00A8188A"/>
    <w:rsid w:val="00A92752"/>
    <w:rsid w:val="00AA60AD"/>
    <w:rsid w:val="00AE2218"/>
    <w:rsid w:val="00AF5EE8"/>
    <w:rsid w:val="00B00FF8"/>
    <w:rsid w:val="00B2210B"/>
    <w:rsid w:val="00B224A1"/>
    <w:rsid w:val="00B2692C"/>
    <w:rsid w:val="00B328D1"/>
    <w:rsid w:val="00BB7094"/>
    <w:rsid w:val="00BC5E98"/>
    <w:rsid w:val="00BE05D0"/>
    <w:rsid w:val="00BF0D86"/>
    <w:rsid w:val="00BF20E2"/>
    <w:rsid w:val="00C00DF9"/>
    <w:rsid w:val="00C16F6A"/>
    <w:rsid w:val="00C40B53"/>
    <w:rsid w:val="00C542DB"/>
    <w:rsid w:val="00C745C8"/>
    <w:rsid w:val="00C76B29"/>
    <w:rsid w:val="00C95825"/>
    <w:rsid w:val="00CA38BB"/>
    <w:rsid w:val="00CB1888"/>
    <w:rsid w:val="00CB430E"/>
    <w:rsid w:val="00CB522A"/>
    <w:rsid w:val="00CB6D62"/>
    <w:rsid w:val="00CB70EE"/>
    <w:rsid w:val="00CE207E"/>
    <w:rsid w:val="00CF65BA"/>
    <w:rsid w:val="00D03C8B"/>
    <w:rsid w:val="00D16C9B"/>
    <w:rsid w:val="00D445FD"/>
    <w:rsid w:val="00D5301A"/>
    <w:rsid w:val="00DA5C3A"/>
    <w:rsid w:val="00DB638D"/>
    <w:rsid w:val="00E21FDA"/>
    <w:rsid w:val="00E35F2F"/>
    <w:rsid w:val="00E4140A"/>
    <w:rsid w:val="00E4240E"/>
    <w:rsid w:val="00E435D8"/>
    <w:rsid w:val="00E9392C"/>
    <w:rsid w:val="00EA13B1"/>
    <w:rsid w:val="00EB4FC6"/>
    <w:rsid w:val="00EC493C"/>
    <w:rsid w:val="00EE23C4"/>
    <w:rsid w:val="00F14BE8"/>
    <w:rsid w:val="00F40A11"/>
    <w:rsid w:val="00F41B52"/>
    <w:rsid w:val="00F45863"/>
    <w:rsid w:val="00F70425"/>
    <w:rsid w:val="00F917E6"/>
    <w:rsid w:val="00F951FC"/>
    <w:rsid w:val="00FA2EEC"/>
    <w:rsid w:val="00FA6897"/>
    <w:rsid w:val="00FB1AA3"/>
    <w:rsid w:val="00FB3439"/>
    <w:rsid w:val="00FE3373"/>
    <w:rsid w:val="00FF0534"/>
    <w:rsid w:val="00FF4396"/>
    <w:rsid w:val="0127724E"/>
    <w:rsid w:val="03BD49EF"/>
    <w:rsid w:val="03E937DE"/>
    <w:rsid w:val="08C3F6B7"/>
    <w:rsid w:val="0F0ED98D"/>
    <w:rsid w:val="108B5887"/>
    <w:rsid w:val="14A4935E"/>
    <w:rsid w:val="167C2A21"/>
    <w:rsid w:val="19C9AD31"/>
    <w:rsid w:val="1AA714E6"/>
    <w:rsid w:val="1CD1D819"/>
    <w:rsid w:val="2646D41D"/>
    <w:rsid w:val="283E4B19"/>
    <w:rsid w:val="2DC300F1"/>
    <w:rsid w:val="2F009735"/>
    <w:rsid w:val="3173C9F0"/>
    <w:rsid w:val="32BF60F0"/>
    <w:rsid w:val="3D0FC2B1"/>
    <w:rsid w:val="3F7CEB22"/>
    <w:rsid w:val="458DEA09"/>
    <w:rsid w:val="47629390"/>
    <w:rsid w:val="4EB757CF"/>
    <w:rsid w:val="545C2C29"/>
    <w:rsid w:val="58AC9EC3"/>
    <w:rsid w:val="5A03CE10"/>
    <w:rsid w:val="5E3DDB53"/>
    <w:rsid w:val="64C97196"/>
    <w:rsid w:val="668FD1A7"/>
    <w:rsid w:val="699C6878"/>
    <w:rsid w:val="6A523786"/>
    <w:rsid w:val="6F12C4F0"/>
    <w:rsid w:val="6FFA7191"/>
    <w:rsid w:val="71579191"/>
    <w:rsid w:val="78CF1AA5"/>
    <w:rsid w:val="7A033493"/>
    <w:rsid w:val="7E39D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0679D"/>
  <w15:chartTrackingRefBased/>
  <w15:docId w15:val="{DF80DE40-CCED-4ED4-A105-2AECBCCD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B3439"/>
  </w:style>
  <w:style w:type="paragraph" w:styleId="Nadpis1">
    <w:name w:val="heading 1"/>
    <w:basedOn w:val="Normlny"/>
    <w:next w:val="Normlny"/>
    <w:link w:val="Nadpis1Char"/>
    <w:uiPriority w:val="9"/>
    <w:qFormat/>
    <w:rsid w:val="00FB34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B34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B34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C745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343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B343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FB3439"/>
    <w:rPr>
      <w:rFonts w:asciiTheme="majorHAnsi" w:eastAsiaTheme="majorEastAsia" w:hAnsiTheme="majorHAnsi" w:cstheme="majorBidi"/>
      <w:color w:val="1F4D78" w:themeColor="accent1" w:themeShade="7F"/>
      <w:sz w:val="24"/>
      <w:szCs w:val="24"/>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FB3439"/>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FB3439"/>
  </w:style>
  <w:style w:type="paragraph" w:styleId="Textkomentra">
    <w:name w:val="annotation text"/>
    <w:basedOn w:val="Normlny"/>
    <w:link w:val="TextkomentraChar"/>
    <w:uiPriority w:val="99"/>
    <w:unhideWhenUsed/>
    <w:rsid w:val="00FB3439"/>
    <w:pPr>
      <w:spacing w:line="240" w:lineRule="auto"/>
    </w:pPr>
    <w:rPr>
      <w:sz w:val="20"/>
      <w:szCs w:val="20"/>
    </w:rPr>
  </w:style>
  <w:style w:type="character" w:customStyle="1" w:styleId="TextkomentraChar">
    <w:name w:val="Text komentára Char"/>
    <w:basedOn w:val="Predvolenpsmoodseku"/>
    <w:link w:val="Textkomentra"/>
    <w:uiPriority w:val="99"/>
    <w:rsid w:val="00FB3439"/>
    <w:rPr>
      <w:sz w:val="20"/>
      <w:szCs w:val="20"/>
    </w:rPr>
  </w:style>
  <w:style w:type="paragraph" w:styleId="Predmetkomentra">
    <w:name w:val="annotation subject"/>
    <w:basedOn w:val="Textkomentra"/>
    <w:next w:val="Textkomentra"/>
    <w:link w:val="PredmetkomentraChar"/>
    <w:uiPriority w:val="99"/>
    <w:semiHidden/>
    <w:unhideWhenUsed/>
    <w:rsid w:val="00FB3439"/>
    <w:rPr>
      <w:b/>
      <w:bCs/>
    </w:rPr>
  </w:style>
  <w:style w:type="character" w:customStyle="1" w:styleId="PredmetkomentraChar">
    <w:name w:val="Predmet komentára Char"/>
    <w:basedOn w:val="TextkomentraChar"/>
    <w:link w:val="Predmetkomentra"/>
    <w:uiPriority w:val="99"/>
    <w:semiHidden/>
    <w:rsid w:val="00FB3439"/>
    <w:rPr>
      <w:b/>
      <w:bCs/>
      <w:sz w:val="20"/>
      <w:szCs w:val="20"/>
    </w:rPr>
  </w:style>
  <w:style w:type="paragraph" w:styleId="Textpoznmkypodiarou">
    <w:name w:val="footnote text"/>
    <w:aliases w:val="Footnote Text Char,Znak"/>
    <w:basedOn w:val="Normlny"/>
    <w:link w:val="TextpoznmkypodiarouChar"/>
    <w:uiPriority w:val="99"/>
    <w:unhideWhenUsed/>
    <w:rsid w:val="00FB3439"/>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FB3439"/>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FB3439"/>
    <w:rPr>
      <w:vertAlign w:val="superscript"/>
    </w:rPr>
  </w:style>
  <w:style w:type="table" w:styleId="Mriekatabuky">
    <w:name w:val="Table Grid"/>
    <w:basedOn w:val="Normlnatabuka"/>
    <w:uiPriority w:val="39"/>
    <w:rsid w:val="00FB3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439"/>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FB3439"/>
    <w:pPr>
      <w:spacing w:after="0" w:line="240" w:lineRule="auto"/>
    </w:pPr>
  </w:style>
  <w:style w:type="character" w:customStyle="1" w:styleId="footnotereference">
    <w:name w:val="footnotereference"/>
    <w:basedOn w:val="Predvolenpsmoodseku"/>
    <w:rsid w:val="00FB3439"/>
  </w:style>
  <w:style w:type="character" w:styleId="Hypertextovprepojenie">
    <w:name w:val="Hyperlink"/>
    <w:basedOn w:val="Predvolenpsmoodseku"/>
    <w:uiPriority w:val="99"/>
    <w:unhideWhenUsed/>
    <w:rsid w:val="00FB3439"/>
    <w:rPr>
      <w:color w:val="0000FF"/>
      <w:u w:val="single"/>
    </w:rPr>
  </w:style>
  <w:style w:type="character" w:customStyle="1" w:styleId="tab">
    <w:name w:val="tab"/>
    <w:basedOn w:val="Predvolenpsmoodseku"/>
    <w:rsid w:val="00FB3439"/>
  </w:style>
  <w:style w:type="character" w:customStyle="1" w:styleId="oj-super">
    <w:name w:val="oj-super"/>
    <w:basedOn w:val="Predvolenpsmoodseku"/>
    <w:rsid w:val="00FB3439"/>
  </w:style>
  <w:style w:type="character" w:customStyle="1" w:styleId="jlqj4b">
    <w:name w:val="jlqj4b"/>
    <w:basedOn w:val="Predvolenpsmoodseku"/>
    <w:rsid w:val="00FB3439"/>
  </w:style>
  <w:style w:type="paragraph" w:customStyle="1" w:styleId="Odrkykrouek">
    <w:name w:val="Odrážky_kroužek"/>
    <w:basedOn w:val="Normlny"/>
    <w:link w:val="OdrkykrouekChar"/>
    <w:uiPriority w:val="99"/>
    <w:qFormat/>
    <w:rsid w:val="00FB3439"/>
    <w:pPr>
      <w:numPr>
        <w:numId w:val="1"/>
      </w:numPr>
      <w:spacing w:before="120" w:after="120" w:line="360" w:lineRule="auto"/>
      <w:contextualSpacing/>
      <w:jc w:val="both"/>
    </w:pPr>
    <w:rPr>
      <w:rFonts w:ascii="Arial" w:eastAsia="Times New Roman" w:hAnsi="Arial" w:cs="Arial"/>
      <w:sz w:val="20"/>
      <w:szCs w:val="20"/>
      <w:lang w:val="cs-CZ"/>
    </w:rPr>
  </w:style>
  <w:style w:type="character" w:customStyle="1" w:styleId="OdrkykrouekChar">
    <w:name w:val="Odrážky_kroužek Char"/>
    <w:basedOn w:val="Predvolenpsmoodseku"/>
    <w:link w:val="Odrkykrouek"/>
    <w:uiPriority w:val="99"/>
    <w:locked/>
    <w:rsid w:val="00FB3439"/>
    <w:rPr>
      <w:rFonts w:ascii="Arial" w:eastAsia="Times New Roman" w:hAnsi="Arial" w:cs="Arial"/>
      <w:sz w:val="20"/>
      <w:szCs w:val="20"/>
      <w:lang w:val="cs-CZ"/>
    </w:rPr>
  </w:style>
  <w:style w:type="paragraph" w:customStyle="1" w:styleId="m-4155046798383409250msolistparagraph">
    <w:name w:val="m_-4155046798383409250msolistparagraph"/>
    <w:basedOn w:val="Normlny"/>
    <w:rsid w:val="00FB343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FB3439"/>
    <w:pPr>
      <w:outlineLvl w:val="9"/>
    </w:pPr>
    <w:rPr>
      <w:lang w:eastAsia="sk-SK"/>
    </w:rPr>
  </w:style>
  <w:style w:type="paragraph" w:styleId="Obsah1">
    <w:name w:val="toc 1"/>
    <w:basedOn w:val="Normlny"/>
    <w:next w:val="Normlny"/>
    <w:autoRedefine/>
    <w:uiPriority w:val="39"/>
    <w:unhideWhenUsed/>
    <w:rsid w:val="00FB3439"/>
    <w:pPr>
      <w:spacing w:after="100"/>
    </w:pPr>
  </w:style>
  <w:style w:type="paragraph" w:styleId="Obsah2">
    <w:name w:val="toc 2"/>
    <w:basedOn w:val="Normlny"/>
    <w:next w:val="Normlny"/>
    <w:autoRedefine/>
    <w:uiPriority w:val="39"/>
    <w:unhideWhenUsed/>
    <w:rsid w:val="00FB3439"/>
    <w:pPr>
      <w:spacing w:after="100"/>
      <w:ind w:left="220"/>
    </w:pPr>
  </w:style>
  <w:style w:type="paragraph" w:styleId="Obsah3">
    <w:name w:val="toc 3"/>
    <w:basedOn w:val="Normlny"/>
    <w:next w:val="Normlny"/>
    <w:autoRedefine/>
    <w:uiPriority w:val="39"/>
    <w:unhideWhenUsed/>
    <w:rsid w:val="00FB3439"/>
    <w:pPr>
      <w:spacing w:after="100"/>
      <w:ind w:left="440"/>
    </w:pPr>
  </w:style>
  <w:style w:type="character" w:styleId="Vrazn">
    <w:name w:val="Strong"/>
    <w:basedOn w:val="Predvolenpsmoodseku"/>
    <w:uiPriority w:val="22"/>
    <w:qFormat/>
    <w:rsid w:val="00FB3439"/>
    <w:rPr>
      <w:b/>
      <w:bCs/>
    </w:rPr>
  </w:style>
  <w:style w:type="paragraph" w:styleId="Hlavika">
    <w:name w:val="header"/>
    <w:basedOn w:val="Normlny"/>
    <w:link w:val="HlavikaChar"/>
    <w:uiPriority w:val="99"/>
    <w:unhideWhenUsed/>
    <w:rsid w:val="00FB343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3439"/>
  </w:style>
  <w:style w:type="paragraph" w:styleId="Pta">
    <w:name w:val="footer"/>
    <w:basedOn w:val="Normlny"/>
    <w:link w:val="PtaChar"/>
    <w:uiPriority w:val="99"/>
    <w:unhideWhenUsed/>
    <w:rsid w:val="00FB3439"/>
    <w:pPr>
      <w:tabs>
        <w:tab w:val="center" w:pos="4536"/>
        <w:tab w:val="right" w:pos="9072"/>
      </w:tabs>
      <w:spacing w:after="0" w:line="240" w:lineRule="auto"/>
    </w:pPr>
  </w:style>
  <w:style w:type="character" w:customStyle="1" w:styleId="PtaChar">
    <w:name w:val="Päta Char"/>
    <w:basedOn w:val="Predvolenpsmoodseku"/>
    <w:link w:val="Pta"/>
    <w:uiPriority w:val="99"/>
    <w:rsid w:val="00FB3439"/>
  </w:style>
  <w:style w:type="character" w:customStyle="1" w:styleId="TextbublinyChar">
    <w:name w:val="Text bubliny Char"/>
    <w:basedOn w:val="Predvolenpsmoodseku"/>
    <w:link w:val="Textbubliny"/>
    <w:uiPriority w:val="99"/>
    <w:semiHidden/>
    <w:rsid w:val="00FB3439"/>
    <w:rPr>
      <w:rFonts w:ascii="Segoe UI" w:hAnsi="Segoe UI" w:cs="Segoe UI"/>
      <w:sz w:val="18"/>
      <w:szCs w:val="18"/>
    </w:rPr>
  </w:style>
  <w:style w:type="paragraph" w:styleId="Textbubliny">
    <w:name w:val="Balloon Text"/>
    <w:basedOn w:val="Normlny"/>
    <w:link w:val="TextbublinyChar"/>
    <w:uiPriority w:val="99"/>
    <w:semiHidden/>
    <w:unhideWhenUsed/>
    <w:rsid w:val="00FB3439"/>
    <w:pPr>
      <w:spacing w:after="0" w:line="240" w:lineRule="auto"/>
    </w:pPr>
    <w:rPr>
      <w:rFonts w:ascii="Segoe UI" w:hAnsi="Segoe UI" w:cs="Segoe UI"/>
      <w:sz w:val="18"/>
      <w:szCs w:val="18"/>
    </w:rPr>
  </w:style>
  <w:style w:type="character" w:styleId="PouitHypertextovPrepojenie">
    <w:name w:val="FollowedHyperlink"/>
    <w:basedOn w:val="Predvolenpsmoodseku"/>
    <w:uiPriority w:val="99"/>
    <w:semiHidden/>
    <w:unhideWhenUsed/>
    <w:rsid w:val="00F14BE8"/>
    <w:rPr>
      <w:color w:val="954F72" w:themeColor="followedHyperlink"/>
      <w:u w:val="single"/>
    </w:rPr>
  </w:style>
  <w:style w:type="paragraph" w:customStyle="1" w:styleId="Standard">
    <w:name w:val="Standard"/>
    <w:rsid w:val="00AA60AD"/>
    <w:pPr>
      <w:suppressAutoHyphens/>
      <w:autoSpaceDN w:val="0"/>
      <w:spacing w:after="0" w:line="240" w:lineRule="auto"/>
      <w:textAlignment w:val="baseline"/>
    </w:pPr>
    <w:rPr>
      <w:rFonts w:ascii="Calibri" w:eastAsia="SimSun" w:hAnsi="Calibri" w:cs="Times New Roman"/>
      <w:kern w:val="3"/>
    </w:rPr>
  </w:style>
  <w:style w:type="character" w:styleId="Odkaznakomentr">
    <w:name w:val="annotation reference"/>
    <w:basedOn w:val="Predvolenpsmoodseku"/>
    <w:uiPriority w:val="99"/>
    <w:semiHidden/>
    <w:unhideWhenUsed/>
    <w:rsid w:val="00CB1888"/>
    <w:rPr>
      <w:sz w:val="16"/>
      <w:szCs w:val="16"/>
    </w:rPr>
  </w:style>
  <w:style w:type="character" w:styleId="Zvraznenie">
    <w:name w:val="Emphasis"/>
    <w:basedOn w:val="Predvolenpsmoodseku"/>
    <w:uiPriority w:val="20"/>
    <w:qFormat/>
    <w:rsid w:val="00C40B53"/>
    <w:rPr>
      <w:i/>
      <w:iCs/>
    </w:rPr>
  </w:style>
  <w:style w:type="character" w:customStyle="1" w:styleId="Nadpis4Char">
    <w:name w:val="Nadpis 4 Char"/>
    <w:basedOn w:val="Predvolenpsmoodseku"/>
    <w:link w:val="Nadpis4"/>
    <w:uiPriority w:val="9"/>
    <w:rsid w:val="00C745C8"/>
    <w:rPr>
      <w:rFonts w:asciiTheme="majorHAnsi" w:eastAsiaTheme="majorEastAsia" w:hAnsiTheme="majorHAnsi" w:cstheme="majorBidi"/>
      <w:i/>
      <w:iCs/>
      <w:color w:val="2E74B5" w:themeColor="accent1" w:themeShade="BF"/>
    </w:rPr>
  </w:style>
  <w:style w:type="paragraph" w:styleId="Nzov">
    <w:name w:val="Title"/>
    <w:basedOn w:val="Normlny"/>
    <w:next w:val="Normlny"/>
    <w:link w:val="NzovChar"/>
    <w:uiPriority w:val="10"/>
    <w:qFormat/>
    <w:rsid w:val="00B2692C"/>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2692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2692C"/>
    <w:pPr>
      <w:numPr>
        <w:ilvl w:val="1"/>
      </w:numPr>
      <w:jc w:val="both"/>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B2692C"/>
    <w:rPr>
      <w:rFonts w:eastAsiaTheme="minorEastAsia"/>
      <w:color w:val="5A5A5A" w:themeColor="text1" w:themeTint="A5"/>
      <w:spacing w:val="15"/>
    </w:rPr>
  </w:style>
  <w:style w:type="table" w:styleId="Mriekatabukysvetl">
    <w:name w:val="Grid Table Light"/>
    <w:basedOn w:val="Normlnatabuka"/>
    <w:uiPriority w:val="40"/>
    <w:rsid w:val="00B2692C"/>
    <w:pPr>
      <w:spacing w:after="0" w:line="240" w:lineRule="auto"/>
    </w:pPr>
    <w:rPr>
      <w:rFonts w:ascii="Calibri Light" w:hAnsi="Calibri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7334">
      <w:bodyDiv w:val="1"/>
      <w:marLeft w:val="0"/>
      <w:marRight w:val="0"/>
      <w:marTop w:val="0"/>
      <w:marBottom w:val="0"/>
      <w:divBdr>
        <w:top w:val="none" w:sz="0" w:space="0" w:color="auto"/>
        <w:left w:val="none" w:sz="0" w:space="0" w:color="auto"/>
        <w:bottom w:val="none" w:sz="0" w:space="0" w:color="auto"/>
        <w:right w:val="none" w:sz="0" w:space="0" w:color="auto"/>
      </w:divBdr>
    </w:div>
    <w:div w:id="176700448">
      <w:bodyDiv w:val="1"/>
      <w:marLeft w:val="0"/>
      <w:marRight w:val="0"/>
      <w:marTop w:val="0"/>
      <w:marBottom w:val="0"/>
      <w:divBdr>
        <w:top w:val="none" w:sz="0" w:space="0" w:color="auto"/>
        <w:left w:val="none" w:sz="0" w:space="0" w:color="auto"/>
        <w:bottom w:val="none" w:sz="0" w:space="0" w:color="auto"/>
        <w:right w:val="none" w:sz="0" w:space="0" w:color="auto"/>
      </w:divBdr>
      <w:divsChild>
        <w:div w:id="404036117">
          <w:marLeft w:val="0"/>
          <w:marRight w:val="0"/>
          <w:marTop w:val="0"/>
          <w:marBottom w:val="240"/>
          <w:divBdr>
            <w:top w:val="none" w:sz="0" w:space="0" w:color="auto"/>
            <w:left w:val="none" w:sz="0" w:space="0" w:color="auto"/>
            <w:bottom w:val="none" w:sz="0" w:space="0" w:color="auto"/>
            <w:right w:val="none" w:sz="0" w:space="0" w:color="auto"/>
          </w:divBdr>
        </w:div>
        <w:div w:id="676926689">
          <w:marLeft w:val="0"/>
          <w:marRight w:val="0"/>
          <w:marTop w:val="100"/>
          <w:marBottom w:val="100"/>
          <w:divBdr>
            <w:top w:val="none" w:sz="0" w:space="0" w:color="auto"/>
            <w:left w:val="none" w:sz="0" w:space="0" w:color="auto"/>
            <w:bottom w:val="none" w:sz="0" w:space="0" w:color="auto"/>
            <w:right w:val="none" w:sz="0" w:space="0" w:color="auto"/>
          </w:divBdr>
        </w:div>
        <w:div w:id="2132941399">
          <w:marLeft w:val="0"/>
          <w:marRight w:val="0"/>
          <w:marTop w:val="0"/>
          <w:marBottom w:val="300"/>
          <w:divBdr>
            <w:top w:val="none" w:sz="0" w:space="0" w:color="auto"/>
            <w:left w:val="none" w:sz="0" w:space="0" w:color="auto"/>
            <w:bottom w:val="single" w:sz="6" w:space="8" w:color="EFEFEF"/>
            <w:right w:val="none" w:sz="0" w:space="0" w:color="auto"/>
          </w:divBdr>
        </w:div>
      </w:divsChild>
    </w:div>
    <w:div w:id="612441185">
      <w:bodyDiv w:val="1"/>
      <w:marLeft w:val="0"/>
      <w:marRight w:val="0"/>
      <w:marTop w:val="0"/>
      <w:marBottom w:val="0"/>
      <w:divBdr>
        <w:top w:val="none" w:sz="0" w:space="0" w:color="auto"/>
        <w:left w:val="none" w:sz="0" w:space="0" w:color="auto"/>
        <w:bottom w:val="none" w:sz="0" w:space="0" w:color="auto"/>
        <w:right w:val="none" w:sz="0" w:space="0" w:color="auto"/>
      </w:divBdr>
      <w:divsChild>
        <w:div w:id="147328212">
          <w:marLeft w:val="255"/>
          <w:marRight w:val="0"/>
          <w:marTop w:val="75"/>
          <w:marBottom w:val="0"/>
          <w:divBdr>
            <w:top w:val="none" w:sz="0" w:space="0" w:color="auto"/>
            <w:left w:val="none" w:sz="0" w:space="0" w:color="auto"/>
            <w:bottom w:val="none" w:sz="0" w:space="0" w:color="auto"/>
            <w:right w:val="none" w:sz="0" w:space="0" w:color="auto"/>
          </w:divBdr>
          <w:divsChild>
            <w:div w:id="1219173635">
              <w:marLeft w:val="0"/>
              <w:marRight w:val="225"/>
              <w:marTop w:val="0"/>
              <w:marBottom w:val="0"/>
              <w:divBdr>
                <w:top w:val="none" w:sz="0" w:space="0" w:color="auto"/>
                <w:left w:val="none" w:sz="0" w:space="0" w:color="auto"/>
                <w:bottom w:val="none" w:sz="0" w:space="0" w:color="auto"/>
                <w:right w:val="none" w:sz="0" w:space="0" w:color="auto"/>
              </w:divBdr>
            </w:div>
          </w:divsChild>
        </w:div>
        <w:div w:id="243614208">
          <w:marLeft w:val="255"/>
          <w:marRight w:val="0"/>
          <w:marTop w:val="75"/>
          <w:marBottom w:val="0"/>
          <w:divBdr>
            <w:top w:val="none" w:sz="0" w:space="0" w:color="auto"/>
            <w:left w:val="none" w:sz="0" w:space="0" w:color="auto"/>
            <w:bottom w:val="none" w:sz="0" w:space="0" w:color="auto"/>
            <w:right w:val="none" w:sz="0" w:space="0" w:color="auto"/>
          </w:divBdr>
          <w:divsChild>
            <w:div w:id="509875896">
              <w:marLeft w:val="0"/>
              <w:marRight w:val="225"/>
              <w:marTop w:val="0"/>
              <w:marBottom w:val="0"/>
              <w:divBdr>
                <w:top w:val="none" w:sz="0" w:space="0" w:color="auto"/>
                <w:left w:val="none" w:sz="0" w:space="0" w:color="auto"/>
                <w:bottom w:val="none" w:sz="0" w:space="0" w:color="auto"/>
                <w:right w:val="none" w:sz="0" w:space="0" w:color="auto"/>
              </w:divBdr>
            </w:div>
          </w:divsChild>
        </w:div>
        <w:div w:id="482744304">
          <w:marLeft w:val="255"/>
          <w:marRight w:val="0"/>
          <w:marTop w:val="75"/>
          <w:marBottom w:val="0"/>
          <w:divBdr>
            <w:top w:val="none" w:sz="0" w:space="0" w:color="auto"/>
            <w:left w:val="none" w:sz="0" w:space="0" w:color="auto"/>
            <w:bottom w:val="none" w:sz="0" w:space="0" w:color="auto"/>
            <w:right w:val="none" w:sz="0" w:space="0" w:color="auto"/>
          </w:divBdr>
          <w:divsChild>
            <w:div w:id="137233716">
              <w:marLeft w:val="0"/>
              <w:marRight w:val="225"/>
              <w:marTop w:val="0"/>
              <w:marBottom w:val="0"/>
              <w:divBdr>
                <w:top w:val="none" w:sz="0" w:space="0" w:color="auto"/>
                <w:left w:val="none" w:sz="0" w:space="0" w:color="auto"/>
                <w:bottom w:val="none" w:sz="0" w:space="0" w:color="auto"/>
                <w:right w:val="none" w:sz="0" w:space="0" w:color="auto"/>
              </w:divBdr>
            </w:div>
          </w:divsChild>
        </w:div>
        <w:div w:id="771128043">
          <w:marLeft w:val="255"/>
          <w:marRight w:val="0"/>
          <w:marTop w:val="75"/>
          <w:marBottom w:val="0"/>
          <w:divBdr>
            <w:top w:val="none" w:sz="0" w:space="0" w:color="auto"/>
            <w:left w:val="none" w:sz="0" w:space="0" w:color="auto"/>
            <w:bottom w:val="none" w:sz="0" w:space="0" w:color="auto"/>
            <w:right w:val="none" w:sz="0" w:space="0" w:color="auto"/>
          </w:divBdr>
          <w:divsChild>
            <w:div w:id="759790762">
              <w:marLeft w:val="0"/>
              <w:marRight w:val="225"/>
              <w:marTop w:val="0"/>
              <w:marBottom w:val="0"/>
              <w:divBdr>
                <w:top w:val="none" w:sz="0" w:space="0" w:color="auto"/>
                <w:left w:val="none" w:sz="0" w:space="0" w:color="auto"/>
                <w:bottom w:val="none" w:sz="0" w:space="0" w:color="auto"/>
                <w:right w:val="none" w:sz="0" w:space="0" w:color="auto"/>
              </w:divBdr>
            </w:div>
          </w:divsChild>
        </w:div>
        <w:div w:id="877205270">
          <w:marLeft w:val="255"/>
          <w:marRight w:val="0"/>
          <w:marTop w:val="75"/>
          <w:marBottom w:val="0"/>
          <w:divBdr>
            <w:top w:val="none" w:sz="0" w:space="0" w:color="auto"/>
            <w:left w:val="none" w:sz="0" w:space="0" w:color="auto"/>
            <w:bottom w:val="none" w:sz="0" w:space="0" w:color="auto"/>
            <w:right w:val="none" w:sz="0" w:space="0" w:color="auto"/>
          </w:divBdr>
          <w:divsChild>
            <w:div w:id="20398159">
              <w:marLeft w:val="0"/>
              <w:marRight w:val="225"/>
              <w:marTop w:val="0"/>
              <w:marBottom w:val="0"/>
              <w:divBdr>
                <w:top w:val="none" w:sz="0" w:space="0" w:color="auto"/>
                <w:left w:val="none" w:sz="0" w:space="0" w:color="auto"/>
                <w:bottom w:val="none" w:sz="0" w:space="0" w:color="auto"/>
                <w:right w:val="none" w:sz="0" w:space="0" w:color="auto"/>
              </w:divBdr>
            </w:div>
          </w:divsChild>
        </w:div>
        <w:div w:id="1585408081">
          <w:marLeft w:val="255"/>
          <w:marRight w:val="0"/>
          <w:marTop w:val="75"/>
          <w:marBottom w:val="0"/>
          <w:divBdr>
            <w:top w:val="none" w:sz="0" w:space="0" w:color="auto"/>
            <w:left w:val="none" w:sz="0" w:space="0" w:color="auto"/>
            <w:bottom w:val="none" w:sz="0" w:space="0" w:color="auto"/>
            <w:right w:val="none" w:sz="0" w:space="0" w:color="auto"/>
          </w:divBdr>
          <w:divsChild>
            <w:div w:id="1182665407">
              <w:marLeft w:val="0"/>
              <w:marRight w:val="225"/>
              <w:marTop w:val="0"/>
              <w:marBottom w:val="0"/>
              <w:divBdr>
                <w:top w:val="none" w:sz="0" w:space="0" w:color="auto"/>
                <w:left w:val="none" w:sz="0" w:space="0" w:color="auto"/>
                <w:bottom w:val="none" w:sz="0" w:space="0" w:color="auto"/>
                <w:right w:val="none" w:sz="0" w:space="0" w:color="auto"/>
              </w:divBdr>
            </w:div>
          </w:divsChild>
        </w:div>
        <w:div w:id="1758789933">
          <w:marLeft w:val="255"/>
          <w:marRight w:val="0"/>
          <w:marTop w:val="75"/>
          <w:marBottom w:val="0"/>
          <w:divBdr>
            <w:top w:val="none" w:sz="0" w:space="0" w:color="auto"/>
            <w:left w:val="none" w:sz="0" w:space="0" w:color="auto"/>
            <w:bottom w:val="none" w:sz="0" w:space="0" w:color="auto"/>
            <w:right w:val="none" w:sz="0" w:space="0" w:color="auto"/>
          </w:divBdr>
          <w:divsChild>
            <w:div w:id="18440534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11633889">
      <w:bodyDiv w:val="1"/>
      <w:marLeft w:val="0"/>
      <w:marRight w:val="0"/>
      <w:marTop w:val="0"/>
      <w:marBottom w:val="0"/>
      <w:divBdr>
        <w:top w:val="none" w:sz="0" w:space="0" w:color="auto"/>
        <w:left w:val="none" w:sz="0" w:space="0" w:color="auto"/>
        <w:bottom w:val="none" w:sz="0" w:space="0" w:color="auto"/>
        <w:right w:val="none" w:sz="0" w:space="0" w:color="auto"/>
      </w:divBdr>
      <w:divsChild>
        <w:div w:id="396904113">
          <w:marLeft w:val="0"/>
          <w:marRight w:val="0"/>
          <w:marTop w:val="0"/>
          <w:marBottom w:val="240"/>
          <w:divBdr>
            <w:top w:val="none" w:sz="0" w:space="0" w:color="auto"/>
            <w:left w:val="none" w:sz="0" w:space="0" w:color="auto"/>
            <w:bottom w:val="none" w:sz="0" w:space="0" w:color="auto"/>
            <w:right w:val="none" w:sz="0" w:space="0" w:color="auto"/>
          </w:divBdr>
        </w:div>
        <w:div w:id="416293046">
          <w:marLeft w:val="0"/>
          <w:marRight w:val="0"/>
          <w:marTop w:val="100"/>
          <w:marBottom w:val="100"/>
          <w:divBdr>
            <w:top w:val="none" w:sz="0" w:space="0" w:color="auto"/>
            <w:left w:val="none" w:sz="0" w:space="0" w:color="auto"/>
            <w:bottom w:val="none" w:sz="0" w:space="0" w:color="auto"/>
            <w:right w:val="none" w:sz="0" w:space="0" w:color="auto"/>
          </w:divBdr>
        </w:div>
        <w:div w:id="1985621944">
          <w:marLeft w:val="0"/>
          <w:marRight w:val="0"/>
          <w:marTop w:val="0"/>
          <w:marBottom w:val="300"/>
          <w:divBdr>
            <w:top w:val="none" w:sz="0" w:space="0" w:color="auto"/>
            <w:left w:val="none" w:sz="0" w:space="0" w:color="auto"/>
            <w:bottom w:val="single" w:sz="6" w:space="8" w:color="EFEFEF"/>
            <w:right w:val="none" w:sz="0" w:space="0" w:color="auto"/>
          </w:divBdr>
        </w:div>
      </w:divsChild>
    </w:div>
    <w:div w:id="1193424053">
      <w:bodyDiv w:val="1"/>
      <w:marLeft w:val="0"/>
      <w:marRight w:val="0"/>
      <w:marTop w:val="0"/>
      <w:marBottom w:val="0"/>
      <w:divBdr>
        <w:top w:val="none" w:sz="0" w:space="0" w:color="auto"/>
        <w:left w:val="none" w:sz="0" w:space="0" w:color="auto"/>
        <w:bottom w:val="none" w:sz="0" w:space="0" w:color="auto"/>
        <w:right w:val="none" w:sz="0" w:space="0" w:color="auto"/>
      </w:divBdr>
      <w:divsChild>
        <w:div w:id="168445129">
          <w:marLeft w:val="255"/>
          <w:marRight w:val="0"/>
          <w:marTop w:val="75"/>
          <w:marBottom w:val="0"/>
          <w:divBdr>
            <w:top w:val="none" w:sz="0" w:space="0" w:color="auto"/>
            <w:left w:val="none" w:sz="0" w:space="0" w:color="auto"/>
            <w:bottom w:val="none" w:sz="0" w:space="0" w:color="auto"/>
            <w:right w:val="none" w:sz="0" w:space="0" w:color="auto"/>
          </w:divBdr>
        </w:div>
        <w:div w:id="1513109066">
          <w:marLeft w:val="255"/>
          <w:marRight w:val="0"/>
          <w:marTop w:val="75"/>
          <w:marBottom w:val="0"/>
          <w:divBdr>
            <w:top w:val="none" w:sz="0" w:space="0" w:color="auto"/>
            <w:left w:val="none" w:sz="0" w:space="0" w:color="auto"/>
            <w:bottom w:val="none" w:sz="0" w:space="0" w:color="auto"/>
            <w:right w:val="none" w:sz="0" w:space="0" w:color="auto"/>
          </w:divBdr>
        </w:div>
        <w:div w:id="1712413675">
          <w:marLeft w:val="255"/>
          <w:marRight w:val="0"/>
          <w:marTop w:val="75"/>
          <w:marBottom w:val="0"/>
          <w:divBdr>
            <w:top w:val="none" w:sz="0" w:space="0" w:color="auto"/>
            <w:left w:val="none" w:sz="0" w:space="0" w:color="auto"/>
            <w:bottom w:val="none" w:sz="0" w:space="0" w:color="auto"/>
            <w:right w:val="none" w:sz="0" w:space="0" w:color="auto"/>
          </w:divBdr>
        </w:div>
        <w:div w:id="1912958020">
          <w:marLeft w:val="255"/>
          <w:marRight w:val="0"/>
          <w:marTop w:val="75"/>
          <w:marBottom w:val="0"/>
          <w:divBdr>
            <w:top w:val="none" w:sz="0" w:space="0" w:color="auto"/>
            <w:left w:val="none" w:sz="0" w:space="0" w:color="auto"/>
            <w:bottom w:val="none" w:sz="0" w:space="0" w:color="auto"/>
            <w:right w:val="none" w:sz="0" w:space="0" w:color="auto"/>
          </w:divBdr>
        </w:div>
      </w:divsChild>
    </w:div>
    <w:div w:id="1402173808">
      <w:bodyDiv w:val="1"/>
      <w:marLeft w:val="0"/>
      <w:marRight w:val="0"/>
      <w:marTop w:val="0"/>
      <w:marBottom w:val="0"/>
      <w:divBdr>
        <w:top w:val="none" w:sz="0" w:space="0" w:color="auto"/>
        <w:left w:val="none" w:sz="0" w:space="0" w:color="auto"/>
        <w:bottom w:val="none" w:sz="0" w:space="0" w:color="auto"/>
        <w:right w:val="none" w:sz="0" w:space="0" w:color="auto"/>
      </w:divBdr>
    </w:div>
    <w:div w:id="1591623017">
      <w:bodyDiv w:val="1"/>
      <w:marLeft w:val="0"/>
      <w:marRight w:val="0"/>
      <w:marTop w:val="0"/>
      <w:marBottom w:val="0"/>
      <w:divBdr>
        <w:top w:val="none" w:sz="0" w:space="0" w:color="auto"/>
        <w:left w:val="none" w:sz="0" w:space="0" w:color="auto"/>
        <w:bottom w:val="none" w:sz="0" w:space="0" w:color="auto"/>
        <w:right w:val="none" w:sz="0" w:space="0" w:color="auto"/>
      </w:divBdr>
      <w:divsChild>
        <w:div w:id="562060817">
          <w:marLeft w:val="255"/>
          <w:marRight w:val="0"/>
          <w:marTop w:val="75"/>
          <w:marBottom w:val="0"/>
          <w:divBdr>
            <w:top w:val="none" w:sz="0" w:space="0" w:color="auto"/>
            <w:left w:val="none" w:sz="0" w:space="0" w:color="auto"/>
            <w:bottom w:val="none" w:sz="0" w:space="0" w:color="auto"/>
            <w:right w:val="none" w:sz="0" w:space="0" w:color="auto"/>
          </w:divBdr>
          <w:divsChild>
            <w:div w:id="236483005">
              <w:marLeft w:val="255"/>
              <w:marRight w:val="0"/>
              <w:marTop w:val="0"/>
              <w:marBottom w:val="0"/>
              <w:divBdr>
                <w:top w:val="none" w:sz="0" w:space="0" w:color="auto"/>
                <w:left w:val="none" w:sz="0" w:space="0" w:color="auto"/>
                <w:bottom w:val="none" w:sz="0" w:space="0" w:color="auto"/>
                <w:right w:val="none" w:sz="0" w:space="0" w:color="auto"/>
              </w:divBdr>
            </w:div>
            <w:div w:id="257835741">
              <w:marLeft w:val="255"/>
              <w:marRight w:val="0"/>
              <w:marTop w:val="0"/>
              <w:marBottom w:val="0"/>
              <w:divBdr>
                <w:top w:val="none" w:sz="0" w:space="0" w:color="auto"/>
                <w:left w:val="none" w:sz="0" w:space="0" w:color="auto"/>
                <w:bottom w:val="none" w:sz="0" w:space="0" w:color="auto"/>
                <w:right w:val="none" w:sz="0" w:space="0" w:color="auto"/>
              </w:divBdr>
            </w:div>
            <w:div w:id="840895175">
              <w:marLeft w:val="255"/>
              <w:marRight w:val="0"/>
              <w:marTop w:val="0"/>
              <w:marBottom w:val="0"/>
              <w:divBdr>
                <w:top w:val="none" w:sz="0" w:space="0" w:color="auto"/>
                <w:left w:val="none" w:sz="0" w:space="0" w:color="auto"/>
                <w:bottom w:val="none" w:sz="0" w:space="0" w:color="auto"/>
                <w:right w:val="none" w:sz="0" w:space="0" w:color="auto"/>
              </w:divBdr>
            </w:div>
            <w:div w:id="1051463530">
              <w:marLeft w:val="255"/>
              <w:marRight w:val="0"/>
              <w:marTop w:val="0"/>
              <w:marBottom w:val="0"/>
              <w:divBdr>
                <w:top w:val="none" w:sz="0" w:space="0" w:color="auto"/>
                <w:left w:val="none" w:sz="0" w:space="0" w:color="auto"/>
                <w:bottom w:val="none" w:sz="0" w:space="0" w:color="auto"/>
                <w:right w:val="none" w:sz="0" w:space="0" w:color="auto"/>
              </w:divBdr>
            </w:div>
            <w:div w:id="1634365094">
              <w:marLeft w:val="255"/>
              <w:marRight w:val="0"/>
              <w:marTop w:val="0"/>
              <w:marBottom w:val="0"/>
              <w:divBdr>
                <w:top w:val="none" w:sz="0" w:space="0" w:color="auto"/>
                <w:left w:val="none" w:sz="0" w:space="0" w:color="auto"/>
                <w:bottom w:val="none" w:sz="0" w:space="0" w:color="auto"/>
                <w:right w:val="none" w:sz="0" w:space="0" w:color="auto"/>
              </w:divBdr>
            </w:div>
            <w:div w:id="1905529872">
              <w:marLeft w:val="255"/>
              <w:marRight w:val="0"/>
              <w:marTop w:val="0"/>
              <w:marBottom w:val="0"/>
              <w:divBdr>
                <w:top w:val="none" w:sz="0" w:space="0" w:color="auto"/>
                <w:left w:val="none" w:sz="0" w:space="0" w:color="auto"/>
                <w:bottom w:val="none" w:sz="0" w:space="0" w:color="auto"/>
                <w:right w:val="none" w:sz="0" w:space="0" w:color="auto"/>
              </w:divBdr>
            </w:div>
            <w:div w:id="2068796966">
              <w:marLeft w:val="255"/>
              <w:marRight w:val="0"/>
              <w:marTop w:val="0"/>
              <w:marBottom w:val="0"/>
              <w:divBdr>
                <w:top w:val="none" w:sz="0" w:space="0" w:color="auto"/>
                <w:left w:val="none" w:sz="0" w:space="0" w:color="auto"/>
                <w:bottom w:val="none" w:sz="0" w:space="0" w:color="auto"/>
                <w:right w:val="none" w:sz="0" w:space="0" w:color="auto"/>
              </w:divBdr>
            </w:div>
            <w:div w:id="2112893161">
              <w:marLeft w:val="255"/>
              <w:marRight w:val="0"/>
              <w:marTop w:val="0"/>
              <w:marBottom w:val="0"/>
              <w:divBdr>
                <w:top w:val="none" w:sz="0" w:space="0" w:color="auto"/>
                <w:left w:val="none" w:sz="0" w:space="0" w:color="auto"/>
                <w:bottom w:val="none" w:sz="0" w:space="0" w:color="auto"/>
                <w:right w:val="none" w:sz="0" w:space="0" w:color="auto"/>
              </w:divBdr>
            </w:div>
          </w:divsChild>
        </w:div>
        <w:div w:id="1340691409">
          <w:marLeft w:val="255"/>
          <w:marRight w:val="0"/>
          <w:marTop w:val="75"/>
          <w:marBottom w:val="0"/>
          <w:divBdr>
            <w:top w:val="none" w:sz="0" w:space="0" w:color="auto"/>
            <w:left w:val="none" w:sz="0" w:space="0" w:color="auto"/>
            <w:bottom w:val="none" w:sz="0" w:space="0" w:color="auto"/>
            <w:right w:val="none" w:sz="0" w:space="0" w:color="auto"/>
          </w:divBdr>
          <w:divsChild>
            <w:div w:id="228274037">
              <w:marLeft w:val="255"/>
              <w:marRight w:val="0"/>
              <w:marTop w:val="0"/>
              <w:marBottom w:val="0"/>
              <w:divBdr>
                <w:top w:val="none" w:sz="0" w:space="0" w:color="auto"/>
                <w:left w:val="none" w:sz="0" w:space="0" w:color="auto"/>
                <w:bottom w:val="none" w:sz="0" w:space="0" w:color="auto"/>
                <w:right w:val="none" w:sz="0" w:space="0" w:color="auto"/>
              </w:divBdr>
            </w:div>
            <w:div w:id="7603735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85979238">
      <w:bodyDiv w:val="1"/>
      <w:marLeft w:val="0"/>
      <w:marRight w:val="0"/>
      <w:marTop w:val="0"/>
      <w:marBottom w:val="0"/>
      <w:divBdr>
        <w:top w:val="none" w:sz="0" w:space="0" w:color="auto"/>
        <w:left w:val="none" w:sz="0" w:space="0" w:color="auto"/>
        <w:bottom w:val="none" w:sz="0" w:space="0" w:color="auto"/>
        <w:right w:val="none" w:sz="0" w:space="0" w:color="auto"/>
      </w:divBdr>
      <w:divsChild>
        <w:div w:id="178661294">
          <w:marLeft w:val="0"/>
          <w:marRight w:val="0"/>
          <w:marTop w:val="100"/>
          <w:marBottom w:val="100"/>
          <w:divBdr>
            <w:top w:val="none" w:sz="0" w:space="0" w:color="auto"/>
            <w:left w:val="none" w:sz="0" w:space="0" w:color="auto"/>
            <w:bottom w:val="none" w:sz="0" w:space="0" w:color="auto"/>
            <w:right w:val="none" w:sz="0" w:space="0" w:color="auto"/>
          </w:divBdr>
        </w:div>
        <w:div w:id="1257323086">
          <w:marLeft w:val="0"/>
          <w:marRight w:val="0"/>
          <w:marTop w:val="0"/>
          <w:marBottom w:val="300"/>
          <w:divBdr>
            <w:top w:val="none" w:sz="0" w:space="0" w:color="auto"/>
            <w:left w:val="none" w:sz="0" w:space="0" w:color="auto"/>
            <w:bottom w:val="single" w:sz="6" w:space="8" w:color="EFEFEF"/>
            <w:right w:val="none" w:sz="0" w:space="0" w:color="auto"/>
          </w:divBdr>
        </w:div>
        <w:div w:id="1957373851">
          <w:marLeft w:val="0"/>
          <w:marRight w:val="0"/>
          <w:marTop w:val="0"/>
          <w:marBottom w:val="240"/>
          <w:divBdr>
            <w:top w:val="none" w:sz="0" w:space="0" w:color="auto"/>
            <w:left w:val="none" w:sz="0" w:space="0" w:color="auto"/>
            <w:bottom w:val="none" w:sz="0" w:space="0" w:color="auto"/>
            <w:right w:val="none" w:sz="0" w:space="0" w:color="auto"/>
          </w:divBdr>
        </w:div>
      </w:divsChild>
    </w:div>
    <w:div w:id="20388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742E97312CC645A655D0F7E4237D33" ma:contentTypeVersion="6" ma:contentTypeDescription="Create a new document." ma:contentTypeScope="" ma:versionID="65001e553409fb91528d7a043e43f3e9">
  <xsd:schema xmlns:xsd="http://www.w3.org/2001/XMLSchema" xmlns:xs="http://www.w3.org/2001/XMLSchema" xmlns:p="http://schemas.microsoft.com/office/2006/metadata/properties" xmlns:ns2="a2b571f3-c498-40b8-b901-19a0dbf859fe" xmlns:ns3="3d7d289f-c39f-4de7-9b2a-3ffe6271d9b7" targetNamespace="http://schemas.microsoft.com/office/2006/metadata/properties" ma:root="true" ma:fieldsID="eabfc27c47adb282f6d27e809907bf5d" ns2:_="" ns3:_="">
    <xsd:import namespace="a2b571f3-c498-40b8-b901-19a0dbf859fe"/>
    <xsd:import namespace="3d7d289f-c39f-4de7-9b2a-3ffe6271d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71f3-c498-40b8-b901-19a0dbf85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d289f-c39f-4de7-9b2a-3ffe6271d9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25416-0344-4BE1-A57D-6297AF85F87F}">
  <ds:schemaRefs>
    <ds:schemaRef ds:uri="http://schemas.microsoft.com/sharepoint/v3/contenttype/forms"/>
  </ds:schemaRefs>
</ds:datastoreItem>
</file>

<file path=customXml/itemProps2.xml><?xml version="1.0" encoding="utf-8"?>
<ds:datastoreItem xmlns:ds="http://schemas.openxmlformats.org/officeDocument/2006/customXml" ds:itemID="{DCD226B1-9A3D-4651-ADDB-8ACBBE39D64D}">
  <ds:schemaRefs>
    <ds:schemaRef ds:uri="http://schemas.openxmlformats.org/officeDocument/2006/bibliography"/>
  </ds:schemaRefs>
</ds:datastoreItem>
</file>

<file path=customXml/itemProps3.xml><?xml version="1.0" encoding="utf-8"?>
<ds:datastoreItem xmlns:ds="http://schemas.openxmlformats.org/officeDocument/2006/customXml" ds:itemID="{8637F7F6-E871-44E6-A048-331AB2B0C6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B56E6-E401-484E-ADB7-C584287A0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71f3-c498-40b8-b901-19a0dbf859fe"/>
    <ds:schemaRef ds:uri="3d7d289f-c39f-4de7-9b2a-3ffe6271d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3219</Words>
  <Characters>19190</Characters>
  <Application>Microsoft Office Word</Application>
  <DocSecurity>0</DocSecurity>
  <Lines>468</Lines>
  <Paragraphs>339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22070</CharactersWithSpaces>
  <SharedDoc>false</SharedDoc>
  <HLinks>
    <vt:vector size="198" baseType="variant">
      <vt:variant>
        <vt:i4>7274502</vt:i4>
      </vt:variant>
      <vt:variant>
        <vt:i4>117</vt:i4>
      </vt:variant>
      <vt:variant>
        <vt:i4>0</vt:i4>
      </vt:variant>
      <vt:variant>
        <vt:i4>5</vt:i4>
      </vt:variant>
      <vt:variant>
        <vt:lpwstr>mailto:investicie.uhp@mfsr.sk</vt:lpwstr>
      </vt:variant>
      <vt:variant>
        <vt:lpwstr/>
      </vt:variant>
      <vt:variant>
        <vt:i4>4194358</vt:i4>
      </vt:variant>
      <vt:variant>
        <vt:i4>114</vt:i4>
      </vt:variant>
      <vt:variant>
        <vt:i4>0</vt:i4>
      </vt:variant>
      <vt:variant>
        <vt:i4>5</vt:i4>
      </vt:variant>
      <vt:variant>
        <vt:lpwstr>mailto:allopk@mirri.gov.sk</vt:lpwstr>
      </vt:variant>
      <vt:variant>
        <vt:lpwstr/>
      </vt:variant>
      <vt:variant>
        <vt:i4>4194358</vt:i4>
      </vt:variant>
      <vt:variant>
        <vt:i4>111</vt:i4>
      </vt:variant>
      <vt:variant>
        <vt:i4>0</vt:i4>
      </vt:variant>
      <vt:variant>
        <vt:i4>5</vt:i4>
      </vt:variant>
      <vt:variant>
        <vt:lpwstr>mailto:allopk@mirri.gov.sk</vt:lpwstr>
      </vt:variant>
      <vt:variant>
        <vt:lpwstr/>
      </vt:variant>
      <vt:variant>
        <vt:i4>3473492</vt:i4>
      </vt:variant>
      <vt:variant>
        <vt:i4>108</vt:i4>
      </vt:variant>
      <vt:variant>
        <vt:i4>0</vt:i4>
      </vt:variant>
      <vt:variant>
        <vt:i4>5</vt:i4>
      </vt:variant>
      <vt:variant>
        <vt:lpwstr>mailto:licencie@mirri.gov.sk</vt:lpwstr>
      </vt:variant>
      <vt:variant>
        <vt:lpwstr/>
      </vt:variant>
      <vt:variant>
        <vt:i4>1638427</vt:i4>
      </vt:variant>
      <vt:variant>
        <vt:i4>105</vt:i4>
      </vt:variant>
      <vt:variant>
        <vt:i4>0</vt:i4>
      </vt:variant>
      <vt:variant>
        <vt:i4>5</vt:i4>
      </vt:variant>
      <vt:variant>
        <vt:lpwstr>https://www.mirri.gov.sk/sekcie/informatizacia/riadenie-kvality-qa/riadenie-kvality-qa/index.html</vt:lpwstr>
      </vt:variant>
      <vt:variant>
        <vt:lpwstr/>
      </vt:variant>
      <vt:variant>
        <vt:i4>2359344</vt:i4>
      </vt:variant>
      <vt:variant>
        <vt:i4>102</vt:i4>
      </vt:variant>
      <vt:variant>
        <vt:i4>0</vt:i4>
      </vt:variant>
      <vt:variant>
        <vt:i4>5</vt:i4>
      </vt:variant>
      <vt:variant>
        <vt:lpwstr>https://www.slov-lex.sk/legislativne-procesy/SK/LP/2021/691</vt:lpwstr>
      </vt:variant>
      <vt:variant>
        <vt:lpwstr/>
      </vt:variant>
      <vt:variant>
        <vt:i4>5046353</vt:i4>
      </vt:variant>
      <vt:variant>
        <vt:i4>99</vt:i4>
      </vt:variant>
      <vt:variant>
        <vt:i4>0</vt:i4>
      </vt:variant>
      <vt:variant>
        <vt:i4>5</vt:i4>
      </vt:variant>
      <vt:variant>
        <vt:lpwstr>https://www.planobnovy.sk/site/assets/files/1055/komponent_17_digitalne_slovensko_1.pdf</vt:lpwstr>
      </vt:variant>
      <vt:variant>
        <vt:lpwstr/>
      </vt:variant>
      <vt:variant>
        <vt:i4>2424936</vt:i4>
      </vt:variant>
      <vt:variant>
        <vt:i4>96</vt:i4>
      </vt:variant>
      <vt:variant>
        <vt:i4>0</vt:i4>
      </vt:variant>
      <vt:variant>
        <vt:i4>5</vt:i4>
      </vt:variant>
      <vt:variant>
        <vt:lpwstr>https://metais.vicepremier.gov.sk/help</vt:lpwstr>
      </vt:variant>
      <vt:variant>
        <vt:lpwstr/>
      </vt:variant>
      <vt:variant>
        <vt:i4>2424936</vt:i4>
      </vt:variant>
      <vt:variant>
        <vt:i4>93</vt:i4>
      </vt:variant>
      <vt:variant>
        <vt:i4>0</vt:i4>
      </vt:variant>
      <vt:variant>
        <vt:i4>5</vt:i4>
      </vt:variant>
      <vt:variant>
        <vt:lpwstr>https://metais.vicepremier.gov.sk/help</vt:lpwstr>
      </vt:variant>
      <vt:variant>
        <vt:lpwstr/>
      </vt:variant>
      <vt:variant>
        <vt:i4>4587538</vt:i4>
      </vt:variant>
      <vt:variant>
        <vt:i4>90</vt:i4>
      </vt:variant>
      <vt:variant>
        <vt:i4>0</vt:i4>
      </vt:variant>
      <vt:variant>
        <vt:i4>5</vt:i4>
      </vt:variant>
      <vt:variant>
        <vt:lpwstr>https://www.slov-lex.sk/pravne-predpisy/SK/ZZ/2019/174/20200101.html</vt:lpwstr>
      </vt:variant>
      <vt:variant>
        <vt:lpwstr/>
      </vt:variant>
      <vt:variant>
        <vt:i4>5701696</vt:i4>
      </vt:variant>
      <vt:variant>
        <vt:i4>87</vt:i4>
      </vt:variant>
      <vt:variant>
        <vt:i4>0</vt:i4>
      </vt:variant>
      <vt:variant>
        <vt:i4>5</vt:i4>
      </vt:variant>
      <vt:variant>
        <vt:lpwstr>https://www.slov-lex.sk/pravne-predpisy/SK/ZZ/2004/523/</vt:lpwstr>
      </vt:variant>
      <vt:variant>
        <vt:lpwstr>predpis.clanok-1.cast-piata</vt:lpwstr>
      </vt:variant>
      <vt:variant>
        <vt:i4>7602296</vt:i4>
      </vt:variant>
      <vt:variant>
        <vt:i4>84</vt:i4>
      </vt:variant>
      <vt:variant>
        <vt:i4>0</vt:i4>
      </vt:variant>
      <vt:variant>
        <vt:i4>5</vt:i4>
      </vt:variant>
      <vt:variant>
        <vt:lpwstr>https://rokovania.gov.sk/RVL/Resolution/18792/1</vt:lpwstr>
      </vt:variant>
      <vt:variant>
        <vt:lpwstr/>
      </vt:variant>
      <vt:variant>
        <vt:i4>2424936</vt:i4>
      </vt:variant>
      <vt:variant>
        <vt:i4>81</vt:i4>
      </vt:variant>
      <vt:variant>
        <vt:i4>0</vt:i4>
      </vt:variant>
      <vt:variant>
        <vt:i4>5</vt:i4>
      </vt:variant>
      <vt:variant>
        <vt:lpwstr>https://metais.vicepremier.gov.sk/help</vt:lpwstr>
      </vt:variant>
      <vt:variant>
        <vt:lpwstr/>
      </vt:variant>
      <vt:variant>
        <vt:i4>5439582</vt:i4>
      </vt:variant>
      <vt:variant>
        <vt:i4>78</vt:i4>
      </vt:variant>
      <vt:variant>
        <vt:i4>0</vt:i4>
      </vt:variant>
      <vt:variant>
        <vt:i4>5</vt:i4>
      </vt:variant>
      <vt:variant>
        <vt:lpwstr>https://idsk.gov.sk/</vt:lpwstr>
      </vt:variant>
      <vt:variant>
        <vt:lpwstr/>
      </vt:variant>
      <vt:variant>
        <vt:i4>4194304</vt:i4>
      </vt:variant>
      <vt:variant>
        <vt:i4>75</vt:i4>
      </vt:variant>
      <vt:variant>
        <vt:i4>0</vt:i4>
      </vt:variant>
      <vt:variant>
        <vt:i4>5</vt:i4>
      </vt:variant>
      <vt:variant>
        <vt:lpwstr>https://www.mirri.gov.sk/sekcie/informatizacia/rozpoctovanie-it-vs/index.html</vt:lpwstr>
      </vt:variant>
      <vt:variant>
        <vt:lpwstr/>
      </vt:variant>
      <vt:variant>
        <vt:i4>6684722</vt:i4>
      </vt:variant>
      <vt:variant>
        <vt:i4>72</vt:i4>
      </vt:variant>
      <vt:variant>
        <vt:i4>0</vt:i4>
      </vt:variant>
      <vt:variant>
        <vt:i4>5</vt:i4>
      </vt:variant>
      <vt:variant>
        <vt:lpwstr>https://www.mfsr.sk/files/archiv/39/Informatizacia2.0_reviziavydavkov_20200320.pdf</vt:lpwstr>
      </vt:variant>
      <vt:variant>
        <vt:lpwstr/>
      </vt:variant>
      <vt:variant>
        <vt:i4>7602301</vt:i4>
      </vt:variant>
      <vt:variant>
        <vt:i4>69</vt:i4>
      </vt:variant>
      <vt:variant>
        <vt:i4>0</vt:i4>
      </vt:variant>
      <vt:variant>
        <vt:i4>5</vt:i4>
      </vt:variant>
      <vt:variant>
        <vt:lpwstr>https://rokovania.gov.sk/RVL/Resolution/18797/1</vt:lpwstr>
      </vt:variant>
      <vt:variant>
        <vt:lpwstr/>
      </vt:variant>
      <vt:variant>
        <vt:i4>1245263</vt:i4>
      </vt:variant>
      <vt:variant>
        <vt:i4>66</vt:i4>
      </vt:variant>
      <vt:variant>
        <vt:i4>0</vt:i4>
      </vt:variant>
      <vt:variant>
        <vt:i4>5</vt:i4>
      </vt:variant>
      <vt:variant>
        <vt:lpwstr>https://www.mirri.gov.sk/wp-content/uploads/2021/05/Metodicke-usmernenie-009417-2021-oSBAA-1-v4-1.pdf</vt:lpwstr>
      </vt:variant>
      <vt:variant>
        <vt:lpwstr/>
      </vt:variant>
      <vt:variant>
        <vt:i4>1441876</vt:i4>
      </vt:variant>
      <vt:variant>
        <vt:i4>63</vt:i4>
      </vt:variant>
      <vt:variant>
        <vt:i4>0</vt:i4>
      </vt:variant>
      <vt:variant>
        <vt:i4>5</vt:i4>
      </vt:variant>
      <vt:variant>
        <vt:lpwstr>https://sp.vicepremier.gov.sk/verejne-obstaravanie-IKT/Verejn/2019_05_16_Koncepcia_nakupu_IT_s prilohami_schvalene_znenie.pdf</vt:lpwstr>
      </vt:variant>
      <vt:variant>
        <vt:lpwstr/>
      </vt:variant>
      <vt:variant>
        <vt:i4>5242892</vt:i4>
      </vt:variant>
      <vt:variant>
        <vt:i4>60</vt:i4>
      </vt:variant>
      <vt:variant>
        <vt:i4>0</vt:i4>
      </vt:variant>
      <vt:variant>
        <vt:i4>5</vt:i4>
      </vt:variant>
      <vt:variant>
        <vt:lpwstr>https://www.mirri.gov.sk/sekcie/narodna-koncepcia-informatizacie-verejnej-spravy-nikvs/index.html</vt:lpwstr>
      </vt:variant>
      <vt:variant>
        <vt:lpwstr/>
      </vt:variant>
      <vt:variant>
        <vt:i4>6291564</vt:i4>
      </vt:variant>
      <vt:variant>
        <vt:i4>57</vt:i4>
      </vt:variant>
      <vt:variant>
        <vt:i4>0</vt:i4>
      </vt:variant>
      <vt:variant>
        <vt:i4>5</vt:i4>
      </vt:variant>
      <vt:variant>
        <vt:lpwstr>https://www.slov-lex.sk/pravne-predpisy/SK/ZZ/2018/69/20210801.html</vt:lpwstr>
      </vt:variant>
      <vt:variant>
        <vt:lpwstr/>
      </vt:variant>
      <vt:variant>
        <vt:i4>4980759</vt:i4>
      </vt:variant>
      <vt:variant>
        <vt:i4>54</vt:i4>
      </vt:variant>
      <vt:variant>
        <vt:i4>0</vt:i4>
      </vt:variant>
      <vt:variant>
        <vt:i4>5</vt:i4>
      </vt:variant>
      <vt:variant>
        <vt:lpwstr>https://www.slov-lex.sk/pravne-predpisy/SK/ZZ/2013/305/20160501.html</vt:lpwstr>
      </vt:variant>
      <vt:variant>
        <vt:lpwstr/>
      </vt:variant>
      <vt:variant>
        <vt:i4>262168</vt:i4>
      </vt:variant>
      <vt:variant>
        <vt:i4>51</vt:i4>
      </vt:variant>
      <vt:variant>
        <vt:i4>0</vt:i4>
      </vt:variant>
      <vt:variant>
        <vt:i4>5</vt:i4>
      </vt:variant>
      <vt:variant>
        <vt:lpwstr>https://www.slov-lex.sk/legislativne-procesy/-/SK/LP/2021/149</vt:lpwstr>
      </vt:variant>
      <vt:variant>
        <vt:lpwstr/>
      </vt:variant>
      <vt:variant>
        <vt:i4>7798818</vt:i4>
      </vt:variant>
      <vt:variant>
        <vt:i4>48</vt:i4>
      </vt:variant>
      <vt:variant>
        <vt:i4>0</vt:i4>
      </vt:variant>
      <vt:variant>
        <vt:i4>5</vt:i4>
      </vt:variant>
      <vt:variant>
        <vt:lpwstr>https://www.slov-lex.sk/pravne-predpisy/SK/ZZ/2020/179/20200630</vt:lpwstr>
      </vt:variant>
      <vt:variant>
        <vt:lpwstr/>
      </vt:variant>
      <vt:variant>
        <vt:i4>6553652</vt:i4>
      </vt:variant>
      <vt:variant>
        <vt:i4>45</vt:i4>
      </vt:variant>
      <vt:variant>
        <vt:i4>0</vt:i4>
      </vt:variant>
      <vt:variant>
        <vt:i4>5</vt:i4>
      </vt:variant>
      <vt:variant>
        <vt:lpwstr>https://www.slov-lex.sk/pravne-predpisy/SK/ZZ/2020/78/</vt:lpwstr>
      </vt:variant>
      <vt:variant>
        <vt:lpwstr/>
      </vt:variant>
      <vt:variant>
        <vt:i4>6946915</vt:i4>
      </vt:variant>
      <vt:variant>
        <vt:i4>42</vt:i4>
      </vt:variant>
      <vt:variant>
        <vt:i4>0</vt:i4>
      </vt:variant>
      <vt:variant>
        <vt:i4>5</vt:i4>
      </vt:variant>
      <vt:variant>
        <vt:lpwstr>https://www.slov-lex.sk/pravne-predpisy/SK/ZZ/2020/85/20200501.html</vt:lpwstr>
      </vt:variant>
      <vt:variant>
        <vt:lpwstr/>
      </vt:variant>
      <vt:variant>
        <vt:i4>6488161</vt:i4>
      </vt:variant>
      <vt:variant>
        <vt:i4>39</vt:i4>
      </vt:variant>
      <vt:variant>
        <vt:i4>0</vt:i4>
      </vt:variant>
      <vt:variant>
        <vt:i4>5</vt:i4>
      </vt:variant>
      <vt:variant>
        <vt:lpwstr>https://www.slov-lex.sk/pravne-predpisy/SK/ZZ/2019/95/20211105.html</vt:lpwstr>
      </vt:variant>
      <vt:variant>
        <vt:lpwstr/>
      </vt:variant>
      <vt:variant>
        <vt:i4>1835068</vt:i4>
      </vt:variant>
      <vt:variant>
        <vt:i4>32</vt:i4>
      </vt:variant>
      <vt:variant>
        <vt:i4>0</vt:i4>
      </vt:variant>
      <vt:variant>
        <vt:i4>5</vt:i4>
      </vt:variant>
      <vt:variant>
        <vt:lpwstr/>
      </vt:variant>
      <vt:variant>
        <vt:lpwstr>_Toc88472723</vt:lpwstr>
      </vt:variant>
      <vt:variant>
        <vt:i4>1900604</vt:i4>
      </vt:variant>
      <vt:variant>
        <vt:i4>26</vt:i4>
      </vt:variant>
      <vt:variant>
        <vt:i4>0</vt:i4>
      </vt:variant>
      <vt:variant>
        <vt:i4>5</vt:i4>
      </vt:variant>
      <vt:variant>
        <vt:lpwstr/>
      </vt:variant>
      <vt:variant>
        <vt:lpwstr>_Toc88472722</vt:lpwstr>
      </vt:variant>
      <vt:variant>
        <vt:i4>1966140</vt:i4>
      </vt:variant>
      <vt:variant>
        <vt:i4>20</vt:i4>
      </vt:variant>
      <vt:variant>
        <vt:i4>0</vt:i4>
      </vt:variant>
      <vt:variant>
        <vt:i4>5</vt:i4>
      </vt:variant>
      <vt:variant>
        <vt:lpwstr/>
      </vt:variant>
      <vt:variant>
        <vt:lpwstr>_Toc88472721</vt:lpwstr>
      </vt:variant>
      <vt:variant>
        <vt:i4>2031676</vt:i4>
      </vt:variant>
      <vt:variant>
        <vt:i4>14</vt:i4>
      </vt:variant>
      <vt:variant>
        <vt:i4>0</vt:i4>
      </vt:variant>
      <vt:variant>
        <vt:i4>5</vt:i4>
      </vt:variant>
      <vt:variant>
        <vt:lpwstr/>
      </vt:variant>
      <vt:variant>
        <vt:lpwstr>_Toc88472720</vt:lpwstr>
      </vt:variant>
      <vt:variant>
        <vt:i4>1441855</vt:i4>
      </vt:variant>
      <vt:variant>
        <vt:i4>8</vt:i4>
      </vt:variant>
      <vt:variant>
        <vt:i4>0</vt:i4>
      </vt:variant>
      <vt:variant>
        <vt:i4>5</vt:i4>
      </vt:variant>
      <vt:variant>
        <vt:lpwstr/>
      </vt:variant>
      <vt:variant>
        <vt:lpwstr>_Toc88472719</vt:lpwstr>
      </vt:variant>
      <vt:variant>
        <vt:i4>1507391</vt:i4>
      </vt:variant>
      <vt:variant>
        <vt:i4>2</vt:i4>
      </vt:variant>
      <vt:variant>
        <vt:i4>0</vt:i4>
      </vt:variant>
      <vt:variant>
        <vt:i4>5</vt:i4>
      </vt:variant>
      <vt:variant>
        <vt:lpwstr/>
      </vt:variant>
      <vt:variant>
        <vt:lpwstr>_Toc88472718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Rejtová</dc:creator>
  <cp:keywords/>
  <dc:description/>
  <cp:lastModifiedBy>Peter Saraka</cp:lastModifiedBy>
  <cp:revision>2</cp:revision>
  <dcterms:created xsi:type="dcterms:W3CDTF">2021-12-21T10:19:00Z</dcterms:created>
  <dcterms:modified xsi:type="dcterms:W3CDTF">2021-12-21T10:19:00Z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0x01010067742E97312CC645A655D0F7E4237D33</vt:lpwstr>
  </property>
</Properties>
</file>