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2DF63" w14:textId="17A5C60E" w:rsidR="00C557DF" w:rsidRDefault="008C170F" w:rsidP="00545650">
      <w:pPr>
        <w:spacing w:before="120" w:afterLines="40" w:after="96" w:line="276" w:lineRule="auto"/>
        <w:jc w:val="center"/>
        <w:rPr>
          <w:rFonts w:asciiTheme="minorHAnsi" w:hAnsiTheme="minorHAnsi"/>
          <w:b/>
          <w:color w:val="000000"/>
        </w:rPr>
      </w:pPr>
      <w:r w:rsidRPr="00354629">
        <w:rPr>
          <w:rFonts w:eastAsia="Times New Roman"/>
          <w:b/>
          <w:bCs/>
        </w:rPr>
        <w:t xml:space="preserve">Najčastejšie kladené otázky (FAQ) k výzve </w:t>
      </w:r>
      <w:r w:rsidR="00545650" w:rsidRPr="00545650">
        <w:rPr>
          <w:rFonts w:eastAsia="Times New Roman"/>
          <w:b/>
          <w:bCs/>
        </w:rPr>
        <w:t>na predkladanie žiadostí o NFP na prípravu projektov iniciatívy Catching-up Regions, kód výzvy: IROP-PO7-SC76-2021-80</w:t>
      </w:r>
    </w:p>
    <w:p w14:paraId="5F5EE07C" w14:textId="25A8F5C8" w:rsidR="00C622B7" w:rsidRDefault="00710856" w:rsidP="000B25D6">
      <w:pPr>
        <w:jc w:val="both"/>
      </w:pPr>
      <w:r>
        <w:rPr>
          <w:rFonts w:asciiTheme="minorHAnsi" w:hAnsiTheme="minorHAnsi"/>
          <w:b/>
          <w:color w:val="000000"/>
        </w:rPr>
        <w:t>O</w:t>
      </w:r>
      <w:r w:rsidR="003D192A">
        <w:rPr>
          <w:rFonts w:asciiTheme="minorHAnsi" w:hAnsiTheme="minorHAnsi"/>
          <w:b/>
          <w:color w:val="000000"/>
        </w:rPr>
        <w:t>tázka č. 1</w:t>
      </w:r>
      <w:r w:rsidR="008C170F" w:rsidRPr="00A85C95">
        <w:rPr>
          <w:rFonts w:asciiTheme="minorHAnsi" w:hAnsiTheme="minorHAnsi"/>
          <w:b/>
          <w:color w:val="000000"/>
        </w:rPr>
        <w:t>:</w:t>
      </w:r>
      <w:r w:rsidR="00DE406F" w:rsidRPr="00DE406F">
        <w:t xml:space="preserve"> </w:t>
      </w:r>
      <w:r w:rsidR="000B25D6">
        <w:t>V rámci tejto výzvy si môže podať žiadosť ktorákoľvek obec, alebo len tá, ktorá má projekt zahrnutý v prílohe č.7 tejto výzvy?</w:t>
      </w:r>
    </w:p>
    <w:p w14:paraId="3F82E582" w14:textId="77777777" w:rsidR="000B25D6" w:rsidRPr="000B25D6" w:rsidRDefault="000B25D6" w:rsidP="000B25D6">
      <w:pPr>
        <w:jc w:val="both"/>
      </w:pPr>
    </w:p>
    <w:p w14:paraId="5C20E707" w14:textId="76707781" w:rsidR="000B25D6" w:rsidRDefault="00C622B7" w:rsidP="000B25D6">
      <w:pPr>
        <w:jc w:val="both"/>
        <w:rPr>
          <w:color w:val="1F497D"/>
        </w:rPr>
      </w:pPr>
      <w:r w:rsidRPr="00C622B7">
        <w:rPr>
          <w:b/>
          <w:color w:val="1F497D"/>
          <w:lang w:eastAsia="en-US"/>
        </w:rPr>
        <w:t>Odpoveď:</w:t>
      </w:r>
      <w:r>
        <w:rPr>
          <w:b/>
          <w:color w:val="1F497D"/>
          <w:lang w:eastAsia="en-US"/>
        </w:rPr>
        <w:t xml:space="preserve"> </w:t>
      </w:r>
      <w:r w:rsidR="000B25D6">
        <w:rPr>
          <w:color w:val="1F497D"/>
        </w:rPr>
        <w:t>V súlade s podmienkou poskytnutia príspevku 17 Zaradenie projektu medzi projekty odporúčané riadiacim výborom iniciatívy Catching-up Regions projekt, pre ktorý sa má vypracovať projektová dokumentácia, musí byť súčasťou zoznamu projektov, ktorý je prílohou zápisu z rokovania Riadiaceho výboru iniciatívy Catching-up Regions a je zahrnutý v prílohe 7 tejto výzvy. Čiže uchádzačom môžu byť iba obce, ktoré majú vzťah k projektom zahrnutým do prílohy 7.</w:t>
      </w:r>
    </w:p>
    <w:p w14:paraId="523BAED9" w14:textId="77777777" w:rsidR="000B25D6" w:rsidRDefault="000B25D6" w:rsidP="00545650">
      <w:pPr>
        <w:rPr>
          <w:color w:val="1F497D"/>
          <w:lang w:eastAsia="en-US"/>
        </w:rPr>
      </w:pPr>
    </w:p>
    <w:p w14:paraId="363F065C" w14:textId="4A882C6F" w:rsidR="000B25D6" w:rsidRPr="000B25D6" w:rsidRDefault="003D192A" w:rsidP="000B25D6">
      <w:pPr>
        <w:jc w:val="both"/>
        <w:rPr>
          <w:rFonts w:eastAsia="Times New Roman"/>
          <w:bCs/>
        </w:rPr>
      </w:pPr>
      <w:r>
        <w:rPr>
          <w:rFonts w:asciiTheme="minorHAnsi" w:hAnsiTheme="minorHAnsi"/>
          <w:b/>
          <w:color w:val="000000"/>
        </w:rPr>
        <w:t>Otázka č. 2</w:t>
      </w:r>
      <w:r w:rsidR="00C622B7" w:rsidRPr="00A85C95">
        <w:rPr>
          <w:rFonts w:asciiTheme="minorHAnsi" w:hAnsiTheme="minorHAnsi"/>
          <w:b/>
          <w:color w:val="000000"/>
        </w:rPr>
        <w:t>:</w:t>
      </w:r>
      <w:r w:rsidR="00C622B7">
        <w:rPr>
          <w:rFonts w:eastAsia="Times New Roman"/>
          <w:b/>
          <w:bCs/>
        </w:rPr>
        <w:t xml:space="preserve"> </w:t>
      </w:r>
      <w:r w:rsidR="000B25D6">
        <w:rPr>
          <w:rFonts w:eastAsia="Times New Roman"/>
          <w:bCs/>
        </w:rPr>
        <w:t>S</w:t>
      </w:r>
      <w:r w:rsidR="000B25D6" w:rsidRPr="000B25D6">
        <w:rPr>
          <w:rFonts w:eastAsia="Times New Roman"/>
          <w:bCs/>
        </w:rPr>
        <w:t>právne</w:t>
      </w:r>
      <w:r w:rsidR="000B25D6">
        <w:rPr>
          <w:rFonts w:eastAsia="Times New Roman"/>
          <w:bCs/>
        </w:rPr>
        <w:t xml:space="preserve"> chápeme podmienku č.20 výzvy: </w:t>
      </w:r>
      <w:r w:rsidR="000B25D6" w:rsidRPr="000B25D6">
        <w:rPr>
          <w:rFonts w:eastAsia="Times New Roman"/>
          <w:bCs/>
        </w:rPr>
        <w:t>Podmienka, že žiadateľ v rámci 5 ročnej udržateľnosti zrealizuje investičný zámer, pre ktorý bola projektová dokumentácia vypracovaná, alebo pristúpi k ďalšiemu kroku investičnej prípravy (Žiadateľ musí deklarovať, že v priebehu udržateľnosti projektu on, alebo iný subjekt, pre ktorý obstaráva projektovú dokumentáciu, resp. ktorému ju postúpi, zrealizuje investičný zámer, na ktorý získal prostriedky na vypracovanie projektovej dokumentácie /v prípade projektovej dokumentácie na stavebné povolenie a realizačného projektu stavby/, resp. urobí ďalší krok investičnej prípravy v prípade iného typu projektovej dokumentácie).</w:t>
      </w:r>
    </w:p>
    <w:p w14:paraId="2AE3D456" w14:textId="77777777" w:rsidR="000B25D6" w:rsidRPr="000B25D6" w:rsidRDefault="000B25D6" w:rsidP="000B25D6">
      <w:pPr>
        <w:jc w:val="both"/>
        <w:rPr>
          <w:rFonts w:eastAsia="Times New Roman"/>
          <w:bCs/>
        </w:rPr>
      </w:pPr>
    </w:p>
    <w:p w14:paraId="0155A3B7" w14:textId="77777777" w:rsidR="000B25D6" w:rsidRPr="000B25D6" w:rsidRDefault="000B25D6" w:rsidP="000B25D6">
      <w:pPr>
        <w:rPr>
          <w:rFonts w:eastAsia="Times New Roman"/>
          <w:bCs/>
        </w:rPr>
      </w:pPr>
      <w:r w:rsidRPr="000B25D6">
        <w:rPr>
          <w:rFonts w:eastAsia="Times New Roman"/>
          <w:bCs/>
        </w:rPr>
        <w:t xml:space="preserve">V našom prípade ide o realizáciu štúdie projektu na územné rozhodnutie. </w:t>
      </w:r>
    </w:p>
    <w:p w14:paraId="46F2BD1E" w14:textId="6395F469" w:rsidR="00C622B7" w:rsidRDefault="000B25D6" w:rsidP="000B25D6">
      <w:pPr>
        <w:rPr>
          <w:rFonts w:eastAsia="Times New Roman"/>
          <w:bCs/>
        </w:rPr>
      </w:pPr>
      <w:r w:rsidRPr="000B25D6">
        <w:rPr>
          <w:rFonts w:eastAsia="Times New Roman"/>
          <w:bCs/>
        </w:rPr>
        <w:t>Dá sa za ďalší krok investičnej prípravy považovať projektová dokumentácia pre stavebné konanie?</w:t>
      </w:r>
    </w:p>
    <w:p w14:paraId="0ACE3EDC" w14:textId="77777777" w:rsidR="000B25D6" w:rsidRPr="000B25D6" w:rsidRDefault="000B25D6" w:rsidP="000B25D6">
      <w:pPr>
        <w:rPr>
          <w:rFonts w:eastAsia="Times New Roman"/>
          <w:bCs/>
        </w:rPr>
      </w:pPr>
    </w:p>
    <w:p w14:paraId="5C2407BE" w14:textId="6C929A35" w:rsidR="00C622B7" w:rsidRPr="000B25D6" w:rsidRDefault="00C622B7" w:rsidP="00C622B7">
      <w:pPr>
        <w:rPr>
          <w:color w:val="1F497D"/>
          <w:lang w:eastAsia="en-US"/>
        </w:rPr>
      </w:pPr>
      <w:r w:rsidRPr="00C622B7">
        <w:rPr>
          <w:b/>
          <w:color w:val="1F497D"/>
          <w:lang w:eastAsia="en-US"/>
        </w:rPr>
        <w:t>Odpoveď:</w:t>
      </w:r>
      <w:r>
        <w:rPr>
          <w:b/>
          <w:color w:val="1F497D"/>
          <w:lang w:eastAsia="en-US"/>
        </w:rPr>
        <w:t xml:space="preserve"> </w:t>
      </w:r>
      <w:r w:rsidR="000B25D6" w:rsidRPr="000B25D6">
        <w:rPr>
          <w:color w:val="1F497D"/>
          <w:lang w:eastAsia="en-US"/>
        </w:rPr>
        <w:t>Áno, ďalším krokom investičnej prípravy je v tomto prípade obstaranie dokumentácie pre stavebné povolenie.</w:t>
      </w:r>
    </w:p>
    <w:p w14:paraId="21E4E558" w14:textId="77777777" w:rsidR="00C622B7" w:rsidRDefault="00C622B7" w:rsidP="00C622B7">
      <w:pPr>
        <w:rPr>
          <w:rFonts w:eastAsia="Times New Roman"/>
          <w:b/>
          <w:bCs/>
        </w:rPr>
      </w:pPr>
    </w:p>
    <w:p w14:paraId="1A49B127" w14:textId="6AA64BDF" w:rsidR="00C622B7" w:rsidRDefault="00C622B7" w:rsidP="000B25D6">
      <w:pPr>
        <w:jc w:val="both"/>
        <w:rPr>
          <w:rFonts w:asciiTheme="minorHAnsi" w:hAnsiTheme="minorHAnsi"/>
          <w:color w:val="000000"/>
        </w:rPr>
      </w:pPr>
      <w:r w:rsidRPr="00C622B7">
        <w:rPr>
          <w:rFonts w:asciiTheme="minorHAnsi" w:hAnsiTheme="minorHAnsi"/>
          <w:b/>
          <w:color w:val="000000"/>
        </w:rPr>
        <w:t>O</w:t>
      </w:r>
      <w:r w:rsidR="003D192A">
        <w:rPr>
          <w:rFonts w:asciiTheme="minorHAnsi" w:hAnsiTheme="minorHAnsi"/>
          <w:b/>
          <w:color w:val="000000"/>
        </w:rPr>
        <w:t>tázka č. 3</w:t>
      </w:r>
      <w:r w:rsidR="000B25D6">
        <w:rPr>
          <w:rFonts w:asciiTheme="minorHAnsi" w:hAnsiTheme="minorHAnsi"/>
          <w:b/>
          <w:color w:val="000000"/>
        </w:rPr>
        <w:t xml:space="preserve">: </w:t>
      </w:r>
      <w:r w:rsidR="00B1100F">
        <w:rPr>
          <w:rFonts w:asciiTheme="minorHAnsi" w:hAnsiTheme="minorHAnsi"/>
          <w:color w:val="000000"/>
        </w:rPr>
        <w:t>C</w:t>
      </w:r>
      <w:r w:rsidR="000B25D6" w:rsidRPr="000B25D6">
        <w:rPr>
          <w:rFonts w:asciiTheme="minorHAnsi" w:hAnsiTheme="minorHAnsi"/>
          <w:color w:val="000000"/>
        </w:rPr>
        <w:t>hcem sa opýtať, či je v čase predloženia žiadosti ne</w:t>
      </w:r>
      <w:r w:rsidR="000B25D6">
        <w:rPr>
          <w:rFonts w:asciiTheme="minorHAnsi" w:hAnsiTheme="minorHAnsi"/>
          <w:color w:val="000000"/>
        </w:rPr>
        <w:t xml:space="preserve">vyhnutné mať zrealizované alebo </w:t>
      </w:r>
      <w:r w:rsidR="000B25D6" w:rsidRPr="000B25D6">
        <w:rPr>
          <w:rFonts w:asciiTheme="minorHAnsi" w:hAnsiTheme="minorHAnsi"/>
          <w:color w:val="000000"/>
        </w:rPr>
        <w:t>začaté verejné obstarávanie alebo stačí mať PHZ?</w:t>
      </w:r>
    </w:p>
    <w:p w14:paraId="478515D6" w14:textId="77777777" w:rsidR="000B25D6" w:rsidRPr="000B25D6" w:rsidRDefault="000B25D6" w:rsidP="00545650">
      <w:pPr>
        <w:rPr>
          <w:rFonts w:eastAsia="Times New Roman"/>
          <w:bCs/>
        </w:rPr>
      </w:pPr>
    </w:p>
    <w:p w14:paraId="0248117E" w14:textId="491B5C90" w:rsidR="00C622B7" w:rsidRDefault="00C622B7" w:rsidP="00C622B7">
      <w:pPr>
        <w:jc w:val="both"/>
        <w:rPr>
          <w:color w:val="1F497D"/>
          <w:lang w:eastAsia="en-US"/>
        </w:rPr>
      </w:pPr>
      <w:r w:rsidRPr="00C622B7">
        <w:rPr>
          <w:b/>
          <w:color w:val="1F497D"/>
          <w:lang w:eastAsia="en-US"/>
        </w:rPr>
        <w:t>Odpoveď:</w:t>
      </w:r>
      <w:r w:rsidRPr="000B25D6">
        <w:rPr>
          <w:color w:val="1F497D"/>
          <w:lang w:eastAsia="en-US"/>
        </w:rPr>
        <w:t xml:space="preserve"> </w:t>
      </w:r>
      <w:r w:rsidR="000D793D">
        <w:rPr>
          <w:color w:val="1F497D"/>
          <w:lang w:eastAsia="en-US"/>
        </w:rPr>
        <w:t>V</w:t>
      </w:r>
      <w:r w:rsidR="000B25D6" w:rsidRPr="000B25D6">
        <w:rPr>
          <w:color w:val="1F497D"/>
          <w:lang w:eastAsia="en-US"/>
        </w:rPr>
        <w:t xml:space="preserve"> čase podania žiadosti sa na žiadateľa nekladú nijaké podmienky vo vzťahu k verejnému </w:t>
      </w:r>
      <w:r w:rsidR="00450CB0" w:rsidRPr="000B25D6">
        <w:rPr>
          <w:color w:val="1F497D"/>
          <w:lang w:eastAsia="en-US"/>
        </w:rPr>
        <w:t>obstarávaniu</w:t>
      </w:r>
      <w:r w:rsidR="000B25D6" w:rsidRPr="000B25D6">
        <w:rPr>
          <w:color w:val="1F497D"/>
          <w:lang w:eastAsia="en-US"/>
        </w:rPr>
        <w:t>.</w:t>
      </w:r>
    </w:p>
    <w:p w14:paraId="24256BC4" w14:textId="77777777" w:rsidR="00C622B7" w:rsidRPr="00C622B7" w:rsidRDefault="00C622B7" w:rsidP="00C622B7">
      <w:pPr>
        <w:jc w:val="both"/>
        <w:rPr>
          <w:b/>
          <w:color w:val="1F497D"/>
          <w:lang w:eastAsia="en-US"/>
        </w:rPr>
      </w:pPr>
    </w:p>
    <w:p w14:paraId="5584F4FD" w14:textId="3B7711FF" w:rsidR="00DB1F6B" w:rsidRDefault="003D192A" w:rsidP="00DB1F6B">
      <w:pPr>
        <w:jc w:val="both"/>
      </w:pPr>
      <w:r>
        <w:rPr>
          <w:rFonts w:asciiTheme="minorHAnsi" w:hAnsiTheme="minorHAnsi"/>
          <w:b/>
          <w:color w:val="000000"/>
        </w:rPr>
        <w:t>Otázka č. 4</w:t>
      </w:r>
      <w:r w:rsidR="00C622B7" w:rsidRPr="00A85C95">
        <w:rPr>
          <w:rFonts w:asciiTheme="minorHAnsi" w:hAnsiTheme="minorHAnsi"/>
          <w:b/>
          <w:color w:val="000000"/>
        </w:rPr>
        <w:t>:</w:t>
      </w:r>
      <w:r w:rsidR="00C622B7">
        <w:t xml:space="preserve"> </w:t>
      </w:r>
      <w:r w:rsidR="00DB1F6B">
        <w:t>V súlade s podmienkou poskytnutia príspevku 17 Zaradenie projektu medzi projekty odporúčané riadiacim výborom iniciatívy Catching-up Regions je nevyhnutné, aby projekt, pre ktorý sa má vypracovať projektová dokumentácia, musí byť súčasťou zoznamu projektov, ktorý je prílohou zápisu z rokovania Riadiaceho výboru  iniciatívy Catching-up Regions a je zahrnutý v prílohe 7 tejto výzvy.</w:t>
      </w:r>
    </w:p>
    <w:p w14:paraId="68B7772F" w14:textId="77777777" w:rsidR="00DB1F6B" w:rsidRDefault="00DB1F6B" w:rsidP="00DB1F6B">
      <w:pPr>
        <w:jc w:val="both"/>
      </w:pPr>
    </w:p>
    <w:p w14:paraId="616427C7" w14:textId="77777777" w:rsidR="00DB1F6B" w:rsidRDefault="00DB1F6B" w:rsidP="00DB1F6B">
      <w:pPr>
        <w:jc w:val="both"/>
      </w:pPr>
      <w:r>
        <w:t>Príloha 7 výzvy uvádza:</w:t>
      </w:r>
    </w:p>
    <w:p w14:paraId="163B9077" w14:textId="5947D296" w:rsidR="00DB1F6B" w:rsidRDefault="00DB1F6B" w:rsidP="00DB1F6B">
      <w:pPr>
        <w:jc w:val="both"/>
      </w:pPr>
      <w:r>
        <w:t>„</w:t>
      </w:r>
      <w:r w:rsidRPr="00DB1F6B">
        <w:rPr>
          <w:i/>
        </w:rPr>
        <w:t>Zoznam zahŕňa projekty, ktoré vznikli na základe iniciatívy Catching-up regions a boli odsúhlasené partnermi SK CuRI ku dňu 27. 10. 2021. Vzhľadom na postupné zapájanie dotknutých regiónov do iniciatívy Catching-up regions môže byť zoznam doplnený o ďalšie konkrétne investičné projekty, ktoré musia byť odsúhlasené Riadiacim výborom iniciatívy Catching-up Regions, pričom zoznam takto odsúhlasených projektov tvorí prílohu k zápisnici zo zasadnutia Riadiaceho výboru.“</w:t>
      </w:r>
    </w:p>
    <w:p w14:paraId="0621D87C" w14:textId="77777777" w:rsidR="00DB1F6B" w:rsidRDefault="00DB1F6B" w:rsidP="00DB1F6B">
      <w:pPr>
        <w:jc w:val="both"/>
      </w:pPr>
    </w:p>
    <w:p w14:paraId="45C3D46A" w14:textId="190F2CB9" w:rsidR="00DE406F" w:rsidRPr="00B92B25" w:rsidRDefault="00DB1F6B" w:rsidP="00DB1F6B">
      <w:pPr>
        <w:jc w:val="both"/>
      </w:pPr>
      <w:r>
        <w:t xml:space="preserve">Bude považovaný za oprávnený projekt, ktorý nie je uvedený v zozname projektov, ktoré boli odsúhlasené ku dňu 27. 10. 2021 partnermi SK CuRI (súčasná príloha č. 7 výzvy), ale bude disponovať, vzhľadom na postupné zapájanie sa regiónov do iniciatívy, súhlasom Riadiaceho výboru iniciatívy Catching-up </w:t>
      </w:r>
      <w:r w:rsidRPr="00B92B25">
        <w:t>Regions, a bude uvedený  v doplnenom zozname investičných projektov, ktorý bude tvoriť prílohu k zápisnici zo zasadnutia Riadiaceho výboru?</w:t>
      </w:r>
    </w:p>
    <w:p w14:paraId="5BA2D57C" w14:textId="77777777" w:rsidR="00C622B7" w:rsidRPr="00B92B25" w:rsidRDefault="00C622B7" w:rsidP="00C622B7">
      <w:pPr>
        <w:ind w:left="1440"/>
        <w:rPr>
          <w:rFonts w:eastAsia="Times New Roman"/>
        </w:rPr>
      </w:pPr>
    </w:p>
    <w:p w14:paraId="58852CFF" w14:textId="77777777" w:rsidR="00DB1F6B" w:rsidRPr="00B92B25" w:rsidRDefault="00C622B7" w:rsidP="00DB1F6B">
      <w:pPr>
        <w:jc w:val="both"/>
        <w:rPr>
          <w:color w:val="1F497D"/>
        </w:rPr>
      </w:pPr>
      <w:r w:rsidRPr="00B92B25">
        <w:rPr>
          <w:b/>
          <w:color w:val="1F497D"/>
          <w:lang w:eastAsia="en-US"/>
        </w:rPr>
        <w:t xml:space="preserve">Odpoveď: </w:t>
      </w:r>
      <w:r w:rsidR="00DB1F6B" w:rsidRPr="00B92B25">
        <w:rPr>
          <w:color w:val="1F497D"/>
        </w:rPr>
        <w:t>áno, takýto projekt bude oprávnený, ak bude spĺňať všetky podmienky uvedené v závere textu prílohy, teda:</w:t>
      </w:r>
    </w:p>
    <w:p w14:paraId="081C22E2" w14:textId="77777777" w:rsidR="00DB1F6B" w:rsidRPr="00B92B25" w:rsidRDefault="00DB1F6B" w:rsidP="00DB1F6B">
      <w:pPr>
        <w:pStyle w:val="Odsekzoznamu"/>
        <w:numPr>
          <w:ilvl w:val="0"/>
          <w:numId w:val="43"/>
        </w:numPr>
        <w:jc w:val="both"/>
        <w:rPr>
          <w:color w:val="1F497D"/>
        </w:rPr>
      </w:pPr>
      <w:r w:rsidRPr="00B92B25">
        <w:rPr>
          <w:color w:val="1F497D"/>
        </w:rPr>
        <w:t>Musí vzniknúť na základe iniciatívy Catching-up Regions.</w:t>
      </w:r>
    </w:p>
    <w:p w14:paraId="3A72EF53" w14:textId="77777777" w:rsidR="00DB1F6B" w:rsidRPr="00B92B25" w:rsidRDefault="00DB1F6B" w:rsidP="00DB1F6B">
      <w:pPr>
        <w:pStyle w:val="Odsekzoznamu"/>
        <w:numPr>
          <w:ilvl w:val="0"/>
          <w:numId w:val="43"/>
        </w:numPr>
        <w:jc w:val="both"/>
        <w:rPr>
          <w:color w:val="1F497D"/>
        </w:rPr>
      </w:pPr>
      <w:r w:rsidRPr="00B92B25">
        <w:rPr>
          <w:color w:val="1F497D"/>
        </w:rPr>
        <w:t>Musí byť prerokovaný na riadiacom výbore iniciatívy Catching-up Regions a odsúhlasený partnermi iniciatívy (Svetová banka, Európska komisia, MIRRI a príslušný samosprávny kraj).</w:t>
      </w:r>
    </w:p>
    <w:p w14:paraId="665417F8" w14:textId="77777777" w:rsidR="00DB1F6B" w:rsidRPr="00B92B25" w:rsidRDefault="00DB1F6B" w:rsidP="00DB1F6B">
      <w:pPr>
        <w:pStyle w:val="Odsekzoznamu"/>
        <w:numPr>
          <w:ilvl w:val="0"/>
          <w:numId w:val="43"/>
        </w:numPr>
        <w:jc w:val="both"/>
        <w:rPr>
          <w:color w:val="1F497D"/>
        </w:rPr>
      </w:pPr>
      <w:r w:rsidRPr="00B92B25">
        <w:rPr>
          <w:color w:val="1F497D"/>
        </w:rPr>
        <w:t>Musí byť v aktuálnej prílohe 7 výzvy.</w:t>
      </w:r>
    </w:p>
    <w:p w14:paraId="01805D78" w14:textId="5F7538BC" w:rsidR="00C622B7" w:rsidRPr="00B92B25" w:rsidRDefault="00C622B7" w:rsidP="00C622B7">
      <w:pPr>
        <w:rPr>
          <w:rFonts w:eastAsia="Times New Roman"/>
        </w:rPr>
      </w:pPr>
    </w:p>
    <w:p w14:paraId="3E95698E" w14:textId="0D049327" w:rsidR="00DE406F" w:rsidRDefault="003D192A" w:rsidP="00DA576C">
      <w:pPr>
        <w:jc w:val="both"/>
      </w:pPr>
      <w:r w:rsidRPr="00B92B25">
        <w:rPr>
          <w:rFonts w:asciiTheme="minorHAnsi" w:hAnsiTheme="minorHAnsi"/>
          <w:b/>
          <w:color w:val="000000"/>
        </w:rPr>
        <w:t>Otázka č. 5</w:t>
      </w:r>
      <w:r w:rsidR="00C622B7" w:rsidRPr="00B92B25">
        <w:rPr>
          <w:rFonts w:asciiTheme="minorHAnsi" w:hAnsiTheme="minorHAnsi"/>
          <w:b/>
          <w:color w:val="000000"/>
        </w:rPr>
        <w:t>:</w:t>
      </w:r>
      <w:r w:rsidR="00C622B7" w:rsidRPr="00B92B25">
        <w:t xml:space="preserve"> </w:t>
      </w:r>
      <w:r w:rsidR="00DA576C" w:rsidRPr="00B92B25">
        <w:t>Prosím o </w:t>
      </w:r>
      <w:r w:rsidR="004C2D5F" w:rsidRPr="00B92B25">
        <w:t>informácie</w:t>
      </w:r>
      <w:r w:rsidR="00DA576C" w:rsidRPr="00B92B25">
        <w:t>,</w:t>
      </w:r>
      <w:r w:rsidR="004C2D5F" w:rsidRPr="00B92B25">
        <w:t xml:space="preserve"> či príloha č.</w:t>
      </w:r>
      <w:r w:rsidR="00A10BBF" w:rsidRPr="00B92B25">
        <w:t xml:space="preserve"> </w:t>
      </w:r>
      <w:r w:rsidR="004C2D5F" w:rsidRPr="00B92B25">
        <w:t>8 žiadosti o NFP (doklad preukazujúci majetkovo právne vzťahy) je pre nás (žiadateľom je Prešovský samosprávny</w:t>
      </w:r>
      <w:bookmarkStart w:id="0" w:name="_GoBack"/>
      <w:bookmarkEnd w:id="0"/>
      <w:r w:rsidR="004C2D5F" w:rsidRPr="004C2D5F">
        <w:t xml:space="preserve"> kraj) </w:t>
      </w:r>
      <w:r w:rsidR="00A10BBF" w:rsidRPr="004C2D5F">
        <w:t>relevantná</w:t>
      </w:r>
      <w:r w:rsidR="00A10BBF">
        <w:t>,</w:t>
      </w:r>
      <w:r w:rsidR="004C2D5F" w:rsidRPr="004C2D5F">
        <w:t xml:space="preserve"> aj v prípade keď podávame žiadosť na PD na územne rozhodnutie a stavebné povolenie v rámci komponentu Poloniny Trail, poprípade či bude postačovať čestné vyhlásenie že majetkovo právne vzťahy budú pred začiatkom r</w:t>
      </w:r>
      <w:r w:rsidR="00A10BBF">
        <w:t xml:space="preserve">ealizácie projektu vysporiadané. </w:t>
      </w:r>
    </w:p>
    <w:p w14:paraId="5B505A0E" w14:textId="77777777" w:rsidR="00DA576C" w:rsidRPr="00C622B7" w:rsidRDefault="00DA576C" w:rsidP="00DA576C">
      <w:pPr>
        <w:jc w:val="both"/>
      </w:pPr>
    </w:p>
    <w:p w14:paraId="2B2C5266" w14:textId="0073820F" w:rsidR="00DA576C" w:rsidRDefault="00C622B7" w:rsidP="00DA576C">
      <w:pPr>
        <w:pStyle w:val="Obyajntext"/>
        <w:jc w:val="both"/>
        <w:rPr>
          <w:color w:val="1F497D"/>
        </w:rPr>
      </w:pPr>
      <w:r w:rsidRPr="00C622B7">
        <w:rPr>
          <w:b/>
          <w:color w:val="1F497D"/>
        </w:rPr>
        <w:t>Odpoveď:</w:t>
      </w:r>
      <w:r>
        <w:rPr>
          <w:b/>
          <w:color w:val="1F497D"/>
        </w:rPr>
        <w:t xml:space="preserve"> </w:t>
      </w:r>
      <w:r w:rsidR="000D793D">
        <w:rPr>
          <w:color w:val="1F497D"/>
        </w:rPr>
        <w:t>V</w:t>
      </w:r>
      <w:r w:rsidR="00DA576C">
        <w:rPr>
          <w:color w:val="1F497D"/>
        </w:rPr>
        <w:t> tomto prípade záleží na tom, ako si chce žiadateľ podať ŽoNFP na projektovú prípravu. V jednej ŽoNFP môže požiadať o podporu viacerých projektových dokumentácií, ale mali by byť rovnakého druhu. V prípade, že bude v rámci jednej ŽoNFP žiadať o rôzne typy projektovej dokumentácie, ktoré sa budú vzťahovať na rovnakú budúcu investíciu, a ŽoNFP bude zahŕňať aj projektovú dokumentáciu na stavebné povolenie, musí byť súčasťou žiadosti aj doklad preukazujúci majetkovo-právne vzťahy k nehnuteľnostiam, na ktorých sa má realizovať projekt, pre ktorý sa žiada NFP na obstaranie projektovej dokumentácie na vydanie stavebného povolenia a lebo dokumentácie na realizáciu stavby.</w:t>
      </w:r>
    </w:p>
    <w:p w14:paraId="3A7EB115" w14:textId="4E3DBD6E" w:rsidR="00C622B7" w:rsidRDefault="00C622B7" w:rsidP="00C622B7">
      <w:pPr>
        <w:rPr>
          <w:rFonts w:eastAsia="Times New Roman"/>
        </w:rPr>
      </w:pPr>
    </w:p>
    <w:p w14:paraId="2017E68E" w14:textId="77777777" w:rsidR="00DA576C" w:rsidRDefault="00710856" w:rsidP="00DA576C">
      <w:pPr>
        <w:jc w:val="both"/>
      </w:pPr>
      <w:r>
        <w:rPr>
          <w:rFonts w:asciiTheme="minorHAnsi" w:hAnsiTheme="minorHAnsi"/>
          <w:b/>
          <w:color w:val="000000"/>
        </w:rPr>
        <w:t xml:space="preserve">Otázka č. </w:t>
      </w:r>
      <w:r w:rsidR="003D192A">
        <w:rPr>
          <w:rFonts w:asciiTheme="minorHAnsi" w:hAnsiTheme="minorHAnsi"/>
          <w:b/>
          <w:color w:val="000000"/>
        </w:rPr>
        <w:t>6</w:t>
      </w:r>
      <w:r w:rsidRPr="00A85C95">
        <w:rPr>
          <w:rFonts w:asciiTheme="minorHAnsi" w:hAnsiTheme="minorHAnsi"/>
          <w:b/>
          <w:color w:val="000000"/>
        </w:rPr>
        <w:t>:</w:t>
      </w:r>
      <w:r w:rsidR="00EC78D8">
        <w:rPr>
          <w:rFonts w:asciiTheme="minorHAnsi" w:hAnsiTheme="minorHAnsi"/>
          <w:b/>
          <w:color w:val="000000"/>
        </w:rPr>
        <w:t xml:space="preserve"> </w:t>
      </w:r>
      <w:r w:rsidR="00DA576C">
        <w:t>V znení podmienky oprávnenosti č. 9 Podmienka oprávnenosti aktivít projektu prosíme o vyjadrenie:</w:t>
      </w:r>
    </w:p>
    <w:p w14:paraId="4FF48910" w14:textId="77777777" w:rsidR="00DA576C" w:rsidRDefault="00DA576C" w:rsidP="00DA576C">
      <w:pPr>
        <w:numPr>
          <w:ilvl w:val="0"/>
          <w:numId w:val="44"/>
        </w:numPr>
        <w:jc w:val="both"/>
      </w:pPr>
      <w:r>
        <w:t xml:space="preserve">či dokument </w:t>
      </w:r>
      <w:r>
        <w:rPr>
          <w:b/>
          <w:bCs/>
        </w:rPr>
        <w:t>Štúdia uskutočniteľnosti</w:t>
      </w:r>
      <w:r>
        <w:t xml:space="preserve"> je oprávnenou dokumentáciou pre uplatnenie výdavku z projektu,</w:t>
      </w:r>
    </w:p>
    <w:p w14:paraId="443F6744" w14:textId="1FA263F0" w:rsidR="00710856" w:rsidRPr="00DA576C" w:rsidRDefault="00DA576C" w:rsidP="00DA576C">
      <w:pPr>
        <w:numPr>
          <w:ilvl w:val="0"/>
          <w:numId w:val="44"/>
        </w:numPr>
        <w:jc w:val="both"/>
      </w:pPr>
      <w:r>
        <w:t xml:space="preserve">do ktorej z oprávnených aktivít uvedených v podmienke č. 9 a), b), c), d) e) f) sa zaraďuje. </w:t>
      </w:r>
    </w:p>
    <w:p w14:paraId="6AA5223A" w14:textId="77777777" w:rsidR="00710856" w:rsidRDefault="00710856" w:rsidP="00710856">
      <w:pPr>
        <w:jc w:val="both"/>
        <w:rPr>
          <w:rFonts w:eastAsia="Times New Roman" w:cs="Calibri"/>
        </w:rPr>
      </w:pPr>
    </w:p>
    <w:p w14:paraId="6045FAB1" w14:textId="0712DAC8" w:rsidR="00DA576C" w:rsidRDefault="00710856" w:rsidP="00A10BBF">
      <w:pPr>
        <w:jc w:val="both"/>
        <w:rPr>
          <w:color w:val="1F497D"/>
        </w:rPr>
      </w:pPr>
      <w:r w:rsidRPr="00710856">
        <w:rPr>
          <w:b/>
          <w:color w:val="1F497D"/>
          <w:lang w:eastAsia="en-US"/>
        </w:rPr>
        <w:t>Odpoveď:</w:t>
      </w:r>
      <w:r>
        <w:rPr>
          <w:rFonts w:eastAsia="Times New Roman" w:cs="Calibri"/>
        </w:rPr>
        <w:t xml:space="preserve"> </w:t>
      </w:r>
      <w:r w:rsidR="00EC78D8" w:rsidRPr="00EC78D8">
        <w:rPr>
          <w:rFonts w:eastAsia="Times New Roman" w:cs="Calibri"/>
        </w:rPr>
        <w:t xml:space="preserve"> </w:t>
      </w:r>
      <w:r w:rsidR="00100AFA">
        <w:rPr>
          <w:color w:val="1F497D"/>
        </w:rPr>
        <w:t>V</w:t>
      </w:r>
      <w:r w:rsidR="00DA576C">
        <w:rPr>
          <w:color w:val="1F497D"/>
        </w:rPr>
        <w:t> zmysle programového dokumentu IROP projekt musí byť v súlade so zákonom č. 50/1976 Zb. o územnom plánovaní a stavebnom poriadku/stavebný zákon/, resp. právnym predpisom, ktorý ho nahradí.</w:t>
      </w:r>
    </w:p>
    <w:p w14:paraId="1C47F0FC" w14:textId="46081171" w:rsidR="00DA576C" w:rsidRDefault="00DA576C" w:rsidP="00DA576C">
      <w:pPr>
        <w:jc w:val="both"/>
        <w:rPr>
          <w:color w:val="1F497D"/>
        </w:rPr>
      </w:pPr>
      <w:r>
        <w:rPr>
          <w:color w:val="1F497D"/>
        </w:rPr>
        <w:t>Zákon č. 50/1976 Zb. o územnom plánovaní a stavebnom poriadku taxatívne vymedzuje typy projektovej dokumentácie, ktoré sú oprávnené v rámci výzvy, takže štúdia uskutočniteľnosti nie je oprávnený projekt. Okrem toho štúdia uskutočniteľnosti sa vypracúva pred tým, ako sa začne obstarávať projektová dokumentácia pre investíciu, resp. paralelne s obstarávaním územnoplánovacích podkladov, a je podkladom pre rozhodnutie o príprave projektu. Vzhľadom na to, že v prílohe 7 výzvy je už zoznam investičných projektov, máme za to, že tieto projekty boli odsúhlasené na základe jestvujúcich štúdií realizovateľnosti alebo obdobných dokumentov financovaných v rámci iniciatívy Catching-up Regions.</w:t>
      </w:r>
    </w:p>
    <w:p w14:paraId="55CAA3E8" w14:textId="05455309" w:rsidR="00DA576C" w:rsidRDefault="00DA576C" w:rsidP="00DA576C">
      <w:pPr>
        <w:jc w:val="both"/>
        <w:rPr>
          <w:color w:val="1F497D"/>
        </w:rPr>
      </w:pPr>
      <w:r>
        <w:rPr>
          <w:color w:val="1F497D"/>
        </w:rPr>
        <w:t>V zmysle prílohy 4 výzvy je oprávneným výdavkom prípravná a projektová dokumentácia v definícii kódu 716 EKRK v rámci Metodického usmernenia Ministerstva financií Slovenskej republiky k č. MF/010175/2004-42 zo dňa 8. decembra 2004. Platby za štúdie a koncepcie všeobecnej, nadodvetvovej alebo makroekonomickej povahy sa triedia pod kód 63701, ktorý nie je v rámci prílohy 4 uvedený.</w:t>
      </w:r>
    </w:p>
    <w:p w14:paraId="7F5BD419" w14:textId="77777777" w:rsidR="00DA576C" w:rsidRDefault="00DA576C" w:rsidP="00DA576C">
      <w:pPr>
        <w:jc w:val="both"/>
        <w:rPr>
          <w:color w:val="1F497D"/>
        </w:rPr>
      </w:pPr>
    </w:p>
    <w:p w14:paraId="1E5CD52F" w14:textId="61466823" w:rsidR="00A85C95" w:rsidRPr="00A85C95" w:rsidRDefault="00A85C95" w:rsidP="00DA576C">
      <w:pPr>
        <w:jc w:val="both"/>
        <w:rPr>
          <w:rFonts w:asciiTheme="minorHAnsi" w:hAnsiTheme="minorHAnsi"/>
        </w:rPr>
      </w:pPr>
    </w:p>
    <w:p w14:paraId="235A9BD1" w14:textId="23BB122D" w:rsidR="00DA576C" w:rsidRDefault="009B59C9" w:rsidP="00DA576C">
      <w:pPr>
        <w:pStyle w:val="Normlnywebov"/>
        <w:jc w:val="both"/>
        <w:rPr>
          <w:rFonts w:ascii="Calibri" w:hAnsi="Calibri"/>
          <w:sz w:val="22"/>
          <w:szCs w:val="22"/>
        </w:rPr>
      </w:pPr>
      <w:r w:rsidRPr="00DA576C">
        <w:rPr>
          <w:rFonts w:asciiTheme="minorHAnsi" w:hAnsiTheme="minorHAnsi"/>
          <w:b/>
          <w:color w:val="000000"/>
          <w:sz w:val="22"/>
          <w:szCs w:val="22"/>
        </w:rPr>
        <w:t>Otázka č.</w:t>
      </w:r>
      <w:r w:rsidR="00AC6803" w:rsidRPr="00DA576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3D192A" w:rsidRPr="00DA576C">
        <w:rPr>
          <w:rFonts w:asciiTheme="minorHAnsi" w:hAnsiTheme="minorHAnsi"/>
          <w:b/>
          <w:color w:val="000000"/>
          <w:sz w:val="22"/>
          <w:szCs w:val="22"/>
        </w:rPr>
        <w:t>7</w:t>
      </w:r>
      <w:r w:rsidR="00BB0D6A" w:rsidRPr="00DA576C">
        <w:rPr>
          <w:rFonts w:asciiTheme="minorHAnsi" w:hAnsiTheme="minorHAnsi"/>
          <w:b/>
          <w:color w:val="000000"/>
          <w:sz w:val="22"/>
          <w:szCs w:val="22"/>
        </w:rPr>
        <w:t>:</w:t>
      </w:r>
      <w:r w:rsidR="00EC78D8">
        <w:rPr>
          <w:rFonts w:asciiTheme="minorHAnsi" w:hAnsiTheme="minorHAnsi"/>
          <w:b/>
          <w:color w:val="000000"/>
        </w:rPr>
        <w:t xml:space="preserve"> </w:t>
      </w:r>
      <w:r w:rsidR="00DA576C" w:rsidRPr="00DA576C">
        <w:rPr>
          <w:rFonts w:ascii="Calibri" w:hAnsi="Calibri"/>
          <w:sz w:val="22"/>
          <w:szCs w:val="22"/>
        </w:rPr>
        <w:t>Sú oprávnenými výdavkami projektu aj autorský dohľad, inžinierska činnosť resp. súhrnné technické riešenie (tieto termíny sa vo výzve resp. podmienke oprávnenosti aktivít projektu nenachádzajú ale sú súčasťou projektovej dokumentácie resp. Zmluvy o dielo).</w:t>
      </w:r>
    </w:p>
    <w:p w14:paraId="5AB51C31" w14:textId="77777777" w:rsidR="00DA576C" w:rsidRDefault="00DA576C" w:rsidP="00DA576C">
      <w:pPr>
        <w:pStyle w:val="Normlnywebov"/>
        <w:jc w:val="both"/>
      </w:pPr>
    </w:p>
    <w:p w14:paraId="3D5041A7" w14:textId="0C5534AC" w:rsidR="00DA576C" w:rsidRDefault="009B59C9" w:rsidP="00DA576C">
      <w:pPr>
        <w:jc w:val="both"/>
        <w:rPr>
          <w:rFonts w:cs="Calibri"/>
          <w:color w:val="1F497D"/>
          <w:lang w:eastAsia="en-US"/>
        </w:rPr>
      </w:pPr>
      <w:r w:rsidRPr="00A85C95">
        <w:rPr>
          <w:rFonts w:asciiTheme="minorHAnsi" w:hAnsiTheme="minorHAnsi"/>
          <w:b/>
          <w:color w:val="44546A" w:themeColor="text2"/>
        </w:rPr>
        <w:t>Odpoveď</w:t>
      </w:r>
      <w:r w:rsidR="00DA576C">
        <w:rPr>
          <w:rFonts w:asciiTheme="minorHAnsi" w:hAnsiTheme="minorHAnsi"/>
          <w:b/>
          <w:color w:val="44546A" w:themeColor="text2"/>
        </w:rPr>
        <w:t xml:space="preserve">: </w:t>
      </w:r>
      <w:r w:rsidR="00545650">
        <w:rPr>
          <w:rFonts w:asciiTheme="minorHAnsi" w:hAnsiTheme="minorHAnsi"/>
          <w:b/>
          <w:color w:val="44546A" w:themeColor="text2"/>
        </w:rPr>
        <w:t xml:space="preserve"> </w:t>
      </w:r>
      <w:r w:rsidR="00100AFA">
        <w:rPr>
          <w:rFonts w:cs="Calibri"/>
          <w:color w:val="1F497D"/>
          <w:lang w:eastAsia="en-US"/>
        </w:rPr>
        <w:t>P</w:t>
      </w:r>
      <w:r w:rsidR="00DA576C">
        <w:rPr>
          <w:rFonts w:cs="Calibri"/>
          <w:color w:val="1F497D"/>
          <w:lang w:eastAsia="en-US"/>
        </w:rPr>
        <w:t xml:space="preserve">ožadované aktivity sú oprávnené, ak sú súčasťou zhotovovania projektovej dokumentácie pre jednotlivé stupne projektovej činnosti, ale predpokladáme, že v praxi bude výsledkom obstarávania dodanie projektovej dokumentácie, nie jednotlivých čiastkových činností. </w:t>
      </w:r>
    </w:p>
    <w:p w14:paraId="4AF36B39" w14:textId="77777777" w:rsidR="00DA576C" w:rsidRDefault="00DA576C" w:rsidP="00DA576C">
      <w:pPr>
        <w:jc w:val="both"/>
        <w:rPr>
          <w:rFonts w:cs="Calibri"/>
          <w:color w:val="1F497D"/>
          <w:lang w:eastAsia="en-US"/>
        </w:rPr>
      </w:pPr>
      <w:r>
        <w:rPr>
          <w:rFonts w:cs="Calibri"/>
          <w:color w:val="1F497D"/>
          <w:lang w:eastAsia="en-US"/>
        </w:rPr>
        <w:t xml:space="preserve">Inžinierska činnosť nie je vybranou činnosťou vo výstavbe v zmysle § 45 Stavebného zákona, preto Stavebný zákon nevymedzuje tento pojem, ani neustanovuje podmienky resp. požiadavky na výkon tejto činnosti. V minulosti sa inžinierska činnosť vykonávala v súlade s ustanoveniami vyhlášky bývalého Federálneho ministerstva pre technický a investičný rozvoj č. 89/1976 Zb. o oprávnení na inžiniersku činnosť vo výstavbe. Táto vyhláška  bola zrušená s účinnosťou od 1. 5. 1990 zákonom   č. 103/1990 Zb., ktorým sa menil a dopĺňal Hospodársky zákonník. </w:t>
      </w:r>
    </w:p>
    <w:p w14:paraId="77655573" w14:textId="77777777" w:rsidR="00DA576C" w:rsidRDefault="00DA576C" w:rsidP="00DA576C">
      <w:pPr>
        <w:jc w:val="both"/>
        <w:rPr>
          <w:rFonts w:cs="Calibri"/>
          <w:color w:val="1F497D"/>
          <w:lang w:eastAsia="en-US"/>
        </w:rPr>
      </w:pPr>
      <w:r>
        <w:rPr>
          <w:rFonts w:cs="Calibri"/>
          <w:color w:val="1F497D"/>
          <w:lang w:eastAsia="en-US"/>
        </w:rPr>
        <w:t xml:space="preserve">Autorský dozor nie je podľa nás priamo súčasťou procesu prípravy projektovej dokumentácie, jeho význam je najmä pri realizácii stavby, kde sa zameriava na súlad realizovaného diela s projektovou dokumentáciou.  </w:t>
      </w:r>
    </w:p>
    <w:p w14:paraId="17F0BBDE" w14:textId="6C15D475" w:rsidR="008A39AF" w:rsidRPr="00DA576C" w:rsidRDefault="00DA576C" w:rsidP="00DA576C">
      <w:pPr>
        <w:jc w:val="both"/>
        <w:rPr>
          <w:rFonts w:cs="Calibri"/>
          <w:color w:val="1F497D"/>
          <w:lang w:eastAsia="en-US"/>
        </w:rPr>
      </w:pPr>
      <w:r>
        <w:rPr>
          <w:rFonts w:cs="Calibri"/>
          <w:color w:val="1F497D"/>
          <w:lang w:eastAsia="en-US"/>
        </w:rPr>
        <w:t>Avšak výdavky na prípadný autorský dozor projektanta sú zahrnuté v definícii kódu 716 EKRK v rámci Metodického usmernenia Ministerstva financií Slovenskej republiky k č. MF/010175/2004-42 zo dňa 8. decembra 2004 uvedeného v prílohe č. 4 výzvy.</w:t>
      </w:r>
    </w:p>
    <w:p w14:paraId="4573B1A2" w14:textId="5462418F" w:rsidR="00BB7782" w:rsidRPr="00BB7782" w:rsidRDefault="0024613C" w:rsidP="00BB7782">
      <w:pPr>
        <w:shd w:val="clear" w:color="auto" w:fill="FFFFFF"/>
        <w:spacing w:before="120"/>
        <w:jc w:val="both"/>
        <w:rPr>
          <w:rFonts w:asciiTheme="minorHAnsi" w:hAnsiTheme="minorHAnsi"/>
          <w:color w:val="000000"/>
        </w:rPr>
      </w:pPr>
      <w:r w:rsidRPr="00A85C95">
        <w:rPr>
          <w:rFonts w:asciiTheme="minorHAnsi" w:hAnsiTheme="minorHAnsi"/>
          <w:b/>
          <w:color w:val="000000"/>
        </w:rPr>
        <w:t>Otázka č.</w:t>
      </w:r>
      <w:r w:rsidR="00A85C95">
        <w:rPr>
          <w:rFonts w:asciiTheme="minorHAnsi" w:hAnsiTheme="minorHAnsi"/>
          <w:b/>
          <w:color w:val="000000"/>
        </w:rPr>
        <w:t xml:space="preserve"> </w:t>
      </w:r>
      <w:r w:rsidR="003D192A">
        <w:rPr>
          <w:rFonts w:asciiTheme="minorHAnsi" w:hAnsiTheme="minorHAnsi"/>
          <w:b/>
          <w:color w:val="000000"/>
        </w:rPr>
        <w:t>9</w:t>
      </w:r>
      <w:r w:rsidRPr="00A85C95">
        <w:rPr>
          <w:rFonts w:asciiTheme="minorHAnsi" w:hAnsiTheme="minorHAnsi"/>
          <w:b/>
          <w:color w:val="000000"/>
        </w:rPr>
        <w:t>:</w:t>
      </w:r>
      <w:r w:rsidR="00C622B7">
        <w:rPr>
          <w:rFonts w:asciiTheme="minorHAnsi" w:hAnsiTheme="minorHAnsi"/>
          <w:b/>
          <w:color w:val="000000"/>
        </w:rPr>
        <w:t xml:space="preserve"> </w:t>
      </w:r>
      <w:r w:rsidR="00B1100F">
        <w:rPr>
          <w:rFonts w:asciiTheme="minorHAnsi" w:hAnsiTheme="minorHAnsi"/>
          <w:color w:val="000000"/>
        </w:rPr>
        <w:t>A</w:t>
      </w:r>
      <w:r w:rsidR="00BB7782" w:rsidRPr="00BB7782">
        <w:rPr>
          <w:rFonts w:asciiTheme="minorHAnsi" w:hAnsiTheme="minorHAnsi"/>
          <w:color w:val="000000"/>
        </w:rPr>
        <w:t>kou formou môže žiadateľ/obec v rámci výzvy IROP-PO7-SC76-2021-80 z oprávneného územia výzvy iniciovať doplnenie svojich investičných projektov do zoznamu projektov, aby jeho projekt/ŽoNFP naplnil ďalšie podmienky PP (č. 17 - Zaradenie projektu medzi projekty odporúčané riadiacim výborom iniciatívy Catching-up Regions) Výz</w:t>
      </w:r>
      <w:r w:rsidR="00BB7782">
        <w:rPr>
          <w:rFonts w:asciiTheme="minorHAnsi" w:hAnsiTheme="minorHAnsi"/>
          <w:color w:val="000000"/>
        </w:rPr>
        <w:t>vy/Príloha č. 7:</w:t>
      </w:r>
    </w:p>
    <w:p w14:paraId="03735BCD" w14:textId="434F9D42" w:rsidR="00DE406F" w:rsidRDefault="00BB7782" w:rsidP="00BB7782">
      <w:pPr>
        <w:shd w:val="clear" w:color="auto" w:fill="FFFFFF"/>
        <w:spacing w:before="120"/>
        <w:jc w:val="both"/>
        <w:rPr>
          <w:rFonts w:asciiTheme="minorHAnsi" w:hAnsiTheme="minorHAnsi"/>
          <w:i/>
          <w:color w:val="000000"/>
        </w:rPr>
      </w:pPr>
      <w:r w:rsidRPr="00BB7782">
        <w:rPr>
          <w:rFonts w:asciiTheme="minorHAnsi" w:hAnsiTheme="minorHAnsi"/>
          <w:i/>
          <w:color w:val="000000"/>
        </w:rPr>
        <w:t>,,,“Zoznam zahŕňa projekty, ktoré vznikli na základe iniciatívy Catching-up regions a boli odsúhlasené partnermi SK CuRI ku dňu 27. 10. 2021. Vzhľadom na postupné zapájanie dotknutých regiónov do iniciatívy Catching-up regions môže byť zoznam doplnený o ďalšie konkrétne investičné projekty, ktoré musia byť odsúhlasené Riadiacim výborom iniciatívy Catching-up Regions, pričom zoznam takto odsúhlasených projektov tvorí prílohu k zápisnici zo zasadnutia Riadiaceho výboru.“...</w:t>
      </w:r>
    </w:p>
    <w:p w14:paraId="6050B5A8" w14:textId="77777777" w:rsidR="00BB7782" w:rsidRPr="00BB7782" w:rsidRDefault="00BB7782" w:rsidP="00BB7782">
      <w:pPr>
        <w:shd w:val="clear" w:color="auto" w:fill="FFFFFF"/>
        <w:spacing w:before="120"/>
        <w:jc w:val="both"/>
        <w:rPr>
          <w:rFonts w:asciiTheme="minorHAnsi" w:hAnsiTheme="minorHAnsi"/>
          <w:i/>
          <w:color w:val="000000"/>
        </w:rPr>
      </w:pPr>
    </w:p>
    <w:p w14:paraId="64FE2E84" w14:textId="48141FB5" w:rsidR="00BB7782" w:rsidRDefault="0024613C" w:rsidP="0061090A">
      <w:pPr>
        <w:jc w:val="both"/>
        <w:rPr>
          <w:color w:val="000000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Odpoveď:</w:t>
      </w:r>
      <w:r w:rsidR="002714E5">
        <w:rPr>
          <w:rFonts w:asciiTheme="minorHAnsi" w:eastAsia="Times New Roman" w:hAnsiTheme="minorHAnsi"/>
          <w:b/>
          <w:color w:val="44546A" w:themeColor="text2"/>
        </w:rPr>
        <w:t xml:space="preserve"> </w:t>
      </w:r>
      <w:r w:rsidR="00B92B25">
        <w:rPr>
          <w:color w:val="1F497D"/>
        </w:rPr>
        <w:t>Z</w:t>
      </w:r>
      <w:r w:rsidR="00BB7782">
        <w:rPr>
          <w:color w:val="1F497D"/>
        </w:rPr>
        <w:t xml:space="preserve">a implementáciu iniciatívy Catching-up regions na území dotknutých krajov zodpovedajú jednotlivé samosprávne kraje v spolupráci so Svetovou bankou a Európskou komisiou. V konkrétnom prípade (Fiľakovo) odporúčame pre získanie bližších informácií o iniciatíve kontaktovať oddelenie Catching-up Regions Banskobystrického samosprávneho kraja: </w:t>
      </w:r>
      <w:hyperlink r:id="rId8" w:history="1">
        <w:r w:rsidR="00BB7782">
          <w:rPr>
            <w:rStyle w:val="Hypertextovprepojenie"/>
          </w:rPr>
          <w:t>https://www.bbsk.sk/%C3%9Arad/Organiza%C4%8Dn%C3%A9jednotky%C3%9AraduBBSK/OddelenieCatching-UpRegions/Kontakt.aspx</w:t>
        </w:r>
      </w:hyperlink>
      <w:r w:rsidR="00BB7782">
        <w:rPr>
          <w:color w:val="000000"/>
        </w:rPr>
        <w:t>.</w:t>
      </w:r>
    </w:p>
    <w:p w14:paraId="064B6967" w14:textId="77777777" w:rsidR="00BB7782" w:rsidRDefault="00BB7782" w:rsidP="0061090A">
      <w:pPr>
        <w:jc w:val="both"/>
        <w:rPr>
          <w:color w:val="1F497D"/>
        </w:rPr>
      </w:pPr>
    </w:p>
    <w:p w14:paraId="1B886C62" w14:textId="5872FDBC" w:rsidR="0061090A" w:rsidRDefault="00F34D37" w:rsidP="0061090A">
      <w:pPr>
        <w:jc w:val="both"/>
      </w:pPr>
      <w:r>
        <w:rPr>
          <w:rFonts w:asciiTheme="minorHAnsi" w:hAnsiTheme="minorHAnsi"/>
          <w:b/>
          <w:color w:val="000000"/>
        </w:rPr>
        <w:t>Otázka č.</w:t>
      </w:r>
      <w:r w:rsidR="003D192A">
        <w:rPr>
          <w:rFonts w:asciiTheme="minorHAnsi" w:hAnsiTheme="minorHAnsi"/>
          <w:b/>
          <w:color w:val="000000"/>
        </w:rPr>
        <w:t>10</w:t>
      </w:r>
      <w:r w:rsidR="0024613C" w:rsidRPr="00A85C95">
        <w:rPr>
          <w:rFonts w:asciiTheme="minorHAnsi" w:hAnsiTheme="minorHAnsi"/>
          <w:b/>
          <w:color w:val="000000"/>
        </w:rPr>
        <w:t>:</w:t>
      </w:r>
      <w:r w:rsidR="00EC78D8">
        <w:rPr>
          <w:rFonts w:asciiTheme="minorHAnsi" w:hAnsiTheme="minorHAnsi"/>
          <w:b/>
          <w:color w:val="000000"/>
        </w:rPr>
        <w:t xml:space="preserve"> </w:t>
      </w:r>
      <w:r w:rsidR="00B1100F">
        <w:t>M</w:t>
      </w:r>
      <w:r w:rsidR="0061090A">
        <w:t>ôže v rámci „Výzvy na predkladanie žiadostí o nenávratný finančný príspevok na prípravu projektov iniciatívy Catching-up Regions“ kód výzvy: IROP-PO7-SC76-2021-80, jeden žiadateľ podať viac žiadostí o NFP v tom istom hodnotiacom kole?</w:t>
      </w:r>
    </w:p>
    <w:p w14:paraId="27CCA99F" w14:textId="77777777" w:rsidR="0061090A" w:rsidRDefault="0061090A" w:rsidP="00EC78D8">
      <w:pPr>
        <w:pStyle w:val="Obyajntext"/>
        <w:jc w:val="both"/>
        <w:rPr>
          <w:rFonts w:asciiTheme="minorHAnsi" w:hAnsiTheme="minorHAnsi" w:cs="Times New Roman"/>
          <w:color w:val="000000"/>
          <w:lang w:eastAsia="sk-SK"/>
        </w:rPr>
      </w:pPr>
    </w:p>
    <w:p w14:paraId="4B4D1883" w14:textId="7C18CE51" w:rsidR="0061090A" w:rsidRDefault="0024613C" w:rsidP="0061090A">
      <w:pPr>
        <w:jc w:val="both"/>
        <w:rPr>
          <w:color w:val="1F497D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</w:t>
      </w:r>
      <w:r w:rsidR="00EC78D8">
        <w:rPr>
          <w:rFonts w:asciiTheme="minorHAnsi" w:eastAsia="Times New Roman" w:hAnsiTheme="minorHAnsi"/>
          <w:b/>
          <w:color w:val="44546A" w:themeColor="text2"/>
        </w:rPr>
        <w:t xml:space="preserve">: </w:t>
      </w:r>
      <w:r w:rsidR="00B92B25">
        <w:rPr>
          <w:color w:val="1F497D"/>
        </w:rPr>
        <w:t>P</w:t>
      </w:r>
      <w:r w:rsidR="0061090A">
        <w:rPr>
          <w:color w:val="1F497D"/>
        </w:rPr>
        <w:t>očet žiadostí o NFP zo strany jedného a toho istého žiadateľa nie je vo výzve ničím obmedzený. Žiadosti sa však musia týkať investičných projektov uvedených v prílohe 7 výzvy.</w:t>
      </w:r>
    </w:p>
    <w:p w14:paraId="3462DCB7" w14:textId="299175B4" w:rsidR="000B3F8C" w:rsidRPr="00C622B7" w:rsidRDefault="000B3F8C" w:rsidP="00EC78D8">
      <w:pPr>
        <w:pStyle w:val="Obyajntext"/>
        <w:jc w:val="both"/>
        <w:rPr>
          <w:rFonts w:cs="Times New Roman"/>
          <w:color w:val="1F497D"/>
        </w:rPr>
      </w:pPr>
    </w:p>
    <w:p w14:paraId="70AE8E51" w14:textId="77777777" w:rsidR="0061090A" w:rsidRDefault="000B3F8C" w:rsidP="0061090A">
      <w:pPr>
        <w:jc w:val="both"/>
      </w:pPr>
      <w:r>
        <w:rPr>
          <w:rFonts w:asciiTheme="minorHAnsi" w:hAnsiTheme="minorHAnsi"/>
          <w:b/>
          <w:color w:val="000000"/>
        </w:rPr>
        <w:t>Otázka č.</w:t>
      </w:r>
      <w:r w:rsidR="003D192A">
        <w:rPr>
          <w:rFonts w:asciiTheme="minorHAnsi" w:hAnsiTheme="minorHAnsi"/>
          <w:b/>
          <w:color w:val="000000"/>
        </w:rPr>
        <w:t>11</w:t>
      </w:r>
      <w:r w:rsidRPr="00A85C95">
        <w:rPr>
          <w:rFonts w:asciiTheme="minorHAnsi" w:hAnsiTheme="minorHAnsi"/>
          <w:b/>
          <w:color w:val="000000"/>
        </w:rPr>
        <w:t>:</w:t>
      </w:r>
      <w:r>
        <w:rPr>
          <w:rFonts w:asciiTheme="minorHAnsi" w:hAnsiTheme="minorHAnsi"/>
          <w:b/>
          <w:color w:val="000000"/>
        </w:rPr>
        <w:t xml:space="preserve"> </w:t>
      </w:r>
      <w:r w:rsidR="0061090A">
        <w:t>Vypracovanie PD – energetická trieda A0</w:t>
      </w:r>
    </w:p>
    <w:p w14:paraId="7396A4B8" w14:textId="79EF77C7" w:rsidR="0061090A" w:rsidRDefault="0061090A" w:rsidP="0061090A">
      <w:pPr>
        <w:jc w:val="both"/>
      </w:pPr>
      <w:r>
        <w:t>Ak nie je splnenie minimálnych požiadaviek na primárnu energiu (globálny ukazovateľ) A0 pri významne obnovovanej budove technicky, funkčne a ekonomicky uskutočniteľné (§ 4 ods. 13 a § 5 ods. 3 a ods. 4 Vyhlášky MDVRR SR č. 364/2012 Z. z.), je akceptovateľné, že bude táto skutočnosť odôvodnená odborne spôsobilou osobou pre energetickú certifikáciu budov?</w:t>
      </w:r>
    </w:p>
    <w:p w14:paraId="70641583" w14:textId="1327423E" w:rsidR="0061090A" w:rsidRDefault="0061090A" w:rsidP="0061090A">
      <w:pPr>
        <w:rPr>
          <w:color w:val="FF0000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</w:t>
      </w:r>
      <w:r>
        <w:rPr>
          <w:rFonts w:asciiTheme="minorHAnsi" w:eastAsia="Times New Roman" w:hAnsiTheme="minorHAnsi"/>
          <w:b/>
          <w:color w:val="44546A" w:themeColor="text2"/>
        </w:rPr>
        <w:t xml:space="preserve">: </w:t>
      </w:r>
      <w:r w:rsidRPr="0061090A">
        <w:rPr>
          <w:color w:val="1F497D"/>
        </w:rPr>
        <w:t>Áno. Odborne spôsobilá osoba pritom musí spĺňať podmienky stanovené v § 6 zákona  č. 555/2005 Z. z. o energetickej hospodárnosti budov a o zmene a doplnení niektorých zákonov.</w:t>
      </w:r>
    </w:p>
    <w:p w14:paraId="72D30639" w14:textId="77777777" w:rsidR="0061090A" w:rsidRDefault="0061090A" w:rsidP="0061090A">
      <w:pPr>
        <w:jc w:val="both"/>
      </w:pPr>
    </w:p>
    <w:p w14:paraId="4CAF1B1E" w14:textId="013B173B" w:rsidR="0061090A" w:rsidRDefault="0061090A" w:rsidP="0061090A">
      <w:pPr>
        <w:jc w:val="both"/>
      </w:pPr>
      <w:r>
        <w:t>Vypracovanie PD – podmienka bezbariérovosti</w:t>
      </w:r>
    </w:p>
    <w:p w14:paraId="74B033F3" w14:textId="77777777" w:rsidR="0061090A" w:rsidRDefault="0061090A" w:rsidP="0061090A">
      <w:pPr>
        <w:jc w:val="both"/>
      </w:pPr>
      <w:r>
        <w:lastRenderedPageBreak/>
        <w:t>Je podmienkou vypracovania projektovej dokumentácie otázka bezbariérovosti? Ak áno, v akom rozsahu?</w:t>
      </w:r>
    </w:p>
    <w:p w14:paraId="24CD3171" w14:textId="0A2F32DF" w:rsidR="000B3F8C" w:rsidRDefault="000B3F8C" w:rsidP="00545650">
      <w:pPr>
        <w:pStyle w:val="Obyajntext"/>
        <w:jc w:val="both"/>
      </w:pPr>
    </w:p>
    <w:p w14:paraId="0499BF3A" w14:textId="408210F9" w:rsidR="0061090A" w:rsidRPr="0061090A" w:rsidRDefault="000B3F8C" w:rsidP="0061090A">
      <w:pPr>
        <w:jc w:val="both"/>
        <w:rPr>
          <w:rFonts w:asciiTheme="minorHAnsi" w:eastAsia="Times New Roman" w:hAnsiTheme="minorHAnsi" w:cs="Calibri"/>
          <w:color w:val="44546A" w:themeColor="text2"/>
          <w:lang w:eastAsia="en-US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</w:t>
      </w:r>
      <w:r>
        <w:rPr>
          <w:rFonts w:asciiTheme="minorHAnsi" w:eastAsia="Times New Roman" w:hAnsiTheme="minorHAnsi"/>
          <w:b/>
          <w:color w:val="44546A" w:themeColor="text2"/>
        </w:rPr>
        <w:t xml:space="preserve">: </w:t>
      </w:r>
      <w:r w:rsidR="0061090A" w:rsidRPr="0061090A">
        <w:rPr>
          <w:color w:val="1F497D"/>
        </w:rPr>
        <w:t>Podmienky bezbariérovosti stanovuje vyhláška č. 532/2002 Z. z., ktorou sa ustanovujú podrobnosti o všeobecných technických požiadavkách na výstavbu a o všeobecných technických požiadavkách na stavby užívané osobami s obmedzenou schopnosťou pohybu a orientácie v časti 4. VŠEOBECNÉ TECHNICKÉ POŽIADAVKY NA STAVBY UŽÍVANÉ OSOBAMI S OBMEDZENOU SCHOPNOSŤOU POHYBU A ORIENTÁCIE. Odporúčame aplikovať požiadavky stanovené vyhláškou v maximálnej možnej miere aj vzhľadom na to, že v čase realizácie stavieb sa dajú predpokladať maximálne požiadavky na inkluzívnosť podporovaných projektov.</w:t>
      </w:r>
    </w:p>
    <w:p w14:paraId="05689F7C" w14:textId="48AEE2CB" w:rsidR="000B3F8C" w:rsidRDefault="000B3F8C" w:rsidP="000B3F8C">
      <w:pPr>
        <w:pStyle w:val="Obyajntext"/>
        <w:jc w:val="both"/>
        <w:rPr>
          <w:rFonts w:asciiTheme="minorHAnsi" w:eastAsia="Times New Roman" w:hAnsiTheme="minorHAnsi"/>
          <w:color w:val="44546A" w:themeColor="text2"/>
        </w:rPr>
      </w:pPr>
    </w:p>
    <w:p w14:paraId="5C53DE59" w14:textId="3570B900" w:rsidR="0061090A" w:rsidRPr="0061090A" w:rsidRDefault="000B3F8C" w:rsidP="0061090A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Otázka č.</w:t>
      </w:r>
      <w:r w:rsidR="003D192A">
        <w:rPr>
          <w:rFonts w:asciiTheme="minorHAnsi" w:hAnsiTheme="minorHAnsi"/>
          <w:b/>
          <w:color w:val="000000"/>
        </w:rPr>
        <w:t>12</w:t>
      </w:r>
      <w:r w:rsidRPr="00A85C95">
        <w:rPr>
          <w:rFonts w:asciiTheme="minorHAnsi" w:hAnsiTheme="minorHAnsi"/>
          <w:b/>
          <w:color w:val="000000"/>
        </w:rPr>
        <w:t>:</w:t>
      </w:r>
      <w:r>
        <w:rPr>
          <w:rFonts w:asciiTheme="minorHAnsi" w:hAnsiTheme="minorHAnsi"/>
          <w:b/>
          <w:color w:val="000000"/>
        </w:rPr>
        <w:t xml:space="preserve"> </w:t>
      </w:r>
      <w:r w:rsidR="00B1100F">
        <w:rPr>
          <w:rFonts w:asciiTheme="minorHAnsi" w:hAnsiTheme="minorHAnsi"/>
          <w:color w:val="000000"/>
        </w:rPr>
        <w:t>J</w:t>
      </w:r>
      <w:r w:rsidR="0061090A" w:rsidRPr="0061090A">
        <w:rPr>
          <w:rFonts w:asciiTheme="minorHAnsi" w:hAnsiTheme="minorHAnsi"/>
          <w:color w:val="000000"/>
        </w:rPr>
        <w:t xml:space="preserve">e možné </w:t>
      </w:r>
      <w:r w:rsidR="00B1100F">
        <w:rPr>
          <w:rFonts w:asciiTheme="minorHAnsi" w:hAnsiTheme="minorHAnsi"/>
          <w:color w:val="000000"/>
        </w:rPr>
        <w:t xml:space="preserve">pridávať </w:t>
      </w:r>
      <w:r w:rsidR="0061090A" w:rsidRPr="0061090A">
        <w:rPr>
          <w:rFonts w:asciiTheme="minorHAnsi" w:hAnsiTheme="minorHAnsi"/>
          <w:color w:val="000000"/>
        </w:rPr>
        <w:t>investičné projekty v rámci prílohy 7 výzvy? Na konci je napísané, že: „Vzhľadom na postupné zapájanie dotknutých regiónov do iniciatívy Catching-up regions môže byť zoznam doplnený o ďalšie konkrétne investičné projekty...“. Uvedené sme pochopili tak, že sa môžeme zapojiť aj s novým projektom, o ktorý by bol zoznam doplnený. Nie je to teda momentálne možné?</w:t>
      </w:r>
    </w:p>
    <w:p w14:paraId="390F6F50" w14:textId="141AB005" w:rsidR="000B3F8C" w:rsidRDefault="000B3F8C" w:rsidP="000B3F8C">
      <w:pPr>
        <w:jc w:val="both"/>
      </w:pPr>
    </w:p>
    <w:p w14:paraId="3E6889CF" w14:textId="77777777" w:rsidR="0061090A" w:rsidRPr="0061090A" w:rsidRDefault="000B3F8C" w:rsidP="0061090A">
      <w:pPr>
        <w:spacing w:before="40"/>
        <w:jc w:val="both"/>
        <w:rPr>
          <w:rFonts w:asciiTheme="minorHAnsi" w:eastAsia="Times New Roman" w:hAnsiTheme="minorHAnsi"/>
          <w:color w:val="44546A" w:themeColor="text2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</w:t>
      </w:r>
      <w:r>
        <w:rPr>
          <w:rFonts w:asciiTheme="minorHAnsi" w:eastAsia="Times New Roman" w:hAnsiTheme="minorHAnsi"/>
          <w:b/>
          <w:color w:val="44546A" w:themeColor="text2"/>
        </w:rPr>
        <w:t xml:space="preserve">: </w:t>
      </w:r>
      <w:r w:rsidR="0061090A" w:rsidRPr="0061090A">
        <w:rPr>
          <w:rFonts w:asciiTheme="minorHAnsi" w:eastAsia="Times New Roman" w:hAnsiTheme="minorHAnsi"/>
          <w:color w:val="44546A" w:themeColor="text2"/>
        </w:rPr>
        <w:t>V súčasnosti nie je možné požiadať o NFP na spracovanie projektovej dokumentácie na iné projekty, než sú uvedené v prílohe 7. Na konci prílohy je uvedené: Zoznam zahŕňa projekty, ktoré vznikli na základe iniciatívy Catching-up regions a boli odsúhlasené partnermi SK CuRI  ku dňu 27. 10. 2021. Vzhľadom na postupné zapájanie dotknutých regiónov do iniciatívy Catching-up regions môže byť zoznam doplnený o ďalšie konkrétne investičné projekty, ktoré musia byť odsúhlasené Riadiacim výborom iniciatívy Catching-up Regions, pričom zoznam takto odsúhlasených projektov tvorí prílohu k zápisnici zo zasadnutia Riadiaceho výboru.</w:t>
      </w:r>
    </w:p>
    <w:p w14:paraId="4B7B8EAF" w14:textId="77777777" w:rsidR="0061090A" w:rsidRPr="0061090A" w:rsidRDefault="0061090A" w:rsidP="0061090A">
      <w:pPr>
        <w:spacing w:before="40"/>
        <w:jc w:val="both"/>
        <w:rPr>
          <w:rFonts w:asciiTheme="minorHAnsi" w:eastAsia="Times New Roman" w:hAnsiTheme="minorHAnsi"/>
          <w:color w:val="44546A" w:themeColor="text2"/>
        </w:rPr>
      </w:pPr>
      <w:r w:rsidRPr="0061090A">
        <w:rPr>
          <w:rFonts w:asciiTheme="minorHAnsi" w:eastAsia="Times New Roman" w:hAnsiTheme="minorHAnsi"/>
          <w:color w:val="44546A" w:themeColor="text2"/>
        </w:rPr>
        <w:t>To znamená, že ak je žiadateľ toho názoru, že jeho projekt by sa mohol stať súčasťou iniciatívy CuRI, mal by kontaktovať útvar Catching-up Regions na úrade príslušného samosprávneho kraja.</w:t>
      </w:r>
    </w:p>
    <w:p w14:paraId="62AED5D7" w14:textId="69EF36E3" w:rsidR="000B3F8C" w:rsidRPr="00A7747C" w:rsidRDefault="000B3F8C" w:rsidP="000B3F8C">
      <w:pPr>
        <w:spacing w:before="40"/>
        <w:jc w:val="both"/>
        <w:rPr>
          <w:color w:val="1F497D"/>
          <w:lang w:eastAsia="en-US"/>
        </w:rPr>
      </w:pPr>
    </w:p>
    <w:p w14:paraId="59B6CAE0" w14:textId="77777777" w:rsidR="0061090A" w:rsidRPr="0061090A" w:rsidRDefault="00545650" w:rsidP="0061090A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O</w:t>
      </w:r>
      <w:r w:rsidR="000B3F8C">
        <w:rPr>
          <w:rFonts w:asciiTheme="minorHAnsi" w:hAnsiTheme="minorHAnsi"/>
          <w:b/>
          <w:color w:val="000000"/>
        </w:rPr>
        <w:t>tázka č.</w:t>
      </w:r>
      <w:r w:rsidR="003D192A">
        <w:rPr>
          <w:rFonts w:asciiTheme="minorHAnsi" w:hAnsiTheme="minorHAnsi"/>
          <w:b/>
          <w:color w:val="000000"/>
        </w:rPr>
        <w:t>13</w:t>
      </w:r>
      <w:r w:rsidR="000B3F8C" w:rsidRPr="00A85C95">
        <w:rPr>
          <w:rFonts w:asciiTheme="minorHAnsi" w:hAnsiTheme="minorHAnsi"/>
          <w:b/>
          <w:color w:val="000000"/>
        </w:rPr>
        <w:t>:</w:t>
      </w:r>
      <w:r w:rsidR="003D192A">
        <w:rPr>
          <w:rFonts w:asciiTheme="minorHAnsi" w:hAnsiTheme="minorHAnsi"/>
          <w:b/>
          <w:color w:val="000000"/>
        </w:rPr>
        <w:t xml:space="preserve"> </w:t>
      </w:r>
      <w:r w:rsidR="0061090A" w:rsidRPr="0061090A">
        <w:rPr>
          <w:rFonts w:asciiTheme="minorHAnsi" w:hAnsiTheme="minorHAnsi"/>
          <w:color w:val="000000"/>
        </w:rPr>
        <w:t>Je oprávneným výdavkom aktualizácia a dopracovanie projektovej dokumentácie z roku 2019? Z roku 2019 je k dispozícii projektová dokumentácia pre zateplenie budovy (zníženie energetickej náročnosti), ktorá spĺňa požiadavky na zateplenie platné v roku 2019 (napr. v oblasti energetickej triedy). Predmetom teraz obstarávanej projektovej dokumentácie budú okrem toho aj iné stavebné práce.</w:t>
      </w:r>
      <w:r w:rsidR="0061090A" w:rsidRPr="0061090A">
        <w:rPr>
          <w:rFonts w:asciiTheme="minorHAnsi" w:hAnsiTheme="minorHAnsi"/>
          <w:b/>
          <w:color w:val="000000"/>
        </w:rPr>
        <w:t xml:space="preserve"> </w:t>
      </w:r>
    </w:p>
    <w:p w14:paraId="402BE39B" w14:textId="78F48F96" w:rsidR="003D192A" w:rsidRPr="0061090A" w:rsidRDefault="003D192A" w:rsidP="003D192A">
      <w:pPr>
        <w:jc w:val="both"/>
        <w:rPr>
          <w:rFonts w:asciiTheme="minorHAnsi" w:hAnsiTheme="minorHAnsi"/>
          <w:b/>
          <w:color w:val="000000"/>
        </w:rPr>
      </w:pPr>
    </w:p>
    <w:p w14:paraId="58FE7763" w14:textId="75B7B922" w:rsidR="00BE04BC" w:rsidRDefault="003D192A" w:rsidP="00BE04BC">
      <w:pPr>
        <w:jc w:val="both"/>
        <w:rPr>
          <w:color w:val="1F497D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</w:t>
      </w:r>
      <w:r>
        <w:rPr>
          <w:rFonts w:asciiTheme="minorHAnsi" w:eastAsia="Times New Roman" w:hAnsiTheme="minorHAnsi"/>
          <w:b/>
          <w:color w:val="44546A" w:themeColor="text2"/>
        </w:rPr>
        <w:t>:</w:t>
      </w:r>
      <w:r w:rsidR="00BE04BC">
        <w:rPr>
          <w:rFonts w:asciiTheme="minorHAnsi" w:eastAsia="Times New Roman" w:hAnsiTheme="minorHAnsi"/>
          <w:b/>
          <w:color w:val="44546A" w:themeColor="text2"/>
        </w:rPr>
        <w:t xml:space="preserve"> </w:t>
      </w:r>
      <w:r w:rsidR="00B92B25">
        <w:rPr>
          <w:color w:val="1F497D"/>
        </w:rPr>
        <w:t>Á</w:t>
      </w:r>
      <w:r w:rsidR="00BE04BC">
        <w:rPr>
          <w:color w:val="1F497D"/>
        </w:rPr>
        <w:t>no, dopracovanie, resp. aktualizácia projektovej dokumentácie je oprávneným výdavkom, samozrejme za súčasného splnenia ďalších podmienok vyplývajúcich z výzvy.</w:t>
      </w:r>
    </w:p>
    <w:p w14:paraId="0B91D37D" w14:textId="25DA7AD5" w:rsidR="003D192A" w:rsidRDefault="003D192A" w:rsidP="003D192A">
      <w:pPr>
        <w:pStyle w:val="Normlnywebov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eastAsia="Times New Roman" w:hAnsiTheme="minorHAnsi"/>
          <w:b/>
          <w:color w:val="44546A" w:themeColor="text2"/>
        </w:rPr>
        <w:t xml:space="preserve"> </w:t>
      </w:r>
    </w:p>
    <w:p w14:paraId="56691C2F" w14:textId="77777777" w:rsidR="00BE04BC" w:rsidRDefault="003D192A" w:rsidP="0061090A">
      <w:p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Otázka č.14: </w:t>
      </w:r>
    </w:p>
    <w:p w14:paraId="63551987" w14:textId="3FAD7479" w:rsidR="0061090A" w:rsidRPr="0061090A" w:rsidRDefault="00BE04BC" w:rsidP="0061090A">
      <w:pPr>
        <w:jc w:val="both"/>
        <w:rPr>
          <w:rFonts w:asciiTheme="minorHAnsi" w:hAnsiTheme="minorHAnsi"/>
          <w:color w:val="000000"/>
        </w:rPr>
      </w:pPr>
      <w:r w:rsidRPr="00BE04BC">
        <w:rPr>
          <w:rFonts w:asciiTheme="minorHAnsi" w:hAnsiTheme="minorHAnsi"/>
          <w:color w:val="000000"/>
        </w:rPr>
        <w:t>a)</w:t>
      </w:r>
      <w:r w:rsidR="0061090A" w:rsidRPr="0061090A">
        <w:rPr>
          <w:rFonts w:asciiTheme="minorHAnsi" w:hAnsiTheme="minorHAnsi"/>
          <w:b/>
          <w:color w:val="000000"/>
        </w:rPr>
        <w:t xml:space="preserve"> </w:t>
      </w:r>
      <w:r w:rsidR="0061090A" w:rsidRPr="0061090A">
        <w:rPr>
          <w:rFonts w:asciiTheme="minorHAnsi" w:hAnsiTheme="minorHAnsi"/>
          <w:color w:val="000000"/>
        </w:rPr>
        <w:t>Musí Žiadateľ, ktorého projekty sa nachádzajú v prílohe č. 7 Výzvy, podať ŽoNFP na každý schválený projekt osobitne, alebo má podať jednu ŽoNFP na všetky schválené projekty?</w:t>
      </w:r>
    </w:p>
    <w:p w14:paraId="5B57957D" w14:textId="2EC37868" w:rsidR="003D192A" w:rsidRPr="0061090A" w:rsidRDefault="00BE04BC" w:rsidP="0061090A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b)</w:t>
      </w:r>
      <w:r w:rsidR="0061090A" w:rsidRPr="0061090A">
        <w:rPr>
          <w:rFonts w:asciiTheme="minorHAnsi" w:hAnsiTheme="minorHAnsi"/>
          <w:color w:val="000000"/>
        </w:rPr>
        <w:t xml:space="preserve"> Musí mať žiadateľ v čase do podania ŽoNFP spracované a ukončené verejné obstarávanie na predmet projektu, t.j. v stave ukončené, po podpise zmluvy o dielo s víťazným uchádzačom?</w:t>
      </w:r>
    </w:p>
    <w:p w14:paraId="045FCB24" w14:textId="24FA5846" w:rsidR="003D192A" w:rsidRPr="0061090A" w:rsidRDefault="003D192A" w:rsidP="0061090A">
      <w:pPr>
        <w:jc w:val="both"/>
        <w:rPr>
          <w:rFonts w:asciiTheme="minorHAnsi" w:hAnsiTheme="minorHAnsi"/>
          <w:color w:val="000000"/>
        </w:rPr>
      </w:pPr>
    </w:p>
    <w:p w14:paraId="503D97D1" w14:textId="2970EC3C" w:rsidR="003D192A" w:rsidRDefault="003D192A" w:rsidP="003D192A">
      <w:pPr>
        <w:rPr>
          <w:rFonts w:asciiTheme="minorHAnsi" w:eastAsia="Times New Roman" w:hAnsiTheme="minorHAnsi"/>
          <w:b/>
          <w:color w:val="44546A" w:themeColor="text2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</w:t>
      </w:r>
      <w:r>
        <w:rPr>
          <w:rFonts w:asciiTheme="minorHAnsi" w:eastAsia="Times New Roman" w:hAnsiTheme="minorHAnsi"/>
          <w:b/>
          <w:color w:val="44546A" w:themeColor="text2"/>
        </w:rPr>
        <w:t>:</w:t>
      </w:r>
    </w:p>
    <w:p w14:paraId="6C237AD5" w14:textId="07DA03C1" w:rsidR="00BE04BC" w:rsidRDefault="00BE04BC" w:rsidP="00BE04BC">
      <w:pPr>
        <w:pStyle w:val="Odsekzoznamu"/>
        <w:numPr>
          <w:ilvl w:val="0"/>
          <w:numId w:val="45"/>
        </w:numPr>
        <w:rPr>
          <w:rFonts w:asciiTheme="minorHAnsi" w:eastAsia="Times New Roman" w:hAnsiTheme="minorHAnsi"/>
          <w:color w:val="44546A" w:themeColor="text2"/>
        </w:rPr>
      </w:pPr>
      <w:r w:rsidRPr="00BE04BC">
        <w:rPr>
          <w:rFonts w:asciiTheme="minorHAnsi" w:eastAsia="Times New Roman" w:hAnsiTheme="minorHAnsi"/>
          <w:color w:val="44546A" w:themeColor="text2"/>
        </w:rPr>
        <w:t>Je na žiadateľovi, aký postup zvolí – obe možnosti sú oprávnené. Treba však brať do úvahy, že pri spoločnej žiadosti v prípade nesprávneho postupu týkajúceho sa jedného projektu bude zamietnutá celá žiadosť.</w:t>
      </w:r>
    </w:p>
    <w:p w14:paraId="51CEA74E" w14:textId="264A2316" w:rsidR="00BE04BC" w:rsidRDefault="00BE04BC" w:rsidP="00BE04BC">
      <w:pPr>
        <w:pStyle w:val="Odsekzoznamu"/>
        <w:numPr>
          <w:ilvl w:val="0"/>
          <w:numId w:val="45"/>
        </w:numPr>
        <w:rPr>
          <w:rFonts w:asciiTheme="minorHAnsi" w:eastAsia="Times New Roman" w:hAnsiTheme="minorHAnsi"/>
          <w:color w:val="44546A" w:themeColor="text2"/>
        </w:rPr>
      </w:pPr>
      <w:r w:rsidRPr="00BE04BC">
        <w:rPr>
          <w:rFonts w:asciiTheme="minorHAnsi" w:eastAsia="Times New Roman" w:hAnsiTheme="minorHAnsi"/>
          <w:color w:val="44546A" w:themeColor="text2"/>
        </w:rPr>
        <w:t>Takáto podmienka nie je vo výzve zadefinovaná.</w:t>
      </w:r>
    </w:p>
    <w:p w14:paraId="0530D3FE" w14:textId="77777777" w:rsidR="00BE04BC" w:rsidRPr="00BE04BC" w:rsidRDefault="00BE04BC" w:rsidP="00BE04BC">
      <w:pPr>
        <w:pStyle w:val="Odsekzoznamu"/>
        <w:rPr>
          <w:rFonts w:asciiTheme="minorHAnsi" w:eastAsia="Times New Roman" w:hAnsiTheme="minorHAnsi"/>
          <w:color w:val="44546A" w:themeColor="text2"/>
        </w:rPr>
      </w:pPr>
    </w:p>
    <w:p w14:paraId="78399E33" w14:textId="7AA5E90D" w:rsidR="00BE04BC" w:rsidRDefault="00BE04BC" w:rsidP="00BE04BC">
      <w:pPr>
        <w:jc w:val="both"/>
      </w:pPr>
      <w:r>
        <w:rPr>
          <w:rFonts w:asciiTheme="minorHAnsi" w:hAnsiTheme="minorHAnsi"/>
          <w:b/>
          <w:color w:val="000000"/>
        </w:rPr>
        <w:lastRenderedPageBreak/>
        <w:t xml:space="preserve">Otázka č.15: </w:t>
      </w:r>
      <w:r>
        <w:t>V rámci podmienky oprávnenosti aktivít projektu nám nie je jasné, či sa má najskôr vysúťažiť odborne spôsobilá osoba na prípravu projektovej dokumentácie a tak sa následne zapojiť do jednej z typov aktivít alebo sa má najskôr urobiť projektová dokumentácia.</w:t>
      </w:r>
    </w:p>
    <w:p w14:paraId="49EA93BB" w14:textId="1AB1DA1D" w:rsidR="00BE04BC" w:rsidRDefault="00BE04BC" w:rsidP="00BE04BC">
      <w:pPr>
        <w:jc w:val="both"/>
      </w:pPr>
    </w:p>
    <w:p w14:paraId="0514A6DD" w14:textId="51A7D67D" w:rsidR="00BE04BC" w:rsidRDefault="00BE04BC" w:rsidP="00B92C0F">
      <w:pPr>
        <w:jc w:val="both"/>
        <w:rPr>
          <w:rFonts w:asciiTheme="minorHAnsi" w:eastAsia="Times New Roman" w:hAnsiTheme="minorHAnsi"/>
          <w:b/>
          <w:color w:val="44546A" w:themeColor="text2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</w:t>
      </w:r>
      <w:r>
        <w:rPr>
          <w:rFonts w:asciiTheme="minorHAnsi" w:eastAsia="Times New Roman" w:hAnsiTheme="minorHAnsi"/>
          <w:b/>
          <w:color w:val="44546A" w:themeColor="text2"/>
        </w:rPr>
        <w:t>:</w:t>
      </w:r>
      <w:r w:rsidR="00B92C0F">
        <w:rPr>
          <w:rFonts w:asciiTheme="minorHAnsi" w:eastAsia="Times New Roman" w:hAnsiTheme="minorHAnsi"/>
          <w:b/>
          <w:color w:val="44546A" w:themeColor="text2"/>
        </w:rPr>
        <w:t xml:space="preserve"> </w:t>
      </w:r>
      <w:r w:rsidR="00B92C0F" w:rsidRPr="00B92C0F">
        <w:rPr>
          <w:rFonts w:asciiTheme="minorHAnsi" w:eastAsia="Times New Roman" w:hAnsiTheme="minorHAnsi"/>
          <w:color w:val="44546A" w:themeColor="text2"/>
        </w:rPr>
        <w:t>Ide o dve paralelné aktivity. Jedna je výber spôsobilej osoby a následné zhotovenie projektovej dokumentácie a druhá je požiadanie o nenávratný finančný príspevok na zhotovenie tejto dokumentácie. Táto žiadosť o NFP môže byť podaná aj pred aj po zhotovení projektovej dokumentácie v súlade s ďalším podmienkami zadefinovanými vo výzve.</w:t>
      </w:r>
    </w:p>
    <w:p w14:paraId="34095218" w14:textId="63644F9C" w:rsidR="00BE04BC" w:rsidRDefault="00BE04BC" w:rsidP="00BE04BC">
      <w:pPr>
        <w:jc w:val="both"/>
        <w:rPr>
          <w:rFonts w:asciiTheme="minorHAnsi" w:hAnsiTheme="minorHAnsi"/>
          <w:b/>
          <w:color w:val="000000"/>
        </w:rPr>
      </w:pPr>
    </w:p>
    <w:p w14:paraId="1A4F0A96" w14:textId="4AF78771" w:rsidR="00B92C0F" w:rsidRDefault="00B92C0F" w:rsidP="00BE04BC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 xml:space="preserve">Otázka č.16: </w:t>
      </w:r>
      <w:r w:rsidRPr="00B92C0F">
        <w:rPr>
          <w:rFonts w:asciiTheme="minorHAnsi" w:hAnsiTheme="minorHAnsi"/>
          <w:color w:val="000000"/>
        </w:rPr>
        <w:t>Je možné stanoviť výšku výdavkov na základe sadzobníka UNIKY alebo len na základe prieskumu trhových cien? Vo formulári Rozpočtu je na záložke Zdroje v rámci spôsobu stanovenia výšky výdavku uvedené ,,UNIKA - Sadzobník pre navrhovanie ponukových cien projektových prác a inžinierskych činností (rel. pre projektovú dokumentáciu)‘‘. V príručke pre žiadateľa to nie je uvedené. Dôvodom je, že pri niektorých projektoch neboli predložené 3 cenové ponuky, na základe ktorých by bola stanovená výška výdavku podľa prieskumu trhových cien.</w:t>
      </w:r>
    </w:p>
    <w:p w14:paraId="1513DB50" w14:textId="3003CA7F" w:rsidR="00B92C0F" w:rsidRDefault="00B92C0F" w:rsidP="00BE04BC">
      <w:pPr>
        <w:jc w:val="both"/>
        <w:rPr>
          <w:rFonts w:asciiTheme="minorHAnsi" w:hAnsiTheme="minorHAnsi"/>
          <w:color w:val="000000"/>
        </w:rPr>
      </w:pPr>
    </w:p>
    <w:p w14:paraId="6D75E878" w14:textId="4571E992" w:rsidR="00B92C0F" w:rsidRDefault="00B92C0F" w:rsidP="00B92C0F">
      <w:pPr>
        <w:jc w:val="both"/>
        <w:rPr>
          <w:color w:val="1F497D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</w:t>
      </w:r>
      <w:r>
        <w:rPr>
          <w:rFonts w:asciiTheme="minorHAnsi" w:eastAsia="Times New Roman" w:hAnsiTheme="minorHAnsi"/>
          <w:b/>
          <w:color w:val="44546A" w:themeColor="text2"/>
        </w:rPr>
        <w:t xml:space="preserve">: </w:t>
      </w:r>
      <w:r>
        <w:rPr>
          <w:b/>
          <w:bCs/>
          <w:color w:val="1F497D"/>
        </w:rPr>
        <w:t>V rámci PpŽ, kapitola 2.9, tabuľka 1c, podmienka poskytnutia príspevku č.9 (Podmienka, že výdavky projektu sú oprávnené)</w:t>
      </w:r>
      <w:r>
        <w:rPr>
          <w:color w:val="1F497D"/>
        </w:rPr>
        <w:t xml:space="preserve"> je uvedené, že žiadateľ v rámci prílohy ŽoNFP, ako podklad k rozpočtu projektu (ak v čase predloženia ŽoNFP nie je začaté VO)  predkladá: -  Prieskum trhových cien/Rozpočet stavby vypracovaný a overený autorizovanou osobou/iný dokument preukazujúci stanovenie výšky výdavku v</w:t>
      </w:r>
      <w:r w:rsidR="00B92B25">
        <w:rPr>
          <w:color w:val="1F497D"/>
        </w:rPr>
        <w:t> </w:t>
      </w:r>
      <w:r>
        <w:rPr>
          <w:color w:val="1F497D"/>
        </w:rPr>
        <w:t>ŽoNFP</w:t>
      </w:r>
      <w:r w:rsidR="00B92B25">
        <w:rPr>
          <w:color w:val="1F497D"/>
        </w:rPr>
        <w:t xml:space="preserve"> </w:t>
      </w:r>
      <w:r>
        <w:rPr>
          <w:color w:val="1F497D"/>
        </w:rPr>
        <w:t>(napr. odkaz na verejne dostupné zdroje (napr. Cenníky), z ktorých žiadateľ čerpal pri určovaní cien).</w:t>
      </w:r>
    </w:p>
    <w:p w14:paraId="5F643F60" w14:textId="77777777" w:rsidR="00B92C0F" w:rsidRDefault="00B92C0F" w:rsidP="00B92C0F">
      <w:pPr>
        <w:jc w:val="both"/>
        <w:rPr>
          <w:color w:val="1F497D"/>
        </w:rPr>
      </w:pPr>
    </w:p>
    <w:p w14:paraId="23E0226A" w14:textId="77777777" w:rsidR="00B92C0F" w:rsidRDefault="00B92C0F" w:rsidP="00B92C0F">
      <w:pPr>
        <w:jc w:val="both"/>
        <w:rPr>
          <w:color w:val="1F497D"/>
        </w:rPr>
      </w:pPr>
      <w:r>
        <w:rPr>
          <w:color w:val="1F497D"/>
        </w:rPr>
        <w:t>V rámci poznámky pod čiarou č.70 je uvedené:</w:t>
      </w:r>
    </w:p>
    <w:p w14:paraId="6894FC7F" w14:textId="77777777" w:rsidR="00B92C0F" w:rsidRDefault="00B92C0F" w:rsidP="00B92C0F">
      <w:pPr>
        <w:jc w:val="both"/>
        <w:rPr>
          <w:color w:val="1F497D"/>
        </w:rPr>
      </w:pPr>
      <w:r>
        <w:rPr>
          <w:b/>
          <w:bCs/>
          <w:color w:val="1F497D"/>
        </w:rPr>
        <w:t>RO/SO akceptuje Iný dokument preukazujúci stanovenie výšky výdavku v ŽoNFP iba v prípade, ak nie je možné vykonať Prieskum trhových cien alebo predložiť Rozpočet stavby vypracovaný autorizovanou osobou.</w:t>
      </w:r>
      <w:r>
        <w:rPr>
          <w:color w:val="1F497D"/>
        </w:rPr>
        <w:t xml:space="preserve"> Žiadateľ je povinný v prílohe Rozpočet projektu podrobne zdôvodniť použitie tohto postupu. RO pre IROP je oprávnený na základe posúdenia neakceptovať predloženie Iného dokumentu a vyzvať žiadateľa na predloženie Prieskumu trhových cien alebo na predloženie Rozpočtu stavby vypracovaného autorizovanou osobou.</w:t>
      </w:r>
    </w:p>
    <w:p w14:paraId="36A7729F" w14:textId="77777777" w:rsidR="00B92C0F" w:rsidRDefault="00B92C0F" w:rsidP="00B92C0F">
      <w:pPr>
        <w:jc w:val="both"/>
        <w:rPr>
          <w:color w:val="1F497D"/>
        </w:rPr>
      </w:pPr>
    </w:p>
    <w:p w14:paraId="50E51979" w14:textId="77777777" w:rsidR="00B92C0F" w:rsidRDefault="00B92C0F" w:rsidP="00B92C0F">
      <w:pPr>
        <w:jc w:val="both"/>
        <w:rPr>
          <w:color w:val="1F497D"/>
        </w:rPr>
      </w:pPr>
      <w:r>
        <w:rPr>
          <w:color w:val="1F497D"/>
        </w:rPr>
        <w:t xml:space="preserve">Na základe vyššie uvedeného je možné konštatovať, že žiadateľ by mal predložiť ako podklad k rozpočtu </w:t>
      </w:r>
      <w:r>
        <w:rPr>
          <w:b/>
          <w:bCs/>
          <w:color w:val="1F497D"/>
        </w:rPr>
        <w:t>projektu primárne prieskum trhových cien</w:t>
      </w:r>
      <w:r>
        <w:rPr>
          <w:color w:val="1F497D"/>
        </w:rPr>
        <w:t>, pričom platí:  - potenciálni dodávatelia oslovení v rámci prieskumu trhu musia byť spôsobilí dodať tovar, práce alebo služby, ktoré sú predmetom prieskumu trhu. Ponuky od potenciálnych dodávateľov nesmú byť staršie ako 6 mesiacov ku dňu realizácie prieskumu trhu. Ak ceny tovarov, stavebných prác alebo služieb nezaznamenali na trhu zmenu, je možné pre účely prieskumu trhu použiť aj ponuky staršie ako 6 mesiacov (zdôvodnenie tejto skutočnosti musí byť súčasťou dokumentácie k prieskumu trhu). Žiadateľ predkladá kompletnú dokumentáciu k prieskumu trhu (výzva, cenové ponuky a i.)) a doklad - Prieskum trhových cien vypracovaný podľa vzoru uvedeného v prílohe 3.f.2. V prípade, že daný výdavok spadá pod tovar/službu/prácu, ktorá je v zmysle § 9b zákona č. 25/2006 Z. z. o verejnom obstarávaní a o zmene a doplnení niektorých zákonov v znení neskorších predpisov, resp. § 2 ods. 5, písm. o) a ods. 6, ods. 7 zákona č. 343/2015 Z. z. o verejnom obstarávaní a o zmene a doplnení niektorých zákonov v znení zákona č. 438/2015 Z. z. bežne dostupná na trhu, prieskum trhu môže žiadateľ vykonať aj na základe údajov zverejnených na elektronickom trhovisku (</w:t>
      </w:r>
      <w:hyperlink r:id="rId9" w:history="1">
        <w:r>
          <w:rPr>
            <w:rStyle w:val="Hypertextovprepojenie"/>
          </w:rPr>
          <w:t>www.eks.sk</w:t>
        </w:r>
      </w:hyperlink>
      <w:r>
        <w:rPr>
          <w:color w:val="1F497D"/>
        </w:rPr>
        <w:t xml:space="preserve">). V tomto prípade identifikuje minimálne 3 rovnaké alebo porovnateľné zákazky (s ohľadom na predmet zákazky), ktorých priemerná hodnota bude preukazovať hospodárnosť výdavku požadovaného žiadateľom. Žiadateľ je oprávnený vykonať prieskum trhu aj identifikáciou minimálne 3 zmlúv, zverejnených v Centrálnom registri zmlúv (CRZ), na webovom sídle povinnej osoby alebo v Obchodnom vestníku (identifikácia zverejnených zmlúv musí obsahovať rovnaký, resp. porovnateľný predmet zmluvy). V prípadoch, ak je overená </w:t>
      </w:r>
      <w:r>
        <w:rPr>
          <w:color w:val="1F497D"/>
        </w:rPr>
        <w:lastRenderedPageBreak/>
        <w:t>hospodárnosť na základe zmlúv, ktoré boli výsledkom postupu s využitím elektronického trhoviska alebo na základe zmlúv zverejnených v CRZ, zmluvy musia byť stále platné ku dňu realizácie prieskumu trhu alebo nie staršie ako 6 mesiacov ku dňu realizácie prieskumu trhu.</w:t>
      </w:r>
    </w:p>
    <w:p w14:paraId="2331D37D" w14:textId="5E46471D" w:rsidR="00B92C0F" w:rsidRDefault="00B92C0F" w:rsidP="00B92C0F">
      <w:pPr>
        <w:jc w:val="both"/>
        <w:rPr>
          <w:i/>
          <w:iCs/>
        </w:rPr>
      </w:pPr>
    </w:p>
    <w:p w14:paraId="79C44017" w14:textId="3FAF11C2" w:rsidR="00B92C0F" w:rsidRDefault="00B92C0F" w:rsidP="00B92C0F">
      <w:r>
        <w:rPr>
          <w:rFonts w:asciiTheme="minorHAnsi" w:hAnsiTheme="minorHAnsi"/>
          <w:b/>
          <w:color w:val="000000"/>
        </w:rPr>
        <w:t xml:space="preserve">Otázka č.17: </w:t>
      </w:r>
      <w:r>
        <w:t xml:space="preserve">Aké miesto realizácie projektu mám uviesť v ŽoNFP (bod 6.A, obec), keďže predmetom projektu bude refundácia hydrogeologických prieskumných prác, ktoré sa realizovali v okrese Snina, ale v 20tich obciach. </w:t>
      </w:r>
    </w:p>
    <w:p w14:paraId="274C8587" w14:textId="1C1EF482" w:rsidR="00B92C0F" w:rsidRDefault="00B92C0F" w:rsidP="00B92C0F">
      <w:pPr>
        <w:jc w:val="both"/>
        <w:rPr>
          <w:i/>
          <w:iCs/>
        </w:rPr>
      </w:pPr>
    </w:p>
    <w:p w14:paraId="7AF56E03" w14:textId="77777777" w:rsidR="00B92C0F" w:rsidRDefault="00B92C0F" w:rsidP="00B92C0F">
      <w:pPr>
        <w:rPr>
          <w:color w:val="1F497D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</w:t>
      </w:r>
      <w:r>
        <w:rPr>
          <w:rFonts w:asciiTheme="minorHAnsi" w:eastAsia="Times New Roman" w:hAnsiTheme="minorHAnsi"/>
          <w:b/>
          <w:color w:val="44546A" w:themeColor="text2"/>
        </w:rPr>
        <w:t xml:space="preserve">: </w:t>
      </w:r>
      <w:r>
        <w:rPr>
          <w:color w:val="1F497D"/>
        </w:rPr>
        <w:t xml:space="preserve">ŽoNFP treba vyplniť v súlade s inštrukciami k vypĺňaniu: </w:t>
      </w:r>
    </w:p>
    <w:p w14:paraId="348A5BCE" w14:textId="77777777" w:rsidR="00B92C0F" w:rsidRDefault="00B92C0F" w:rsidP="00B92C0F">
      <w:pPr>
        <w:rPr>
          <w:color w:val="1F497D"/>
        </w:rPr>
      </w:pPr>
    </w:p>
    <w:p w14:paraId="3AF0CB46" w14:textId="77777777" w:rsidR="00B92C0F" w:rsidRDefault="00B92C0F" w:rsidP="00B92C0F">
      <w:pPr>
        <w:jc w:val="both"/>
        <w:rPr>
          <w:color w:val="1F497D"/>
        </w:rPr>
      </w:pPr>
      <w:r>
        <w:rPr>
          <w:color w:val="1F497D"/>
        </w:rPr>
        <w:t xml:space="preserve">Žiadateľ definuje miesto realizácie projektu na najnižšiu možnú úroveň. V prípade investičných projektov sa miestom realizácie projektu rozumie miesto fyzickej realizácie, t. j. miestom realizácie projektu sa rozumie miesto, kde budú umiestnené a využívané výstupy investičných aktivít projektu. 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</w:t>
      </w:r>
      <w:r>
        <w:rPr>
          <w:b/>
          <w:bCs/>
          <w:color w:val="1F497D"/>
          <w:u w:val="single"/>
        </w:rPr>
        <w:t>V ostatných prípadoch sa miesto realizácie uvádza na tú úroveň, ktorá je jednoznačne určiteľná, napr. ak miesto realizácie je v dvoch obciach, je potrebné uviesť všetky obce dotknuté fyzickou realizáciou projektu</w:t>
      </w:r>
      <w:r>
        <w:rPr>
          <w:b/>
          <w:bCs/>
          <w:color w:val="1F497D"/>
          <w:sz w:val="28"/>
          <w:szCs w:val="28"/>
          <w:u w:val="single"/>
        </w:rPr>
        <w:t>.</w:t>
      </w:r>
      <w:r>
        <w:rPr>
          <w:color w:val="1F497D"/>
        </w:rPr>
        <w:t xml:space="preserve"> Kategória regiónu sa vypĺňa v súlade s miestom realizácie projektu.</w:t>
      </w:r>
    </w:p>
    <w:p w14:paraId="74ED3210" w14:textId="4FE4356B" w:rsidR="00B92C0F" w:rsidRPr="00BE04BC" w:rsidRDefault="00B92C0F" w:rsidP="00B92C0F">
      <w:pPr>
        <w:jc w:val="both"/>
        <w:rPr>
          <w:rFonts w:asciiTheme="minorHAnsi" w:hAnsiTheme="minorHAnsi"/>
          <w:b/>
          <w:color w:val="000000"/>
        </w:rPr>
      </w:pPr>
    </w:p>
    <w:p w14:paraId="6A96E535" w14:textId="77777777" w:rsidR="00B92C0F" w:rsidRDefault="00B92C0F" w:rsidP="00B92C0F">
      <w:pPr>
        <w:jc w:val="both"/>
        <w:rPr>
          <w:i/>
          <w:iCs/>
        </w:rPr>
      </w:pPr>
    </w:p>
    <w:p w14:paraId="43275CC3" w14:textId="77777777" w:rsidR="00B92C0F" w:rsidRDefault="00B92C0F" w:rsidP="003D192A">
      <w:pPr>
        <w:rPr>
          <w:rFonts w:asciiTheme="minorHAnsi" w:eastAsia="Times New Roman" w:hAnsiTheme="minorHAnsi"/>
          <w:b/>
          <w:color w:val="44546A" w:themeColor="text2"/>
        </w:rPr>
      </w:pPr>
    </w:p>
    <w:sectPr w:rsidR="00B92C0F" w:rsidSect="00A85C95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E8E64" w14:textId="77777777" w:rsidR="00614A72" w:rsidRDefault="00614A72">
      <w:r>
        <w:separator/>
      </w:r>
    </w:p>
  </w:endnote>
  <w:endnote w:type="continuationSeparator" w:id="0">
    <w:p w14:paraId="0766A7A5" w14:textId="77777777" w:rsidR="00614A72" w:rsidRDefault="006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658293"/>
      <w:docPartObj>
        <w:docPartGallery w:val="Page Numbers (Bottom of Page)"/>
        <w:docPartUnique/>
      </w:docPartObj>
    </w:sdtPr>
    <w:sdtEndPr/>
    <w:sdtContent>
      <w:p w14:paraId="67F855EA" w14:textId="2ADAA4C0" w:rsidR="00B41C01" w:rsidRPr="001309DC" w:rsidRDefault="00B41C01">
        <w:pPr>
          <w:pStyle w:val="Pta"/>
          <w:jc w:val="right"/>
          <w:rPr>
            <w:rFonts w:ascii="Times New Roman" w:hAnsi="Times New Roman"/>
            <w:sz w:val="24"/>
            <w:szCs w:val="24"/>
          </w:rPr>
        </w:pPr>
        <w:r w:rsidRPr="001309DC">
          <w:rPr>
            <w:rFonts w:ascii="Times New Roman" w:hAnsi="Times New Roman"/>
            <w:sz w:val="24"/>
            <w:szCs w:val="24"/>
          </w:rPr>
          <w:fldChar w:fldCharType="begin"/>
        </w:r>
        <w:r w:rsidRPr="001309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09DC">
          <w:rPr>
            <w:rFonts w:ascii="Times New Roman" w:hAnsi="Times New Roman"/>
            <w:sz w:val="24"/>
            <w:szCs w:val="24"/>
          </w:rPr>
          <w:fldChar w:fldCharType="separate"/>
        </w:r>
        <w:r w:rsidR="00B92B25">
          <w:rPr>
            <w:rFonts w:ascii="Times New Roman" w:hAnsi="Times New Roman"/>
            <w:noProof/>
            <w:sz w:val="24"/>
            <w:szCs w:val="24"/>
          </w:rPr>
          <w:t>2</w:t>
        </w:r>
        <w:r w:rsidRPr="001309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D04EE17" w14:textId="77777777" w:rsidR="00B41C01" w:rsidRDefault="00B41C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FDF3D" w14:textId="77777777" w:rsidR="00614A72" w:rsidRDefault="00614A72">
      <w:r>
        <w:separator/>
      </w:r>
    </w:p>
  </w:footnote>
  <w:footnote w:type="continuationSeparator" w:id="0">
    <w:p w14:paraId="46DAA5E1" w14:textId="77777777" w:rsidR="00614A72" w:rsidRDefault="0061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9F05" w14:textId="310E7F42" w:rsidR="00B41C01" w:rsidRDefault="00B41C01" w:rsidP="00A73DDF">
    <w:pPr>
      <w:pStyle w:val="Hlavika"/>
      <w:tabs>
        <w:tab w:val="clear" w:pos="4536"/>
        <w:tab w:val="center" w:pos="425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5BE26F1" wp14:editId="5770763E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5762625" cy="560601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b="83315"/>
                  <a:stretch/>
                </pic:blipFill>
                <pic:spPr bwMode="auto">
                  <a:xfrm>
                    <a:off x="0" y="0"/>
                    <a:ext cx="5762625" cy="560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6C177B73" w14:textId="77777777" w:rsidR="00B41C01" w:rsidRDefault="00B41C01" w:rsidP="00A73DDF">
    <w:pPr>
      <w:pStyle w:val="Hlavika"/>
      <w:tabs>
        <w:tab w:val="clear" w:pos="4536"/>
        <w:tab w:val="center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C7C"/>
    <w:multiLevelType w:val="multilevel"/>
    <w:tmpl w:val="DFAA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743D1"/>
    <w:multiLevelType w:val="hybridMultilevel"/>
    <w:tmpl w:val="D688C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3F50"/>
    <w:multiLevelType w:val="hybridMultilevel"/>
    <w:tmpl w:val="0F14D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79FE"/>
    <w:multiLevelType w:val="hybridMultilevel"/>
    <w:tmpl w:val="98A0A6EE"/>
    <w:lvl w:ilvl="0" w:tplc="7D1AAF5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AC0CEDD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35D6"/>
    <w:multiLevelType w:val="hybridMultilevel"/>
    <w:tmpl w:val="44CCB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4BD2"/>
    <w:multiLevelType w:val="hybridMultilevel"/>
    <w:tmpl w:val="D6D65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211EE"/>
    <w:multiLevelType w:val="multilevel"/>
    <w:tmpl w:val="FF2A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159BB"/>
    <w:multiLevelType w:val="hybridMultilevel"/>
    <w:tmpl w:val="80E2F5F0"/>
    <w:lvl w:ilvl="0" w:tplc="F5BE25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76CAF"/>
    <w:multiLevelType w:val="hybridMultilevel"/>
    <w:tmpl w:val="3BA21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08EE"/>
    <w:multiLevelType w:val="hybridMultilevel"/>
    <w:tmpl w:val="AAF857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9488B"/>
    <w:multiLevelType w:val="hybridMultilevel"/>
    <w:tmpl w:val="88F45E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A90117"/>
    <w:multiLevelType w:val="multilevel"/>
    <w:tmpl w:val="0DD27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02F61"/>
    <w:multiLevelType w:val="hybridMultilevel"/>
    <w:tmpl w:val="A3B61140"/>
    <w:lvl w:ilvl="0" w:tplc="8E54AC2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1F497E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D369C"/>
    <w:multiLevelType w:val="hybridMultilevel"/>
    <w:tmpl w:val="91060AE4"/>
    <w:lvl w:ilvl="0" w:tplc="8D789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658D8"/>
    <w:multiLevelType w:val="hybridMultilevel"/>
    <w:tmpl w:val="21AAB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F437F"/>
    <w:multiLevelType w:val="multilevel"/>
    <w:tmpl w:val="5486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C25A4"/>
    <w:multiLevelType w:val="hybridMultilevel"/>
    <w:tmpl w:val="D550F6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F7919"/>
    <w:multiLevelType w:val="hybridMultilevel"/>
    <w:tmpl w:val="1676F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E3B0A"/>
    <w:multiLevelType w:val="hybridMultilevel"/>
    <w:tmpl w:val="6CF8BD8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94F0D"/>
    <w:multiLevelType w:val="hybridMultilevel"/>
    <w:tmpl w:val="B928AB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66C92"/>
    <w:multiLevelType w:val="hybridMultilevel"/>
    <w:tmpl w:val="E3E67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962F0"/>
    <w:multiLevelType w:val="hybridMultilevel"/>
    <w:tmpl w:val="330E1B7C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E7F3457"/>
    <w:multiLevelType w:val="hybridMultilevel"/>
    <w:tmpl w:val="44F28A66"/>
    <w:lvl w:ilvl="0" w:tplc="8D789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2226B"/>
    <w:multiLevelType w:val="hybridMultilevel"/>
    <w:tmpl w:val="F2DC8176"/>
    <w:lvl w:ilvl="0" w:tplc="10E69CA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4546A" w:themeColor="text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8552E"/>
    <w:multiLevelType w:val="multilevel"/>
    <w:tmpl w:val="1FDE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402B68"/>
    <w:multiLevelType w:val="multilevel"/>
    <w:tmpl w:val="DC66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E21E15"/>
    <w:multiLevelType w:val="hybridMultilevel"/>
    <w:tmpl w:val="E27A19FC"/>
    <w:lvl w:ilvl="0" w:tplc="C76AD32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E7305"/>
    <w:multiLevelType w:val="hybridMultilevel"/>
    <w:tmpl w:val="AD5EA5E2"/>
    <w:lvl w:ilvl="0" w:tplc="3300F5D2">
      <w:numFmt w:val="bullet"/>
      <w:lvlText w:val="•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8" w15:restartNumberingAfterBreak="0">
    <w:nsid w:val="5AAD60FD"/>
    <w:multiLevelType w:val="hybridMultilevel"/>
    <w:tmpl w:val="2B00F350"/>
    <w:lvl w:ilvl="0" w:tplc="94A865F4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156D83"/>
    <w:multiLevelType w:val="hybridMultilevel"/>
    <w:tmpl w:val="4E80D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A510A"/>
    <w:multiLevelType w:val="hybridMultilevel"/>
    <w:tmpl w:val="5F40A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87D41"/>
    <w:multiLevelType w:val="hybridMultilevel"/>
    <w:tmpl w:val="05422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84EAB"/>
    <w:multiLevelType w:val="multilevel"/>
    <w:tmpl w:val="55201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175577"/>
    <w:multiLevelType w:val="hybridMultilevel"/>
    <w:tmpl w:val="38D80E70"/>
    <w:lvl w:ilvl="0" w:tplc="A03CC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83517"/>
    <w:multiLevelType w:val="multilevel"/>
    <w:tmpl w:val="D39CB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67757"/>
    <w:multiLevelType w:val="hybridMultilevel"/>
    <w:tmpl w:val="BE2E71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F0AAE"/>
    <w:multiLevelType w:val="hybridMultilevel"/>
    <w:tmpl w:val="C456D17C"/>
    <w:lvl w:ilvl="0" w:tplc="8D78959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18120E"/>
    <w:multiLevelType w:val="hybridMultilevel"/>
    <w:tmpl w:val="AAF857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A33B3"/>
    <w:multiLevelType w:val="hybridMultilevel"/>
    <w:tmpl w:val="1736E588"/>
    <w:lvl w:ilvl="0" w:tplc="3300F5D2">
      <w:numFmt w:val="bullet"/>
      <w:lvlText w:val="•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 w15:restartNumberingAfterBreak="0">
    <w:nsid w:val="717E45D6"/>
    <w:multiLevelType w:val="hybridMultilevel"/>
    <w:tmpl w:val="A5F8C1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92E5F"/>
    <w:multiLevelType w:val="hybridMultilevel"/>
    <w:tmpl w:val="7D9673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00124"/>
    <w:multiLevelType w:val="hybridMultilevel"/>
    <w:tmpl w:val="C46AAC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1507B"/>
    <w:multiLevelType w:val="hybridMultilevel"/>
    <w:tmpl w:val="274C138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5"/>
  </w:num>
  <w:num w:numId="5">
    <w:abstractNumId w:val="1"/>
  </w:num>
  <w:num w:numId="6">
    <w:abstractNumId w:val="14"/>
  </w:num>
  <w:num w:numId="7">
    <w:abstractNumId w:val="2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42"/>
  </w:num>
  <w:num w:numId="14">
    <w:abstractNumId w:val="18"/>
  </w:num>
  <w:num w:numId="15">
    <w:abstractNumId w:val="26"/>
  </w:num>
  <w:num w:numId="16">
    <w:abstractNumId w:val="20"/>
  </w:num>
  <w:num w:numId="17">
    <w:abstractNumId w:val="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2"/>
  </w:num>
  <w:num w:numId="23">
    <w:abstractNumId w:val="3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8"/>
  </w:num>
  <w:num w:numId="32">
    <w:abstractNumId w:val="33"/>
  </w:num>
  <w:num w:numId="33">
    <w:abstractNumId w:val="27"/>
  </w:num>
  <w:num w:numId="34">
    <w:abstractNumId w:val="41"/>
  </w:num>
  <w:num w:numId="35">
    <w:abstractNumId w:val="33"/>
  </w:num>
  <w:num w:numId="36">
    <w:abstractNumId w:val="10"/>
  </w:num>
  <w:num w:numId="37">
    <w:abstractNumId w:val="3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2"/>
  </w:num>
  <w:num w:numId="41">
    <w:abstractNumId w:val="21"/>
  </w:num>
  <w:num w:numId="42">
    <w:abstractNumId w:val="23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0F"/>
    <w:rsid w:val="00000EEF"/>
    <w:rsid w:val="00024BCE"/>
    <w:rsid w:val="000510AA"/>
    <w:rsid w:val="00094CC6"/>
    <w:rsid w:val="000B25D6"/>
    <w:rsid w:val="000B3F8C"/>
    <w:rsid w:val="000B7DA6"/>
    <w:rsid w:val="000C3422"/>
    <w:rsid w:val="000D793D"/>
    <w:rsid w:val="00100AFA"/>
    <w:rsid w:val="00124C59"/>
    <w:rsid w:val="001D481A"/>
    <w:rsid w:val="001E0C8B"/>
    <w:rsid w:val="001E1804"/>
    <w:rsid w:val="001F66B3"/>
    <w:rsid w:val="00215B6A"/>
    <w:rsid w:val="00234544"/>
    <w:rsid w:val="0024613C"/>
    <w:rsid w:val="002561EB"/>
    <w:rsid w:val="002714E5"/>
    <w:rsid w:val="002C5152"/>
    <w:rsid w:val="0032195C"/>
    <w:rsid w:val="00324335"/>
    <w:rsid w:val="00354629"/>
    <w:rsid w:val="003706EF"/>
    <w:rsid w:val="00383BCC"/>
    <w:rsid w:val="003A4865"/>
    <w:rsid w:val="003D192A"/>
    <w:rsid w:val="003E10E7"/>
    <w:rsid w:val="00450CB0"/>
    <w:rsid w:val="00466B71"/>
    <w:rsid w:val="004717B5"/>
    <w:rsid w:val="004A4E3D"/>
    <w:rsid w:val="004B1858"/>
    <w:rsid w:val="004B67C4"/>
    <w:rsid w:val="004C2D5F"/>
    <w:rsid w:val="004F6209"/>
    <w:rsid w:val="0050036A"/>
    <w:rsid w:val="00521B91"/>
    <w:rsid w:val="00545650"/>
    <w:rsid w:val="00546D59"/>
    <w:rsid w:val="00585A63"/>
    <w:rsid w:val="005C437A"/>
    <w:rsid w:val="005C70C4"/>
    <w:rsid w:val="005D2248"/>
    <w:rsid w:val="0061090A"/>
    <w:rsid w:val="00612882"/>
    <w:rsid w:val="0061449A"/>
    <w:rsid w:val="00614A72"/>
    <w:rsid w:val="00616E20"/>
    <w:rsid w:val="00631397"/>
    <w:rsid w:val="00642482"/>
    <w:rsid w:val="0069143E"/>
    <w:rsid w:val="0069524F"/>
    <w:rsid w:val="006B7FF4"/>
    <w:rsid w:val="006C47F4"/>
    <w:rsid w:val="00710856"/>
    <w:rsid w:val="007607E1"/>
    <w:rsid w:val="00790D3E"/>
    <w:rsid w:val="007B7E86"/>
    <w:rsid w:val="007D039A"/>
    <w:rsid w:val="007F22DE"/>
    <w:rsid w:val="00855CA1"/>
    <w:rsid w:val="008A39AF"/>
    <w:rsid w:val="008A4B13"/>
    <w:rsid w:val="008C170F"/>
    <w:rsid w:val="00914DD6"/>
    <w:rsid w:val="009215A3"/>
    <w:rsid w:val="00942D3F"/>
    <w:rsid w:val="009B59C9"/>
    <w:rsid w:val="009C3868"/>
    <w:rsid w:val="009D34D8"/>
    <w:rsid w:val="00A07A55"/>
    <w:rsid w:val="00A10BBF"/>
    <w:rsid w:val="00A54FA3"/>
    <w:rsid w:val="00A708D0"/>
    <w:rsid w:val="00A73DDF"/>
    <w:rsid w:val="00A7747C"/>
    <w:rsid w:val="00A7784A"/>
    <w:rsid w:val="00A85C95"/>
    <w:rsid w:val="00AA14A6"/>
    <w:rsid w:val="00AC6803"/>
    <w:rsid w:val="00AD5ACE"/>
    <w:rsid w:val="00B01397"/>
    <w:rsid w:val="00B1100F"/>
    <w:rsid w:val="00B1677B"/>
    <w:rsid w:val="00B3347C"/>
    <w:rsid w:val="00B41C01"/>
    <w:rsid w:val="00B53ECC"/>
    <w:rsid w:val="00B92A36"/>
    <w:rsid w:val="00B92B25"/>
    <w:rsid w:val="00B92C0F"/>
    <w:rsid w:val="00B964DE"/>
    <w:rsid w:val="00BB0D6A"/>
    <w:rsid w:val="00BB7782"/>
    <w:rsid w:val="00BC58AC"/>
    <w:rsid w:val="00BD7C91"/>
    <w:rsid w:val="00BE04BC"/>
    <w:rsid w:val="00BF0587"/>
    <w:rsid w:val="00C557DF"/>
    <w:rsid w:val="00C622B7"/>
    <w:rsid w:val="00C66B7C"/>
    <w:rsid w:val="00C66C8D"/>
    <w:rsid w:val="00CA2FFD"/>
    <w:rsid w:val="00CA6EC7"/>
    <w:rsid w:val="00D33AFF"/>
    <w:rsid w:val="00D625B8"/>
    <w:rsid w:val="00D93D97"/>
    <w:rsid w:val="00DA4301"/>
    <w:rsid w:val="00DA4668"/>
    <w:rsid w:val="00DA576C"/>
    <w:rsid w:val="00DB1F6B"/>
    <w:rsid w:val="00DC7F61"/>
    <w:rsid w:val="00DE406F"/>
    <w:rsid w:val="00DF6F2D"/>
    <w:rsid w:val="00E513CC"/>
    <w:rsid w:val="00EC78D8"/>
    <w:rsid w:val="00EE0AF9"/>
    <w:rsid w:val="00EE2435"/>
    <w:rsid w:val="00F06C99"/>
    <w:rsid w:val="00F11A43"/>
    <w:rsid w:val="00F34D37"/>
    <w:rsid w:val="00F57A3A"/>
    <w:rsid w:val="00F94964"/>
    <w:rsid w:val="00FA0B5B"/>
    <w:rsid w:val="00FC66E9"/>
    <w:rsid w:val="00FC76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C48C"/>
  <w15:chartTrackingRefBased/>
  <w15:docId w15:val="{48573060-26AD-40E4-BE4F-F2E8426D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70F"/>
    <w:pPr>
      <w:spacing w:after="0" w:line="240" w:lineRule="auto"/>
    </w:pPr>
    <w:rPr>
      <w:rFonts w:ascii="Calibri" w:hAnsi="Calibri" w:cs="Times New Roman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45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3D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17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170F"/>
    <w:rPr>
      <w:rFonts w:ascii="Calibri" w:hAnsi="Calibri" w:cs="Times New Roman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8C17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170F"/>
    <w:rPr>
      <w:rFonts w:ascii="Calibri" w:hAnsi="Calibri"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8C170F"/>
    <w:pPr>
      <w:ind w:left="720"/>
    </w:pPr>
    <w:rPr>
      <w:rFonts w:cs="Calibri"/>
    </w:rPr>
  </w:style>
  <w:style w:type="paragraph" w:customStyle="1" w:styleId="default">
    <w:name w:val="default"/>
    <w:basedOn w:val="Normlny"/>
    <w:rsid w:val="009B59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9D34D8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324335"/>
    <w:rPr>
      <w:rFonts w:cs="Calibri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24335"/>
    <w:rPr>
      <w:rFonts w:ascii="Calibri" w:hAnsi="Calibri" w:cs="Calibri"/>
      <w:lang w:val="sk-SK"/>
    </w:rPr>
  </w:style>
  <w:style w:type="paragraph" w:styleId="Textpoznmkypodiarou">
    <w:name w:val="footnote text"/>
    <w:aliases w:val="Text poznámky pod èiarou 007,Text poznámky pod čiarou 007,_Poznámka pod čiarou,Text poznámky pod eiarou 007,Text pozn. pod čarou,Char4,Schriftart: 9 pt,Schriftart: 10 pt,Schriftart: 8 pt,Schriftart: 8 pt Char Char Char,Car,Cha"/>
    <w:basedOn w:val="Normlny"/>
    <w:link w:val="TextpoznmkypodiarouChar"/>
    <w:uiPriority w:val="99"/>
    <w:semiHidden/>
    <w:unhideWhenUsed/>
    <w:rsid w:val="00AA14A6"/>
    <w:rPr>
      <w:rFonts w:cs="Calibri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Text pozn. pod čarou Char,Char4 Char,Schriftart: 9 pt Char,Schriftart: 10 pt Char,Car Char"/>
    <w:basedOn w:val="Predvolenpsmoodseku"/>
    <w:link w:val="Textpoznmkypodiarou"/>
    <w:uiPriority w:val="99"/>
    <w:semiHidden/>
    <w:rsid w:val="00AA14A6"/>
    <w:rPr>
      <w:rFonts w:ascii="Calibri" w:hAnsi="Calibri" w:cs="Calibri"/>
      <w:sz w:val="20"/>
      <w:szCs w:val="20"/>
      <w:lang w:val="sk-SK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uiPriority w:val="99"/>
    <w:semiHidden/>
    <w:unhideWhenUsed/>
    <w:rsid w:val="00AA14A6"/>
    <w:rPr>
      <w:rFonts w:ascii="Arial" w:hAnsi="Arial" w:cs="Arial" w:hint="default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D7C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7C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7C91"/>
    <w:rPr>
      <w:rFonts w:ascii="Calibri" w:hAnsi="Calibri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7C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7C91"/>
    <w:rPr>
      <w:rFonts w:ascii="Calibri" w:hAnsi="Calibri" w:cs="Times New Roman"/>
      <w:b/>
      <w:bCs/>
      <w:sz w:val="20"/>
      <w:szCs w:val="20"/>
      <w:lang w:val="sk-SK" w:eastAsia="sk-SK"/>
    </w:rPr>
  </w:style>
  <w:style w:type="paragraph" w:styleId="Revzia">
    <w:name w:val="Revision"/>
    <w:hidden/>
    <w:uiPriority w:val="99"/>
    <w:semiHidden/>
    <w:rsid w:val="00BD7C91"/>
    <w:pPr>
      <w:spacing w:after="0" w:line="240" w:lineRule="auto"/>
    </w:pPr>
    <w:rPr>
      <w:rFonts w:ascii="Calibri" w:hAnsi="Calibri" w:cs="Times New Roman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7C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C91"/>
    <w:rPr>
      <w:rFonts w:ascii="Segoe UI" w:hAnsi="Segoe UI" w:cs="Segoe UI"/>
      <w:sz w:val="18"/>
      <w:szCs w:val="18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449A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B964DE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73DDF"/>
    <w:rPr>
      <w:rFonts w:ascii="Times New Roman" w:hAnsi="Times New Roman" w:cs="Times New Roman"/>
      <w:b/>
      <w:bCs/>
      <w:sz w:val="27"/>
      <w:szCs w:val="27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456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001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526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k.sk/%C3%9Arad/Organiza%C4%8Dn%C3%A9jednotky%C3%9AraduBBSK/OddelenieCatching-UpRegions/Kontak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ks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D509-8C6D-43C8-81F3-310B1707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labaj</dc:creator>
  <cp:keywords/>
  <dc:description/>
  <cp:lastModifiedBy>OPR</cp:lastModifiedBy>
  <cp:revision>2</cp:revision>
  <cp:lastPrinted>2022-04-13T11:00:00Z</cp:lastPrinted>
  <dcterms:created xsi:type="dcterms:W3CDTF">2022-04-13T11:00:00Z</dcterms:created>
  <dcterms:modified xsi:type="dcterms:W3CDTF">2022-04-13T11:00:00Z</dcterms:modified>
</cp:coreProperties>
</file>