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9D" w:rsidRPr="00902555" w:rsidRDefault="00CA419D" w:rsidP="00CA419D">
      <w:pPr>
        <w:jc w:val="both"/>
        <w:rPr>
          <w:b/>
          <w:sz w:val="20"/>
          <w:szCs w:val="20"/>
          <w:lang w:val="sk-SK"/>
        </w:rPr>
      </w:pPr>
      <w:bookmarkStart w:id="0" w:name="_GoBack"/>
      <w:bookmarkEnd w:id="0"/>
      <w:r w:rsidRPr="00902555">
        <w:rPr>
          <w:b/>
          <w:sz w:val="20"/>
          <w:szCs w:val="20"/>
          <w:lang w:val="sk-SK"/>
        </w:rPr>
        <w:t xml:space="preserve">Príloha č. 8a k </w:t>
      </w:r>
      <w:r>
        <w:rPr>
          <w:b/>
          <w:sz w:val="20"/>
          <w:szCs w:val="20"/>
          <w:lang w:val="sk-SK"/>
        </w:rPr>
        <w:t>Rámcovej dohode na zabezpečenie licenčnej podpory licencií SAP, produktov SAP a služieb s nimi súvisiacich č. 2880/2022</w:t>
      </w:r>
    </w:p>
    <w:p w:rsidR="00CA419D" w:rsidRPr="00902555" w:rsidRDefault="00CA419D" w:rsidP="00CA419D">
      <w:pPr>
        <w:jc w:val="center"/>
        <w:rPr>
          <w:b/>
          <w:sz w:val="20"/>
          <w:szCs w:val="20"/>
          <w:lang w:val="sk-SK"/>
        </w:rPr>
      </w:pPr>
    </w:p>
    <w:p w:rsidR="00CA419D" w:rsidRPr="00902555" w:rsidRDefault="00CA419D" w:rsidP="00CA419D">
      <w:pPr>
        <w:jc w:val="center"/>
        <w:rPr>
          <w:b/>
          <w:sz w:val="20"/>
          <w:szCs w:val="20"/>
          <w:lang w:val="sk-SK"/>
        </w:rPr>
      </w:pPr>
      <w:r w:rsidRPr="00902555">
        <w:rPr>
          <w:b/>
          <w:sz w:val="20"/>
          <w:szCs w:val="20"/>
          <w:lang w:val="sk-SK"/>
        </w:rPr>
        <w:t>„Vzor Objednávky na podporu“</w:t>
      </w:r>
    </w:p>
    <w:p w:rsidR="00CA419D" w:rsidRPr="00902555" w:rsidRDefault="00CA419D" w:rsidP="00CA419D">
      <w:pPr>
        <w:jc w:val="center"/>
        <w:rPr>
          <w:sz w:val="20"/>
          <w:szCs w:val="20"/>
          <w:lang w:val="sk-SK"/>
        </w:rPr>
      </w:pPr>
    </w:p>
    <w:p w:rsidR="00CA419D" w:rsidRPr="00902555" w:rsidRDefault="00CA419D" w:rsidP="00CA419D">
      <w:pPr>
        <w:jc w:val="center"/>
        <w:rPr>
          <w:lang w:val="sk-SK"/>
        </w:rPr>
      </w:pPr>
    </w:p>
    <w:tbl>
      <w:tblPr>
        <w:tblStyle w:val="Mriekatabuky7"/>
        <w:tblW w:w="9493" w:type="dxa"/>
        <w:tblInd w:w="-284" w:type="dxa"/>
        <w:tblLook w:val="04A0" w:firstRow="1" w:lastRow="0" w:firstColumn="1" w:lastColumn="0" w:noHBand="0" w:noVBand="1"/>
      </w:tblPr>
      <w:tblGrid>
        <w:gridCol w:w="9493"/>
      </w:tblGrid>
      <w:tr w:rsidR="00CA419D" w:rsidRPr="00902555" w:rsidTr="006269C7">
        <w:tc>
          <w:tcPr>
            <w:tcW w:w="9493" w:type="dxa"/>
            <w:tcBorders>
              <w:top w:val="single" w:sz="4" w:space="0" w:color="auto"/>
              <w:left w:val="single" w:sz="4" w:space="0" w:color="auto"/>
              <w:bottom w:val="single" w:sz="4" w:space="0" w:color="auto"/>
              <w:right w:val="single" w:sz="4" w:space="0" w:color="auto"/>
            </w:tcBorders>
            <w:hideMark/>
          </w:tcPr>
          <w:p w:rsidR="00CA419D" w:rsidRPr="00902555" w:rsidRDefault="00CA419D" w:rsidP="006269C7">
            <w:pPr>
              <w:widowControl/>
              <w:autoSpaceDE/>
              <w:autoSpaceDN/>
              <w:jc w:val="center"/>
              <w:rPr>
                <w:rFonts w:eastAsia="Times New Roman"/>
                <w:b/>
                <w:szCs w:val="24"/>
                <w:lang w:val="sk-SK"/>
              </w:rPr>
            </w:pPr>
            <w:r w:rsidRPr="00902555">
              <w:rPr>
                <w:rFonts w:eastAsia="Times New Roman"/>
                <w:b/>
                <w:szCs w:val="24"/>
                <w:lang w:val="sk-SK"/>
              </w:rPr>
              <w:t>Objednávka na podporu</w:t>
            </w:r>
          </w:p>
          <w:p w:rsidR="00CA419D" w:rsidRPr="00902555" w:rsidRDefault="00CA419D" w:rsidP="006269C7">
            <w:pPr>
              <w:widowControl/>
              <w:autoSpaceDE/>
              <w:autoSpaceDN/>
              <w:jc w:val="center"/>
              <w:rPr>
                <w:rFonts w:eastAsia="Times New Roman"/>
                <w:bCs/>
                <w:sz w:val="18"/>
                <w:szCs w:val="20"/>
                <w:lang w:val="sk-SK"/>
              </w:rPr>
            </w:pPr>
            <w:r w:rsidRPr="00902555">
              <w:rPr>
                <w:rFonts w:eastAsia="Times New Roman"/>
                <w:bCs/>
                <w:sz w:val="18"/>
                <w:szCs w:val="20"/>
                <w:lang w:val="sk-SK"/>
              </w:rPr>
              <w:t xml:space="preserve">na základe </w:t>
            </w:r>
          </w:p>
          <w:p w:rsidR="00CA419D" w:rsidRPr="00902555" w:rsidRDefault="00CA419D" w:rsidP="006269C7">
            <w:pPr>
              <w:widowControl/>
              <w:autoSpaceDE/>
              <w:autoSpaceDN/>
              <w:jc w:val="center"/>
              <w:rPr>
                <w:rFonts w:eastAsia="Times New Roman"/>
                <w:bCs/>
                <w:sz w:val="18"/>
                <w:szCs w:val="20"/>
                <w:lang w:val="sk-SK"/>
              </w:rPr>
            </w:pPr>
            <w:r w:rsidRPr="00902555">
              <w:rPr>
                <w:rFonts w:eastAsia="Times New Roman"/>
                <w:bCs/>
                <w:sz w:val="18"/>
                <w:szCs w:val="20"/>
                <w:lang w:val="sk-SK"/>
              </w:rPr>
              <w:t xml:space="preserve">Rámcovej dohody na zabezpečenie licenčnej podpory licencií SAP, produktov SAP a služieb s nimi súvisiacich č. </w:t>
            </w:r>
            <w:r>
              <w:rPr>
                <w:rFonts w:eastAsia="Times New Roman"/>
                <w:bCs/>
                <w:sz w:val="18"/>
                <w:szCs w:val="20"/>
                <w:lang w:val="sk-SK"/>
              </w:rPr>
              <w:t>2880</w:t>
            </w:r>
            <w:r w:rsidRPr="00902555">
              <w:rPr>
                <w:rFonts w:eastAsia="Times New Roman"/>
                <w:bCs/>
                <w:sz w:val="18"/>
                <w:szCs w:val="20"/>
                <w:lang w:val="sk-SK"/>
              </w:rPr>
              <w:t xml:space="preserve">/2022 (ďalej len </w:t>
            </w:r>
            <w:r w:rsidRPr="00902555">
              <w:rPr>
                <w:rFonts w:eastAsia="Times New Roman"/>
                <w:b/>
                <w:sz w:val="18"/>
                <w:szCs w:val="20"/>
                <w:lang w:val="sk-SK"/>
              </w:rPr>
              <w:t>„Dohoda“</w:t>
            </w:r>
            <w:r w:rsidRPr="00902555">
              <w:rPr>
                <w:rFonts w:eastAsia="Times New Roman"/>
                <w:bCs/>
                <w:sz w:val="18"/>
                <w:szCs w:val="20"/>
                <w:lang w:val="sk-SK"/>
              </w:rPr>
              <w:t xml:space="preserve">) a </w:t>
            </w:r>
          </w:p>
          <w:p w:rsidR="00CA419D" w:rsidRPr="00902555" w:rsidRDefault="00CA419D" w:rsidP="006269C7">
            <w:pPr>
              <w:widowControl/>
              <w:autoSpaceDE/>
              <w:autoSpaceDN/>
              <w:jc w:val="center"/>
              <w:rPr>
                <w:rFonts w:eastAsia="Times New Roman"/>
                <w:bCs/>
                <w:sz w:val="18"/>
                <w:szCs w:val="20"/>
                <w:lang w:val="sk-SK"/>
              </w:rPr>
            </w:pPr>
            <w:r w:rsidRPr="00902555">
              <w:rPr>
                <w:rFonts w:eastAsia="Times New Roman"/>
                <w:bCs/>
                <w:sz w:val="18"/>
                <w:szCs w:val="20"/>
                <w:lang w:val="sk-SK"/>
              </w:rPr>
              <w:t xml:space="preserve">Dohody o pristúpení č. [•]/2022 </w:t>
            </w:r>
          </w:p>
        </w:tc>
      </w:tr>
      <w:tr w:rsidR="00CA419D" w:rsidRPr="00902555" w:rsidTr="006269C7">
        <w:tc>
          <w:tcPr>
            <w:tcW w:w="9493" w:type="dxa"/>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utoSpaceDE/>
              <w:autoSpaceDN/>
              <w:ind w:left="2211" w:hanging="2211"/>
              <w:rPr>
                <w:rFonts w:eastAsia="Calibri"/>
                <w:b/>
                <w:sz w:val="18"/>
                <w:lang w:val="sk-SK"/>
              </w:rPr>
            </w:pPr>
            <w:r w:rsidRPr="00902555">
              <w:rPr>
                <w:rFonts w:eastAsia="Calibri"/>
                <w:b/>
                <w:sz w:val="18"/>
                <w:lang w:val="sk-SK"/>
              </w:rPr>
              <w:t>Objednávateľ:</w:t>
            </w:r>
          </w:p>
          <w:p w:rsidR="00CA419D" w:rsidRPr="00902555" w:rsidRDefault="00CA419D" w:rsidP="006269C7">
            <w:pPr>
              <w:widowControl/>
              <w:autoSpaceDE/>
              <w:autoSpaceDN/>
              <w:ind w:left="2211" w:hanging="2211"/>
              <w:rPr>
                <w:rFonts w:eastAsia="Calibri"/>
                <w:bCs/>
                <w:sz w:val="18"/>
                <w:lang w:val="sk-SK"/>
              </w:rPr>
            </w:pPr>
            <w:r w:rsidRPr="00902555">
              <w:rPr>
                <w:rFonts w:eastAsia="Calibri"/>
                <w:bCs/>
                <w:sz w:val="18"/>
                <w:lang w:val="sk-SK"/>
              </w:rPr>
              <w:t>Názov Oprávneného subjektu:</w:t>
            </w:r>
          </w:p>
          <w:p w:rsidR="00CA419D" w:rsidRPr="00902555" w:rsidRDefault="00CA419D" w:rsidP="006269C7">
            <w:pPr>
              <w:widowControl/>
              <w:autoSpaceDE/>
              <w:autoSpaceDN/>
              <w:ind w:left="2211" w:hanging="2211"/>
              <w:rPr>
                <w:rFonts w:eastAsia="Calibri"/>
                <w:bCs/>
                <w:sz w:val="18"/>
                <w:szCs w:val="18"/>
                <w:lang w:val="sk-SK"/>
              </w:rPr>
            </w:pPr>
            <w:r w:rsidRPr="00902555">
              <w:rPr>
                <w:rFonts w:eastAsia="Calibri"/>
                <w:bCs/>
                <w:sz w:val="18"/>
                <w:szCs w:val="18"/>
                <w:lang w:val="sk-SK"/>
              </w:rPr>
              <w:t>Sídlo:</w:t>
            </w:r>
          </w:p>
          <w:p w:rsidR="00CA419D" w:rsidRPr="00902555" w:rsidRDefault="00CA419D" w:rsidP="006269C7">
            <w:pPr>
              <w:widowControl/>
              <w:autoSpaceDE/>
              <w:autoSpaceDN/>
              <w:ind w:left="2211" w:hanging="2211"/>
              <w:rPr>
                <w:rFonts w:eastAsia="Calibri"/>
                <w:bCs/>
                <w:sz w:val="18"/>
                <w:szCs w:val="18"/>
                <w:lang w:val="sk-SK"/>
              </w:rPr>
            </w:pPr>
            <w:r w:rsidRPr="00902555">
              <w:rPr>
                <w:rFonts w:eastAsia="Calibri"/>
                <w:bCs/>
                <w:sz w:val="18"/>
                <w:szCs w:val="18"/>
                <w:lang w:val="sk-SK"/>
              </w:rPr>
              <w:t>IČO:</w:t>
            </w:r>
          </w:p>
          <w:p w:rsidR="00CA419D" w:rsidRPr="00902555" w:rsidRDefault="00CA419D" w:rsidP="006269C7">
            <w:pPr>
              <w:widowControl/>
              <w:autoSpaceDE/>
              <w:autoSpaceDN/>
              <w:ind w:left="2211" w:hanging="2211"/>
              <w:rPr>
                <w:rFonts w:eastAsia="Calibri"/>
                <w:bCs/>
                <w:sz w:val="18"/>
                <w:szCs w:val="18"/>
                <w:lang w:val="sk-SK"/>
              </w:rPr>
            </w:pPr>
            <w:r w:rsidRPr="00902555">
              <w:rPr>
                <w:rFonts w:eastAsia="Calibri"/>
                <w:bCs/>
                <w:sz w:val="18"/>
                <w:szCs w:val="18"/>
                <w:lang w:val="sk-SK"/>
              </w:rPr>
              <w:t>Konajúci prostredníctvom:</w:t>
            </w:r>
          </w:p>
          <w:p w:rsidR="00CA419D" w:rsidRPr="00902555" w:rsidRDefault="00CA419D" w:rsidP="006269C7">
            <w:pPr>
              <w:widowControl/>
              <w:autoSpaceDE/>
              <w:autoSpaceDN/>
              <w:ind w:left="2211" w:hanging="2211"/>
              <w:rPr>
                <w:rFonts w:eastAsia="Calibri"/>
                <w:bCs/>
                <w:sz w:val="18"/>
                <w:szCs w:val="18"/>
                <w:lang w:val="sk-SK"/>
              </w:rPr>
            </w:pPr>
            <w:r w:rsidRPr="00902555">
              <w:rPr>
                <w:rFonts w:eastAsia="Calibri"/>
                <w:bCs/>
                <w:sz w:val="18"/>
                <w:szCs w:val="18"/>
                <w:lang w:val="sk-SK"/>
              </w:rPr>
              <w:t>DIČ:</w:t>
            </w:r>
          </w:p>
          <w:p w:rsidR="00CA419D" w:rsidRPr="00902555" w:rsidRDefault="00CA419D" w:rsidP="006269C7">
            <w:pPr>
              <w:widowControl/>
              <w:autoSpaceDE/>
              <w:autoSpaceDN/>
              <w:ind w:left="2211" w:hanging="2211"/>
              <w:rPr>
                <w:rFonts w:eastAsia="Calibri"/>
                <w:bCs/>
                <w:sz w:val="18"/>
                <w:szCs w:val="18"/>
                <w:lang w:val="sk-SK"/>
              </w:rPr>
            </w:pPr>
            <w:r w:rsidRPr="00902555">
              <w:rPr>
                <w:rFonts w:eastAsia="Calibri"/>
                <w:bCs/>
                <w:sz w:val="18"/>
                <w:szCs w:val="18"/>
                <w:lang w:val="sk-SK"/>
              </w:rPr>
              <w:t>IČ DPH:</w:t>
            </w:r>
          </w:p>
          <w:p w:rsidR="00CA419D" w:rsidRPr="00902555" w:rsidRDefault="00CA419D" w:rsidP="006269C7">
            <w:pPr>
              <w:widowControl/>
              <w:autoSpaceDE/>
              <w:autoSpaceDN/>
              <w:ind w:left="2211" w:hanging="2211"/>
              <w:rPr>
                <w:rFonts w:eastAsia="Calibri"/>
                <w:bCs/>
                <w:lang w:val="sk-SK"/>
              </w:rPr>
            </w:pPr>
          </w:p>
        </w:tc>
      </w:tr>
      <w:tr w:rsidR="00CA419D" w:rsidRPr="00902555" w:rsidTr="006269C7">
        <w:tc>
          <w:tcPr>
            <w:tcW w:w="9493" w:type="dxa"/>
            <w:tcBorders>
              <w:top w:val="single" w:sz="4" w:space="0" w:color="auto"/>
              <w:left w:val="single" w:sz="4" w:space="0" w:color="auto"/>
              <w:bottom w:val="single" w:sz="4" w:space="0" w:color="auto"/>
              <w:right w:val="single" w:sz="4" w:space="0" w:color="auto"/>
            </w:tcBorders>
          </w:tcPr>
          <w:p w:rsidR="00CA419D" w:rsidRPr="00902555" w:rsidRDefault="00CA419D" w:rsidP="00CA419D">
            <w:pPr>
              <w:widowControl/>
              <w:numPr>
                <w:ilvl w:val="0"/>
                <w:numId w:val="1"/>
              </w:numPr>
              <w:autoSpaceDE/>
              <w:autoSpaceDN/>
              <w:spacing w:after="200" w:line="276" w:lineRule="auto"/>
              <w:ind w:left="598" w:hanging="568"/>
              <w:contextualSpacing/>
              <w:jc w:val="both"/>
              <w:rPr>
                <w:rFonts w:eastAsia="Calibri"/>
                <w:sz w:val="18"/>
                <w:szCs w:val="18"/>
                <w:lang w:val="sk-SK"/>
              </w:rPr>
            </w:pPr>
            <w:r w:rsidRPr="00902555">
              <w:rPr>
                <w:rFonts w:eastAsia="Calibri"/>
                <w:sz w:val="18"/>
                <w:szCs w:val="18"/>
                <w:lang w:val="sk-SK"/>
              </w:rPr>
              <w:t>Na základe akceptovania tejto Objednávky na podporu Dodávateľom budú Oprávnenému subjektu poskytované Služby podpory.</w:t>
            </w:r>
          </w:p>
          <w:p w:rsidR="00CA419D" w:rsidRPr="00902555" w:rsidRDefault="00CA419D" w:rsidP="006269C7">
            <w:pPr>
              <w:widowControl/>
              <w:autoSpaceDE/>
              <w:autoSpaceDN/>
              <w:ind w:left="598"/>
              <w:contextualSpacing/>
              <w:jc w:val="both"/>
              <w:rPr>
                <w:rFonts w:eastAsia="Calibri"/>
                <w:sz w:val="18"/>
                <w:szCs w:val="18"/>
                <w:lang w:val="sk-SK"/>
              </w:rPr>
            </w:pPr>
          </w:p>
        </w:tc>
      </w:tr>
      <w:tr w:rsidR="00CA419D" w:rsidRPr="00902555" w:rsidTr="006269C7">
        <w:tc>
          <w:tcPr>
            <w:tcW w:w="9493" w:type="dxa"/>
            <w:tcBorders>
              <w:top w:val="single" w:sz="4" w:space="0" w:color="auto"/>
              <w:left w:val="single" w:sz="4" w:space="0" w:color="auto"/>
              <w:bottom w:val="single" w:sz="4" w:space="0" w:color="auto"/>
              <w:right w:val="single" w:sz="4" w:space="0" w:color="auto"/>
            </w:tcBorders>
          </w:tcPr>
          <w:p w:rsidR="00CA419D" w:rsidRPr="00902555" w:rsidRDefault="00CA419D" w:rsidP="00CA419D">
            <w:pPr>
              <w:widowControl/>
              <w:numPr>
                <w:ilvl w:val="0"/>
                <w:numId w:val="1"/>
              </w:numPr>
              <w:autoSpaceDE/>
              <w:autoSpaceDN/>
              <w:spacing w:after="200" w:line="276" w:lineRule="auto"/>
              <w:ind w:left="598" w:hanging="568"/>
              <w:contextualSpacing/>
              <w:jc w:val="both"/>
              <w:rPr>
                <w:rFonts w:eastAsia="Calibri"/>
                <w:b/>
                <w:bCs/>
                <w:sz w:val="18"/>
                <w:szCs w:val="18"/>
                <w:lang w:val="sk-SK"/>
              </w:rPr>
            </w:pPr>
            <w:r w:rsidRPr="00902555">
              <w:rPr>
                <w:rFonts w:eastAsia="Calibri"/>
                <w:b/>
                <w:bCs/>
                <w:sz w:val="18"/>
                <w:szCs w:val="18"/>
                <w:lang w:val="sk-SK"/>
              </w:rPr>
              <w:t xml:space="preserve">Predmet Objednávky na podporu </w:t>
            </w:r>
          </w:p>
          <w:p w:rsidR="00CA419D" w:rsidRPr="00902555" w:rsidRDefault="00CA419D" w:rsidP="006269C7">
            <w:pPr>
              <w:widowControl/>
              <w:autoSpaceDE/>
              <w:autoSpaceDN/>
              <w:ind w:left="598"/>
              <w:contextualSpacing/>
              <w:jc w:val="both"/>
              <w:rPr>
                <w:rFonts w:eastAsia="Calibri"/>
                <w:sz w:val="18"/>
                <w:szCs w:val="18"/>
                <w:lang w:val="sk-SK"/>
              </w:rPr>
            </w:pPr>
          </w:p>
          <w:p w:rsidR="00CA419D" w:rsidRPr="00902555" w:rsidRDefault="00CA419D" w:rsidP="006269C7">
            <w:pPr>
              <w:widowControl/>
              <w:autoSpaceDE/>
              <w:autoSpaceDN/>
              <w:ind w:left="598"/>
              <w:contextualSpacing/>
              <w:jc w:val="both"/>
              <w:rPr>
                <w:rFonts w:eastAsia="Calibri"/>
                <w:sz w:val="18"/>
                <w:szCs w:val="18"/>
                <w:lang w:val="sk-SK"/>
              </w:rPr>
            </w:pPr>
            <w:r w:rsidRPr="00902555">
              <w:rPr>
                <w:rFonts w:eastAsia="Calibri"/>
                <w:bCs/>
                <w:snapToGrid w:val="0"/>
                <w:sz w:val="18"/>
                <w:szCs w:val="18"/>
                <w:lang w:val="sk-SK"/>
              </w:rPr>
              <w:t xml:space="preserve">Predmetom tejto Objednávku na podporu je poskytovanie Služieb podpory typu </w:t>
            </w:r>
            <w:r w:rsidRPr="00902555">
              <w:rPr>
                <w:rFonts w:eastAsia="Calibri"/>
                <w:sz w:val="18"/>
                <w:szCs w:val="18"/>
                <w:lang w:val="sk-SK"/>
              </w:rPr>
              <w:t>[</w:t>
            </w:r>
            <w:r w:rsidRPr="00902555">
              <w:rPr>
                <w:rFonts w:ascii="MS Gothic" w:eastAsia="MS Gothic" w:hAnsi="MS Gothic" w:cs="MS Gothic"/>
                <w:sz w:val="18"/>
                <w:szCs w:val="18"/>
                <w:lang w:val="sk-SK"/>
              </w:rPr>
              <w:t>‧</w:t>
            </w:r>
            <w:r w:rsidRPr="00902555">
              <w:rPr>
                <w:rFonts w:eastAsia="Calibri"/>
                <w:sz w:val="18"/>
                <w:szCs w:val="18"/>
                <w:lang w:val="sk-SK"/>
              </w:rPr>
              <w:t>] k</w:t>
            </w:r>
            <w:r w:rsidRPr="00902555">
              <w:rPr>
                <w:rFonts w:eastAsia="Calibri"/>
                <w:bCs/>
                <w:snapToGrid w:val="0"/>
                <w:sz w:val="18"/>
                <w:szCs w:val="18"/>
                <w:lang w:val="sk-SK"/>
              </w:rPr>
              <w:t xml:space="preserve"> Softvéru SAP, ku ktorému Oprávnený subjekt nadobudol licenčné oprávnenia a ktorý je špecifikovaný v Prílohe č. 1 tejto Objednávky na podporu (ďalej len </w:t>
            </w:r>
            <w:r w:rsidRPr="00902555">
              <w:rPr>
                <w:rFonts w:eastAsia="Calibri"/>
                <w:b/>
                <w:bCs/>
                <w:snapToGrid w:val="0"/>
                <w:sz w:val="18"/>
                <w:szCs w:val="18"/>
                <w:lang w:val="sk-SK"/>
              </w:rPr>
              <w:t>„Softvér“</w:t>
            </w:r>
            <w:r w:rsidRPr="00902555">
              <w:rPr>
                <w:rFonts w:eastAsia="Calibri"/>
                <w:bCs/>
                <w:snapToGrid w:val="0"/>
                <w:sz w:val="18"/>
                <w:szCs w:val="18"/>
                <w:lang w:val="sk-SK"/>
              </w:rPr>
              <w:t>), a to za podmienok stanovených v Popise, ktorý je Prílohou Rámcovej zmluvy (ďalej len „</w:t>
            </w:r>
            <w:r w:rsidRPr="00902555">
              <w:rPr>
                <w:rFonts w:eastAsia="Calibri"/>
                <w:b/>
                <w:bCs/>
                <w:snapToGrid w:val="0"/>
                <w:sz w:val="18"/>
                <w:szCs w:val="18"/>
                <w:lang w:val="sk-SK"/>
              </w:rPr>
              <w:t>Služby podpory</w:t>
            </w:r>
            <w:r w:rsidRPr="00902555">
              <w:rPr>
                <w:rFonts w:eastAsia="Calibri"/>
                <w:bCs/>
                <w:snapToGrid w:val="0"/>
                <w:sz w:val="18"/>
                <w:szCs w:val="18"/>
                <w:lang w:val="sk-SK"/>
              </w:rPr>
              <w:t>“).</w:t>
            </w:r>
            <w:r w:rsidRPr="00902555">
              <w:rPr>
                <w:rFonts w:eastAsia="Calibri"/>
                <w:sz w:val="18"/>
                <w:szCs w:val="18"/>
                <w:lang w:val="sk-SK"/>
              </w:rPr>
              <w:t xml:space="preserve"> </w:t>
            </w:r>
          </w:p>
          <w:p w:rsidR="00CA419D" w:rsidRPr="00902555" w:rsidRDefault="00CA419D" w:rsidP="006269C7">
            <w:pPr>
              <w:widowControl/>
              <w:autoSpaceDE/>
              <w:autoSpaceDN/>
              <w:ind w:left="598"/>
              <w:contextualSpacing/>
              <w:jc w:val="both"/>
              <w:rPr>
                <w:rFonts w:eastAsia="Calibri"/>
                <w:sz w:val="18"/>
                <w:szCs w:val="18"/>
                <w:lang w:val="sk-SK"/>
              </w:rPr>
            </w:pPr>
          </w:p>
          <w:p w:rsidR="00CA419D" w:rsidRPr="00902555" w:rsidRDefault="00CA419D" w:rsidP="006269C7">
            <w:pPr>
              <w:widowControl/>
              <w:autoSpaceDE/>
              <w:autoSpaceDN/>
              <w:ind w:left="598"/>
              <w:contextualSpacing/>
              <w:jc w:val="both"/>
              <w:rPr>
                <w:rFonts w:eastAsia="Calibri"/>
                <w:sz w:val="18"/>
                <w:szCs w:val="18"/>
                <w:lang w:val="sk-SK"/>
              </w:rPr>
            </w:pPr>
            <w:r w:rsidRPr="00902555">
              <w:rPr>
                <w:rFonts w:eastAsia="Calibri"/>
                <w:sz w:val="18"/>
                <w:szCs w:val="18"/>
                <w:lang w:val="sk-SK"/>
              </w:rPr>
              <w:t xml:space="preserve">Príloha č. 1 obsahuje </w:t>
            </w:r>
          </w:p>
          <w:p w:rsidR="00CA419D" w:rsidRPr="00902555" w:rsidRDefault="00CA419D" w:rsidP="00CA419D">
            <w:pPr>
              <w:widowControl/>
              <w:numPr>
                <w:ilvl w:val="0"/>
                <w:numId w:val="2"/>
              </w:numPr>
              <w:autoSpaceDE/>
              <w:autoSpaceDN/>
              <w:spacing w:after="200" w:line="276" w:lineRule="auto"/>
              <w:ind w:left="1168" w:hanging="567"/>
              <w:contextualSpacing/>
              <w:jc w:val="both"/>
              <w:rPr>
                <w:rFonts w:eastAsia="Calibri"/>
                <w:b/>
                <w:sz w:val="18"/>
                <w:szCs w:val="18"/>
                <w:lang w:val="sk-SK"/>
              </w:rPr>
            </w:pPr>
            <w:r w:rsidRPr="00902555">
              <w:rPr>
                <w:rFonts w:eastAsia="Calibri"/>
                <w:sz w:val="18"/>
                <w:szCs w:val="18"/>
                <w:lang w:val="sk-SK"/>
              </w:rPr>
              <w:t xml:space="preserve">prehľad aktuálneho Softvéru Oprávneného subjektu, ku ktorému sa majú poskytovať Služby podpory, </w:t>
            </w:r>
          </w:p>
          <w:p w:rsidR="00CA419D" w:rsidRPr="00902555" w:rsidRDefault="00CA419D" w:rsidP="00CA419D">
            <w:pPr>
              <w:widowControl/>
              <w:numPr>
                <w:ilvl w:val="0"/>
                <w:numId w:val="2"/>
              </w:numPr>
              <w:autoSpaceDE/>
              <w:autoSpaceDN/>
              <w:spacing w:after="200" w:line="276" w:lineRule="auto"/>
              <w:ind w:left="1168" w:hanging="567"/>
              <w:contextualSpacing/>
              <w:jc w:val="both"/>
              <w:rPr>
                <w:rFonts w:eastAsia="Calibri"/>
                <w:b/>
                <w:sz w:val="18"/>
                <w:szCs w:val="18"/>
                <w:lang w:val="sk-SK"/>
              </w:rPr>
            </w:pPr>
            <w:r w:rsidRPr="00902555">
              <w:rPr>
                <w:rFonts w:eastAsia="Calibri"/>
                <w:sz w:val="18"/>
                <w:szCs w:val="18"/>
                <w:lang w:val="sk-SK"/>
              </w:rPr>
              <w:t>príslušný Základ pre výpočet poplatku za poskytovanie Služieb podpory a </w:t>
            </w:r>
          </w:p>
          <w:p w:rsidR="00CA419D" w:rsidRPr="00902555" w:rsidRDefault="00CA419D" w:rsidP="00CA419D">
            <w:pPr>
              <w:widowControl/>
              <w:numPr>
                <w:ilvl w:val="0"/>
                <w:numId w:val="2"/>
              </w:numPr>
              <w:autoSpaceDE/>
              <w:autoSpaceDN/>
              <w:spacing w:after="200" w:line="276" w:lineRule="auto"/>
              <w:ind w:left="1168" w:hanging="567"/>
              <w:contextualSpacing/>
              <w:jc w:val="both"/>
              <w:rPr>
                <w:rFonts w:eastAsia="Calibri"/>
                <w:b/>
                <w:sz w:val="18"/>
                <w:szCs w:val="18"/>
                <w:lang w:val="sk-SK"/>
              </w:rPr>
            </w:pPr>
            <w:r w:rsidRPr="00902555">
              <w:rPr>
                <w:rFonts w:eastAsia="Calibri"/>
                <w:sz w:val="18"/>
                <w:szCs w:val="18"/>
                <w:lang w:val="sk-SK"/>
              </w:rPr>
              <w:t xml:space="preserve">v prípade aplikácie bodu 2.9. Dohody o pristúpení, poplatok za zabezpečenie kontinuity poskytovania Služieb podpory. </w:t>
            </w:r>
          </w:p>
          <w:p w:rsidR="00CA419D" w:rsidRPr="00902555" w:rsidRDefault="00CA419D" w:rsidP="006269C7">
            <w:pPr>
              <w:widowControl/>
              <w:autoSpaceDE/>
              <w:autoSpaceDN/>
              <w:ind w:left="598"/>
              <w:contextualSpacing/>
              <w:jc w:val="both"/>
              <w:rPr>
                <w:rFonts w:eastAsia="Calibri"/>
                <w:sz w:val="18"/>
                <w:szCs w:val="18"/>
                <w:lang w:val="sk-SK"/>
              </w:rPr>
            </w:pPr>
          </w:p>
        </w:tc>
      </w:tr>
      <w:tr w:rsidR="00CA419D" w:rsidRPr="00902555" w:rsidTr="006269C7">
        <w:tc>
          <w:tcPr>
            <w:tcW w:w="9493" w:type="dxa"/>
            <w:tcBorders>
              <w:top w:val="single" w:sz="4" w:space="0" w:color="auto"/>
              <w:left w:val="single" w:sz="4" w:space="0" w:color="auto"/>
              <w:bottom w:val="single" w:sz="4" w:space="0" w:color="auto"/>
              <w:right w:val="single" w:sz="4" w:space="0" w:color="auto"/>
            </w:tcBorders>
          </w:tcPr>
          <w:p w:rsidR="00CA419D" w:rsidRPr="00902555" w:rsidRDefault="00CA419D" w:rsidP="00CA419D">
            <w:pPr>
              <w:widowControl/>
              <w:numPr>
                <w:ilvl w:val="0"/>
                <w:numId w:val="1"/>
              </w:numPr>
              <w:autoSpaceDE/>
              <w:autoSpaceDN/>
              <w:spacing w:after="200" w:line="276" w:lineRule="auto"/>
              <w:ind w:left="598" w:hanging="568"/>
              <w:contextualSpacing/>
              <w:jc w:val="both"/>
              <w:rPr>
                <w:rFonts w:eastAsia="Calibri"/>
                <w:sz w:val="18"/>
                <w:szCs w:val="18"/>
                <w:lang w:val="sk-SK"/>
              </w:rPr>
            </w:pPr>
            <w:r w:rsidRPr="00902555">
              <w:rPr>
                <w:rFonts w:eastAsia="Calibri"/>
                <w:b/>
                <w:bCs/>
                <w:sz w:val="18"/>
                <w:szCs w:val="18"/>
                <w:lang w:val="sk-SK"/>
              </w:rPr>
              <w:t>Poskytovanie Služieb podpory</w:t>
            </w:r>
          </w:p>
          <w:p w:rsidR="00CA419D" w:rsidRPr="00902555" w:rsidRDefault="00CA419D" w:rsidP="006269C7">
            <w:pPr>
              <w:widowControl/>
              <w:autoSpaceDE/>
              <w:autoSpaceDN/>
              <w:ind w:left="598"/>
              <w:contextualSpacing/>
              <w:jc w:val="both"/>
              <w:rPr>
                <w:rFonts w:eastAsia="Calibri"/>
                <w:sz w:val="18"/>
                <w:szCs w:val="18"/>
                <w:lang w:val="sk-SK"/>
              </w:rPr>
            </w:pPr>
          </w:p>
          <w:p w:rsidR="00CA419D" w:rsidRPr="00902555" w:rsidRDefault="00CA419D" w:rsidP="00CA419D">
            <w:pPr>
              <w:widowControl/>
              <w:numPr>
                <w:ilvl w:val="1"/>
                <w:numId w:val="1"/>
              </w:numPr>
              <w:autoSpaceDE/>
              <w:autoSpaceDN/>
              <w:spacing w:after="200" w:line="276" w:lineRule="auto"/>
              <w:ind w:left="1165" w:hanging="567"/>
              <w:contextualSpacing/>
              <w:jc w:val="both"/>
              <w:rPr>
                <w:rFonts w:eastAsia="Calibri"/>
                <w:bCs/>
                <w:sz w:val="18"/>
                <w:szCs w:val="18"/>
                <w:lang w:val="sk-SK"/>
              </w:rPr>
            </w:pPr>
            <w:r w:rsidRPr="00902555">
              <w:rPr>
                <w:rFonts w:eastAsia="Calibri"/>
                <w:bCs/>
                <w:sz w:val="18"/>
                <w:szCs w:val="18"/>
                <w:lang w:val="sk-SK"/>
              </w:rPr>
              <w:t xml:space="preserve">Služby podpory k Softvéru sa budú poskytovať od prvého dňa kalendárneho mesiaca nasledujúceho po mesiaci, v ktorom bola Dodávateľom akceptovaná táto Objednávka na podporu (ďalej len </w:t>
            </w:r>
            <w:r w:rsidRPr="00902555">
              <w:rPr>
                <w:rFonts w:eastAsia="Calibri"/>
                <w:b/>
                <w:sz w:val="18"/>
                <w:szCs w:val="18"/>
                <w:lang w:val="sk-SK"/>
              </w:rPr>
              <w:t>„Deň účinnosti“</w:t>
            </w:r>
            <w:r w:rsidRPr="00902555">
              <w:rPr>
                <w:rFonts w:eastAsia="Calibri"/>
                <w:bCs/>
                <w:sz w:val="18"/>
                <w:szCs w:val="18"/>
                <w:lang w:val="sk-SK"/>
              </w:rPr>
              <w:t>).</w:t>
            </w:r>
          </w:p>
          <w:p w:rsidR="00CA419D" w:rsidRPr="00902555" w:rsidRDefault="00CA419D" w:rsidP="006269C7">
            <w:pPr>
              <w:widowControl/>
              <w:autoSpaceDE/>
              <w:autoSpaceDN/>
              <w:ind w:left="1165"/>
              <w:contextualSpacing/>
              <w:jc w:val="both"/>
              <w:rPr>
                <w:rFonts w:eastAsia="Calibri"/>
                <w:b/>
                <w:sz w:val="18"/>
                <w:szCs w:val="18"/>
                <w:lang w:val="sk-SK"/>
              </w:rPr>
            </w:pPr>
          </w:p>
          <w:p w:rsidR="00CA419D" w:rsidRPr="00902555" w:rsidRDefault="00CA419D" w:rsidP="00CA419D">
            <w:pPr>
              <w:widowControl/>
              <w:numPr>
                <w:ilvl w:val="1"/>
                <w:numId w:val="1"/>
              </w:numPr>
              <w:autoSpaceDE/>
              <w:autoSpaceDN/>
              <w:spacing w:after="200" w:line="276" w:lineRule="auto"/>
              <w:ind w:left="1165" w:hanging="567"/>
              <w:contextualSpacing/>
              <w:jc w:val="both"/>
              <w:rPr>
                <w:rFonts w:eastAsia="Calibri"/>
                <w:b/>
                <w:sz w:val="18"/>
                <w:szCs w:val="18"/>
                <w:lang w:val="sk-SK"/>
              </w:rPr>
            </w:pPr>
            <w:r w:rsidRPr="00902555">
              <w:rPr>
                <w:rFonts w:eastAsia="Calibri"/>
                <w:sz w:val="18"/>
                <w:szCs w:val="18"/>
                <w:lang w:val="sk-SK"/>
              </w:rPr>
              <w:t>Odo Dňa účinnosti sa Oprávnený subjekt zaväzuje platiť Dodávateľovi poplatok za poskytovanie Služieb podpory. Poplatok za Služby podpory je stanovený v Prílohe č. 1 podľa pravidiel uvedených v Rámcovej zmluve a v Popise.</w:t>
            </w:r>
          </w:p>
          <w:p w:rsidR="00CA419D" w:rsidRPr="00902555" w:rsidRDefault="00CA419D" w:rsidP="006269C7">
            <w:pPr>
              <w:widowControl/>
              <w:autoSpaceDE/>
              <w:autoSpaceDN/>
              <w:spacing w:after="200" w:line="276" w:lineRule="auto"/>
              <w:ind w:left="720"/>
              <w:contextualSpacing/>
              <w:rPr>
                <w:rFonts w:eastAsia="Calibri"/>
                <w:b/>
                <w:sz w:val="18"/>
                <w:szCs w:val="18"/>
                <w:lang w:val="sk-SK"/>
              </w:rPr>
            </w:pPr>
          </w:p>
          <w:p w:rsidR="00CA419D" w:rsidRPr="00902555" w:rsidRDefault="00CA419D" w:rsidP="00CA419D">
            <w:pPr>
              <w:widowControl/>
              <w:numPr>
                <w:ilvl w:val="1"/>
                <w:numId w:val="1"/>
              </w:numPr>
              <w:autoSpaceDE/>
              <w:autoSpaceDN/>
              <w:spacing w:after="200" w:line="276" w:lineRule="auto"/>
              <w:ind w:left="1165" w:hanging="567"/>
              <w:contextualSpacing/>
              <w:jc w:val="both"/>
              <w:rPr>
                <w:rFonts w:eastAsia="Calibri"/>
                <w:b/>
                <w:sz w:val="18"/>
                <w:szCs w:val="18"/>
                <w:lang w:val="sk-SK"/>
              </w:rPr>
            </w:pPr>
            <w:r w:rsidRPr="00902555">
              <w:rPr>
                <w:rFonts w:eastAsia="Calibri"/>
                <w:sz w:val="18"/>
                <w:szCs w:val="18"/>
                <w:lang w:val="sk-SK"/>
              </w:rPr>
              <w:t xml:space="preserve">Služby podpory (k Softvéru) sa budú poskytovať na dobu určitú, a to </w:t>
            </w:r>
          </w:p>
          <w:p w:rsidR="00CA419D" w:rsidRPr="00902555" w:rsidRDefault="00CA419D" w:rsidP="006269C7">
            <w:pPr>
              <w:widowControl/>
              <w:autoSpaceDE/>
              <w:autoSpaceDN/>
              <w:spacing w:after="200" w:line="276" w:lineRule="auto"/>
              <w:ind w:left="720"/>
              <w:contextualSpacing/>
              <w:rPr>
                <w:rFonts w:eastAsia="Calibri"/>
                <w:sz w:val="18"/>
                <w:szCs w:val="18"/>
                <w:lang w:val="sk-SK"/>
              </w:rPr>
            </w:pPr>
          </w:p>
          <w:p w:rsidR="00CA419D" w:rsidRPr="00902555" w:rsidRDefault="00CA419D" w:rsidP="00CA419D">
            <w:pPr>
              <w:widowControl/>
              <w:numPr>
                <w:ilvl w:val="2"/>
                <w:numId w:val="1"/>
              </w:numPr>
              <w:autoSpaceDE/>
              <w:autoSpaceDN/>
              <w:spacing w:after="200" w:line="276" w:lineRule="auto"/>
              <w:ind w:left="1735" w:hanging="567"/>
              <w:contextualSpacing/>
              <w:jc w:val="both"/>
              <w:rPr>
                <w:rFonts w:eastAsia="Calibri"/>
                <w:bCs/>
                <w:sz w:val="18"/>
                <w:szCs w:val="18"/>
                <w:lang w:val="sk-SK"/>
              </w:rPr>
            </w:pPr>
            <w:r w:rsidRPr="00902555">
              <w:rPr>
                <w:rFonts w:eastAsia="Calibri"/>
                <w:bCs/>
                <w:sz w:val="18"/>
                <w:szCs w:val="18"/>
                <w:lang w:val="sk-SK"/>
              </w:rPr>
              <w:t>troch rokov odo Dňa účinnosti (ak ide o iniciačnú Objednávku na podporu podľa bodu 2.2. Rámcovej dohody);</w:t>
            </w:r>
          </w:p>
          <w:p w:rsidR="00CA419D" w:rsidRPr="00902555" w:rsidRDefault="00CA419D" w:rsidP="00CA419D">
            <w:pPr>
              <w:widowControl/>
              <w:numPr>
                <w:ilvl w:val="2"/>
                <w:numId w:val="1"/>
              </w:numPr>
              <w:autoSpaceDE/>
              <w:autoSpaceDN/>
              <w:spacing w:after="200" w:line="276" w:lineRule="auto"/>
              <w:ind w:left="1735" w:hanging="567"/>
              <w:contextualSpacing/>
              <w:jc w:val="both"/>
              <w:rPr>
                <w:rFonts w:eastAsia="Calibri"/>
                <w:bCs/>
                <w:sz w:val="18"/>
                <w:szCs w:val="18"/>
                <w:lang w:val="sk-SK"/>
              </w:rPr>
            </w:pPr>
            <w:r w:rsidRPr="00902555">
              <w:rPr>
                <w:rFonts w:eastAsia="Calibri"/>
                <w:bCs/>
                <w:sz w:val="18"/>
                <w:szCs w:val="18"/>
                <w:lang w:val="sk-SK"/>
              </w:rPr>
              <w:t xml:space="preserve">po dobu trvania Služieb podpory iniciačne objednaných oprávnenými subjektmi podľa bodu 2.2. Rámcovej dohody, t.j. do </w:t>
            </w:r>
            <w:r w:rsidRPr="00902555">
              <w:rPr>
                <w:rFonts w:eastAsia="Calibri"/>
                <w:sz w:val="18"/>
                <w:szCs w:val="18"/>
                <w:lang w:val="sk-SK"/>
              </w:rPr>
              <w:t>[</w:t>
            </w:r>
            <w:r w:rsidRPr="00902555">
              <w:rPr>
                <w:rFonts w:ascii="MS Gothic" w:eastAsia="MS Gothic" w:hAnsi="MS Gothic" w:cs="MS Gothic"/>
                <w:sz w:val="18"/>
                <w:szCs w:val="18"/>
                <w:lang w:val="sk-SK"/>
              </w:rPr>
              <w:t>‧</w:t>
            </w:r>
            <w:r w:rsidRPr="00902555">
              <w:rPr>
                <w:rFonts w:eastAsia="Calibri"/>
                <w:sz w:val="18"/>
                <w:szCs w:val="18"/>
                <w:lang w:val="sk-SK"/>
              </w:rPr>
              <w:t>].</w:t>
            </w:r>
          </w:p>
          <w:p w:rsidR="00CA419D" w:rsidRPr="00902555" w:rsidRDefault="00CA419D" w:rsidP="006269C7">
            <w:pPr>
              <w:widowControl/>
              <w:autoSpaceDE/>
              <w:autoSpaceDN/>
              <w:ind w:left="1735"/>
              <w:contextualSpacing/>
              <w:jc w:val="both"/>
              <w:rPr>
                <w:rFonts w:eastAsia="Calibri"/>
                <w:sz w:val="18"/>
                <w:szCs w:val="18"/>
                <w:lang w:val="sk-SK"/>
              </w:rPr>
            </w:pPr>
          </w:p>
          <w:p w:rsidR="00CA419D" w:rsidRPr="00902555" w:rsidRDefault="00CA419D" w:rsidP="006269C7">
            <w:pPr>
              <w:widowControl/>
              <w:autoSpaceDE/>
              <w:autoSpaceDN/>
              <w:ind w:left="1168"/>
              <w:contextualSpacing/>
              <w:jc w:val="both"/>
              <w:rPr>
                <w:rFonts w:eastAsia="Calibri"/>
                <w:bCs/>
                <w:sz w:val="18"/>
                <w:szCs w:val="18"/>
                <w:lang w:val="sk-SK"/>
              </w:rPr>
            </w:pPr>
            <w:r w:rsidRPr="00902555">
              <w:rPr>
                <w:rFonts w:eastAsia="Calibri"/>
                <w:bCs/>
                <w:sz w:val="18"/>
                <w:szCs w:val="18"/>
                <w:lang w:val="sk-SK"/>
              </w:rPr>
              <w:t>Po uplynutí tejto doby nebude Dodávateľ povinný poskytovať Služby podpory.</w:t>
            </w:r>
          </w:p>
          <w:p w:rsidR="00CA419D" w:rsidRPr="00902555" w:rsidRDefault="00CA419D" w:rsidP="006269C7">
            <w:pPr>
              <w:widowControl/>
              <w:autoSpaceDE/>
              <w:autoSpaceDN/>
              <w:ind w:left="1165"/>
              <w:contextualSpacing/>
              <w:jc w:val="both"/>
              <w:rPr>
                <w:rFonts w:eastAsia="Calibri"/>
                <w:b/>
                <w:sz w:val="18"/>
                <w:szCs w:val="18"/>
                <w:lang w:val="sk-SK"/>
              </w:rPr>
            </w:pPr>
          </w:p>
        </w:tc>
      </w:tr>
      <w:tr w:rsidR="00CA419D" w:rsidRPr="00902555" w:rsidTr="006269C7">
        <w:tc>
          <w:tcPr>
            <w:tcW w:w="9493" w:type="dxa"/>
            <w:tcBorders>
              <w:top w:val="single" w:sz="4" w:space="0" w:color="auto"/>
              <w:left w:val="single" w:sz="4" w:space="0" w:color="auto"/>
              <w:bottom w:val="single" w:sz="4" w:space="0" w:color="auto"/>
              <w:right w:val="single" w:sz="4" w:space="0" w:color="auto"/>
            </w:tcBorders>
          </w:tcPr>
          <w:p w:rsidR="00CA419D" w:rsidRPr="00902555" w:rsidRDefault="00CA419D" w:rsidP="00CA419D">
            <w:pPr>
              <w:widowControl/>
              <w:numPr>
                <w:ilvl w:val="0"/>
                <w:numId w:val="1"/>
              </w:numPr>
              <w:autoSpaceDE/>
              <w:autoSpaceDN/>
              <w:spacing w:after="200" w:line="276" w:lineRule="auto"/>
              <w:ind w:left="598" w:hanging="568"/>
              <w:contextualSpacing/>
              <w:jc w:val="both"/>
              <w:rPr>
                <w:rFonts w:eastAsia="Calibri"/>
                <w:b/>
                <w:sz w:val="18"/>
                <w:szCs w:val="18"/>
                <w:lang w:val="sk-SK"/>
              </w:rPr>
            </w:pPr>
            <w:r w:rsidRPr="00902555">
              <w:rPr>
                <w:rFonts w:eastAsia="Calibri"/>
                <w:b/>
                <w:sz w:val="18"/>
                <w:szCs w:val="18"/>
                <w:lang w:val="sk-SK"/>
              </w:rPr>
              <w:t>Platobné podmienky</w:t>
            </w:r>
          </w:p>
          <w:p w:rsidR="00CA419D" w:rsidRPr="00902555" w:rsidRDefault="00CA419D" w:rsidP="006269C7">
            <w:pPr>
              <w:keepLines/>
              <w:widowControl/>
              <w:tabs>
                <w:tab w:val="left" w:pos="0"/>
              </w:tabs>
              <w:autoSpaceDE/>
              <w:autoSpaceDN/>
              <w:jc w:val="both"/>
              <w:rPr>
                <w:rFonts w:eastAsia="Calibri"/>
                <w:sz w:val="18"/>
                <w:szCs w:val="18"/>
                <w:lang w:val="sk-SK"/>
              </w:rPr>
            </w:pPr>
          </w:p>
          <w:p w:rsidR="00CA419D" w:rsidRPr="00902555" w:rsidRDefault="00CA419D" w:rsidP="00CA419D">
            <w:pPr>
              <w:widowControl/>
              <w:numPr>
                <w:ilvl w:val="1"/>
                <w:numId w:val="1"/>
              </w:numPr>
              <w:autoSpaceDE/>
              <w:autoSpaceDN/>
              <w:spacing w:after="200" w:line="276" w:lineRule="auto"/>
              <w:ind w:left="1165" w:hanging="567"/>
              <w:contextualSpacing/>
              <w:jc w:val="both"/>
              <w:rPr>
                <w:rFonts w:eastAsia="Calibri"/>
                <w:bCs/>
                <w:sz w:val="18"/>
                <w:szCs w:val="18"/>
                <w:lang w:val="sk-SK"/>
              </w:rPr>
            </w:pPr>
            <w:r w:rsidRPr="00902555">
              <w:rPr>
                <w:rFonts w:eastAsia="Calibri"/>
                <w:bCs/>
                <w:sz w:val="18"/>
                <w:szCs w:val="18"/>
                <w:lang w:val="sk-SK"/>
              </w:rPr>
              <w:t>Ročný poplatok za Služby podpory pre Softvér podľa Prílohy č. 1 je [•] % zo Základu pre výpočet poplatku za Služby podpory uvedeného v Prílohe č. 1 k tejto objednávke.</w:t>
            </w:r>
          </w:p>
          <w:p w:rsidR="00CA419D" w:rsidRPr="00902555" w:rsidRDefault="00CA419D" w:rsidP="006269C7">
            <w:pPr>
              <w:widowControl/>
              <w:autoSpaceDE/>
              <w:autoSpaceDN/>
              <w:ind w:left="1165"/>
              <w:contextualSpacing/>
              <w:jc w:val="both"/>
              <w:rPr>
                <w:rFonts w:eastAsia="Calibri"/>
                <w:b/>
                <w:sz w:val="18"/>
                <w:szCs w:val="18"/>
                <w:lang w:val="sk-SK"/>
              </w:rPr>
            </w:pPr>
          </w:p>
          <w:p w:rsidR="00CA419D" w:rsidRPr="00902555" w:rsidRDefault="00CA419D" w:rsidP="00CA419D">
            <w:pPr>
              <w:widowControl/>
              <w:numPr>
                <w:ilvl w:val="1"/>
                <w:numId w:val="1"/>
              </w:numPr>
              <w:autoSpaceDE/>
              <w:autoSpaceDN/>
              <w:spacing w:after="200" w:line="276" w:lineRule="auto"/>
              <w:ind w:left="1165" w:hanging="567"/>
              <w:contextualSpacing/>
              <w:jc w:val="both"/>
              <w:rPr>
                <w:rFonts w:eastAsia="Calibri"/>
                <w:b/>
                <w:sz w:val="18"/>
                <w:szCs w:val="18"/>
                <w:lang w:val="sk-SK"/>
              </w:rPr>
            </w:pPr>
            <w:r w:rsidRPr="00902555">
              <w:rPr>
                <w:rFonts w:eastAsia="Calibri"/>
                <w:sz w:val="18"/>
                <w:szCs w:val="18"/>
                <w:lang w:val="sk-SK"/>
              </w:rPr>
              <w:t xml:space="preserve">Poplatok za poskytovanie Služieb podpory vrátane DPH je splatný štvrťročne, na základe faktúry, ktorá bude vystavená vždy na začiatku prvého mesiaca príslušného kalendárneho štvrťroka, na ktorý sa </w:t>
            </w:r>
            <w:r w:rsidRPr="00902555">
              <w:rPr>
                <w:rFonts w:eastAsia="Calibri"/>
                <w:sz w:val="18"/>
                <w:szCs w:val="18"/>
                <w:lang w:val="sk-SK"/>
              </w:rPr>
              <w:lastRenderedPageBreak/>
              <w:t xml:space="preserve">poplatok za Služby podpory vzťahuje. Dňom dodania služby je deň vystavenia faktúry. Daňová povinnosť vzniká dňom dodania služby. Poplatok za poskytovanie Služieb podpory je splatný do 30 dní od dátumu vystavenia faktúry.  </w:t>
            </w:r>
          </w:p>
          <w:p w:rsidR="00CA419D" w:rsidRPr="00902555" w:rsidRDefault="00CA419D" w:rsidP="006269C7">
            <w:pPr>
              <w:keepLines/>
              <w:widowControl/>
              <w:tabs>
                <w:tab w:val="left" w:pos="0"/>
              </w:tabs>
              <w:autoSpaceDE/>
              <w:autoSpaceDN/>
              <w:jc w:val="both"/>
              <w:rPr>
                <w:rFonts w:eastAsia="Calibri"/>
                <w:sz w:val="18"/>
                <w:szCs w:val="18"/>
                <w:lang w:val="sk-SK"/>
              </w:rPr>
            </w:pPr>
          </w:p>
          <w:p w:rsidR="00CA419D" w:rsidRPr="00902555" w:rsidRDefault="00CA419D" w:rsidP="00CA419D">
            <w:pPr>
              <w:widowControl/>
              <w:numPr>
                <w:ilvl w:val="1"/>
                <w:numId w:val="1"/>
              </w:numPr>
              <w:autoSpaceDE/>
              <w:autoSpaceDN/>
              <w:spacing w:after="200" w:line="276" w:lineRule="auto"/>
              <w:ind w:left="1165" w:hanging="567"/>
              <w:contextualSpacing/>
              <w:jc w:val="both"/>
              <w:rPr>
                <w:rFonts w:eastAsia="Calibri"/>
                <w:sz w:val="18"/>
                <w:szCs w:val="18"/>
                <w:lang w:val="sk-SK"/>
              </w:rPr>
            </w:pPr>
            <w:r w:rsidRPr="00902555">
              <w:rPr>
                <w:rFonts w:eastAsia="Calibri"/>
                <w:sz w:val="18"/>
                <w:szCs w:val="18"/>
                <w:lang w:val="sk-SK"/>
              </w:rPr>
              <w:t>Všetky poplatky sú predmetom dane z pridanej hodnoty. Ďalšie platobné podmienky a podmienky úpravy poplatku stanovuje Popis.</w:t>
            </w:r>
          </w:p>
          <w:p w:rsidR="00CA419D" w:rsidRPr="00902555" w:rsidRDefault="00CA419D" w:rsidP="006269C7">
            <w:pPr>
              <w:widowControl/>
              <w:autoSpaceDE/>
              <w:autoSpaceDN/>
              <w:ind w:left="1165"/>
              <w:jc w:val="both"/>
              <w:rPr>
                <w:rFonts w:eastAsia="Times New Roman"/>
                <w:spacing w:val="1"/>
                <w:sz w:val="18"/>
                <w:szCs w:val="18"/>
                <w:lang w:val="sk-SK" w:eastAsia="cs-CZ"/>
              </w:rPr>
            </w:pPr>
          </w:p>
        </w:tc>
      </w:tr>
      <w:tr w:rsidR="00CA419D" w:rsidRPr="00902555" w:rsidTr="006269C7">
        <w:tc>
          <w:tcPr>
            <w:tcW w:w="9493" w:type="dxa"/>
            <w:tcBorders>
              <w:top w:val="single" w:sz="4" w:space="0" w:color="auto"/>
              <w:left w:val="single" w:sz="4" w:space="0" w:color="auto"/>
              <w:bottom w:val="single" w:sz="4" w:space="0" w:color="auto"/>
              <w:right w:val="single" w:sz="4" w:space="0" w:color="auto"/>
            </w:tcBorders>
          </w:tcPr>
          <w:p w:rsidR="00CA419D" w:rsidRPr="00902555" w:rsidRDefault="00CA419D" w:rsidP="00CA419D">
            <w:pPr>
              <w:widowControl/>
              <w:numPr>
                <w:ilvl w:val="0"/>
                <w:numId w:val="1"/>
              </w:numPr>
              <w:autoSpaceDE/>
              <w:autoSpaceDN/>
              <w:spacing w:after="200" w:line="276" w:lineRule="auto"/>
              <w:ind w:left="598" w:hanging="568"/>
              <w:contextualSpacing/>
              <w:jc w:val="both"/>
              <w:rPr>
                <w:rFonts w:eastAsia="Calibri"/>
                <w:sz w:val="18"/>
                <w:lang w:val="sk-SK"/>
              </w:rPr>
            </w:pPr>
            <w:r w:rsidRPr="00902555">
              <w:rPr>
                <w:rFonts w:eastAsia="Calibri"/>
                <w:b/>
                <w:sz w:val="18"/>
                <w:lang w:val="sk-SK"/>
              </w:rPr>
              <w:lastRenderedPageBreak/>
              <w:t>Podmienky poskytovania Služieb podpory</w:t>
            </w:r>
          </w:p>
          <w:p w:rsidR="00CA419D" w:rsidRPr="00902555" w:rsidRDefault="00CA419D" w:rsidP="006269C7">
            <w:pPr>
              <w:widowControl/>
              <w:autoSpaceDE/>
              <w:autoSpaceDN/>
              <w:ind w:left="598"/>
              <w:contextualSpacing/>
              <w:jc w:val="both"/>
              <w:rPr>
                <w:rFonts w:eastAsia="Calibri"/>
                <w:sz w:val="18"/>
                <w:lang w:val="sk-SK"/>
              </w:rPr>
            </w:pPr>
          </w:p>
          <w:p w:rsidR="00CA419D" w:rsidRPr="00902555" w:rsidRDefault="00CA419D" w:rsidP="00CA419D">
            <w:pPr>
              <w:widowControl/>
              <w:numPr>
                <w:ilvl w:val="1"/>
                <w:numId w:val="1"/>
              </w:numPr>
              <w:autoSpaceDE/>
              <w:autoSpaceDN/>
              <w:spacing w:after="200" w:line="276" w:lineRule="auto"/>
              <w:ind w:left="1165" w:hanging="567"/>
              <w:contextualSpacing/>
              <w:jc w:val="both"/>
              <w:rPr>
                <w:rFonts w:eastAsia="Calibri"/>
                <w:sz w:val="18"/>
                <w:szCs w:val="18"/>
                <w:lang w:val="sk-SK"/>
              </w:rPr>
            </w:pPr>
            <w:r w:rsidRPr="00902555">
              <w:rPr>
                <w:rFonts w:eastAsia="Calibri"/>
                <w:sz w:val="18"/>
                <w:szCs w:val="18"/>
                <w:lang w:val="sk-SK"/>
              </w:rPr>
              <w:t>Podmienky poskytovania Služieb podpory sú uvedené v Popise a následne vo VOP. Predpokladom poskytovania Službe podpory je splnenie podmienok uvedených v Rámcovej dohode a v Popise.</w:t>
            </w:r>
          </w:p>
          <w:p w:rsidR="00CA419D" w:rsidRPr="00902555" w:rsidRDefault="00CA419D" w:rsidP="006269C7">
            <w:pPr>
              <w:widowControl/>
              <w:autoSpaceDE/>
              <w:autoSpaceDN/>
              <w:ind w:left="1165"/>
              <w:contextualSpacing/>
              <w:jc w:val="both"/>
              <w:rPr>
                <w:rFonts w:eastAsia="Calibri"/>
                <w:sz w:val="18"/>
                <w:szCs w:val="18"/>
                <w:lang w:val="sk-SK"/>
              </w:rPr>
            </w:pPr>
          </w:p>
          <w:p w:rsidR="00CA419D" w:rsidRPr="00902555" w:rsidRDefault="00CA419D" w:rsidP="00CA419D">
            <w:pPr>
              <w:widowControl/>
              <w:numPr>
                <w:ilvl w:val="1"/>
                <w:numId w:val="1"/>
              </w:numPr>
              <w:autoSpaceDE/>
              <w:autoSpaceDN/>
              <w:spacing w:after="200" w:line="276" w:lineRule="auto"/>
              <w:ind w:left="1165" w:hanging="567"/>
              <w:contextualSpacing/>
              <w:jc w:val="both"/>
              <w:rPr>
                <w:rFonts w:eastAsia="Calibri"/>
                <w:sz w:val="18"/>
                <w:szCs w:val="18"/>
                <w:lang w:val="sk-SK"/>
              </w:rPr>
            </w:pPr>
            <w:r w:rsidRPr="00902555">
              <w:rPr>
                <w:rFonts w:eastAsia="Calibri"/>
                <w:sz w:val="18"/>
                <w:szCs w:val="18"/>
                <w:lang w:val="sk-SK"/>
              </w:rPr>
              <w:t>Oprávnený subjekt dostáva na základe tejto Objednávky na podporu len Služby podpory. Udeľovanie licencií v zmysle licenčných zmlúv a poplatky za tieto licencie nie sú v tejto Objednávke na podporu zahrnuté.</w:t>
            </w:r>
          </w:p>
          <w:p w:rsidR="00CA419D" w:rsidRPr="00902555" w:rsidRDefault="00CA419D" w:rsidP="006269C7">
            <w:pPr>
              <w:widowControl/>
              <w:autoSpaceDE/>
              <w:autoSpaceDN/>
              <w:ind w:left="1165"/>
              <w:contextualSpacing/>
              <w:jc w:val="both"/>
              <w:rPr>
                <w:rFonts w:eastAsia="Calibri"/>
                <w:sz w:val="18"/>
                <w:szCs w:val="18"/>
                <w:lang w:val="sk-SK"/>
              </w:rPr>
            </w:pPr>
          </w:p>
          <w:p w:rsidR="00CA419D" w:rsidRPr="00902555" w:rsidRDefault="00CA419D" w:rsidP="00CA419D">
            <w:pPr>
              <w:widowControl/>
              <w:numPr>
                <w:ilvl w:val="1"/>
                <w:numId w:val="1"/>
              </w:numPr>
              <w:autoSpaceDE/>
              <w:autoSpaceDN/>
              <w:spacing w:after="200" w:line="276" w:lineRule="auto"/>
              <w:ind w:left="1165" w:hanging="567"/>
              <w:contextualSpacing/>
              <w:jc w:val="both"/>
              <w:rPr>
                <w:rFonts w:eastAsia="Calibri"/>
                <w:sz w:val="18"/>
                <w:szCs w:val="18"/>
                <w:lang w:val="sk-SK"/>
              </w:rPr>
            </w:pPr>
            <w:r w:rsidRPr="00902555">
              <w:rPr>
                <w:rFonts w:eastAsia="Calibri"/>
                <w:sz w:val="18"/>
                <w:szCs w:val="18"/>
                <w:lang w:val="sk-SK"/>
              </w:rPr>
              <w:t xml:space="preserve">Dodávateľ poskytuje nevýhradnú, časovo ohraničenú licenciu na nové verzie Softvéru a na ďalšie softvéry a materiály, ktoré sa poskytujú v rámci Služieb podpory („Komponenty Služieb podpory“), a to iba počas trvania licenčných práv podľa Licenčných podmienok. Licenčné práva na Komponenty Služieb podpory sa riadia Licenčnými podmienkami. Odmena za poskytnutú licenciu ku Komponentom Služieb podpory je zahrnutá v poplatku za Služby podpory. </w:t>
            </w:r>
          </w:p>
          <w:p w:rsidR="00CA419D" w:rsidRPr="00902555" w:rsidRDefault="00CA419D" w:rsidP="006269C7">
            <w:pPr>
              <w:widowControl/>
              <w:autoSpaceDE/>
              <w:autoSpaceDN/>
              <w:ind w:left="1165"/>
              <w:contextualSpacing/>
              <w:jc w:val="both"/>
              <w:rPr>
                <w:rFonts w:eastAsia="Calibri"/>
                <w:sz w:val="18"/>
                <w:szCs w:val="18"/>
                <w:lang w:val="sk-SK"/>
              </w:rPr>
            </w:pPr>
          </w:p>
          <w:p w:rsidR="00CA419D" w:rsidRPr="00902555" w:rsidRDefault="00CA419D" w:rsidP="00CA419D">
            <w:pPr>
              <w:widowControl/>
              <w:numPr>
                <w:ilvl w:val="1"/>
                <w:numId w:val="1"/>
              </w:numPr>
              <w:autoSpaceDE/>
              <w:autoSpaceDN/>
              <w:spacing w:after="200" w:line="276" w:lineRule="auto"/>
              <w:ind w:left="1165" w:hanging="567"/>
              <w:contextualSpacing/>
              <w:jc w:val="both"/>
              <w:rPr>
                <w:rFonts w:eastAsia="Calibri"/>
                <w:sz w:val="18"/>
                <w:szCs w:val="18"/>
                <w:lang w:val="sk-SK"/>
              </w:rPr>
            </w:pPr>
            <w:r w:rsidRPr="00902555">
              <w:rPr>
                <w:rFonts w:eastAsia="Calibri"/>
                <w:sz w:val="18"/>
                <w:szCs w:val="18"/>
                <w:lang w:val="sk-SK"/>
              </w:rPr>
              <w:t>Služby podpory na základe tejto Zmluvy sa vzťahujú iba na podporovaný Softvér, ako bol pôvodne poskytnutý spoločnosťou SAP, pričom sa vylučujú, okrem iného, akékoľvek modifikácie, doplnky Add-on alebo rozšírenia Softvéru, ktoré boli vyvinuté Oprávneným subjektom alebo akoukoľvek treťou stranou.</w:t>
            </w:r>
          </w:p>
          <w:p w:rsidR="00CA419D" w:rsidRPr="00902555" w:rsidRDefault="00CA419D" w:rsidP="006269C7">
            <w:pPr>
              <w:widowControl/>
              <w:autoSpaceDE/>
              <w:autoSpaceDN/>
              <w:jc w:val="both"/>
              <w:rPr>
                <w:rFonts w:eastAsia="Calibri"/>
                <w:sz w:val="18"/>
                <w:szCs w:val="18"/>
                <w:lang w:val="sk-SK"/>
              </w:rPr>
            </w:pPr>
          </w:p>
        </w:tc>
      </w:tr>
    </w:tbl>
    <w:p w:rsidR="00CA419D" w:rsidRPr="00902555" w:rsidRDefault="00CA419D" w:rsidP="00CA419D">
      <w:pPr>
        <w:widowControl/>
        <w:autoSpaceDE/>
        <w:autoSpaceDN/>
        <w:spacing w:after="200" w:line="276" w:lineRule="auto"/>
        <w:rPr>
          <w:rFonts w:eastAsia="Calibri"/>
          <w:lang w:val="cs-CZ"/>
        </w:rPr>
      </w:pPr>
    </w:p>
    <w:p w:rsidR="00CA419D" w:rsidRPr="00902555" w:rsidRDefault="00CA419D" w:rsidP="00CA419D">
      <w:pPr>
        <w:widowControl/>
        <w:autoSpaceDE/>
        <w:autoSpaceDN/>
        <w:spacing w:after="160" w:line="256" w:lineRule="auto"/>
        <w:rPr>
          <w:rFonts w:eastAsia="Calibri"/>
          <w:lang w:val="cs-CZ"/>
        </w:rPr>
      </w:pPr>
      <w:r w:rsidRPr="00902555">
        <w:rPr>
          <w:rFonts w:eastAsia="Calibri"/>
          <w:lang w:val="cs-CZ"/>
        </w:rPr>
        <w:br w:type="page"/>
      </w:r>
    </w:p>
    <w:p w:rsidR="00CA419D" w:rsidRPr="00902555" w:rsidRDefault="00CA419D" w:rsidP="00CA419D">
      <w:pPr>
        <w:widowControl/>
        <w:autoSpaceDE/>
        <w:autoSpaceDN/>
        <w:rPr>
          <w:rFonts w:eastAsia="Calibri"/>
          <w:sz w:val="20"/>
          <w:szCs w:val="20"/>
          <w:lang w:val="cs-CZ"/>
        </w:rPr>
      </w:pPr>
      <w:r w:rsidRPr="00902555">
        <w:rPr>
          <w:rFonts w:eastAsia="Calibri"/>
          <w:sz w:val="20"/>
          <w:szCs w:val="20"/>
          <w:lang w:val="cs-CZ"/>
        </w:rPr>
        <w:lastRenderedPageBreak/>
        <w:t>Príloha č. 1 Objednávky na podporu</w:t>
      </w:r>
    </w:p>
    <w:p w:rsidR="00CA419D" w:rsidRPr="00902555" w:rsidRDefault="00CA419D" w:rsidP="00CA419D">
      <w:pPr>
        <w:widowControl/>
        <w:autoSpaceDE/>
        <w:autoSpaceDN/>
        <w:rPr>
          <w:rFonts w:eastAsia="Calibri"/>
          <w:sz w:val="20"/>
          <w:szCs w:val="20"/>
          <w:lang w:val="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959"/>
        <w:gridCol w:w="529"/>
        <w:gridCol w:w="663"/>
        <w:gridCol w:w="801"/>
        <w:gridCol w:w="1426"/>
        <w:gridCol w:w="1350"/>
        <w:gridCol w:w="223"/>
        <w:gridCol w:w="1651"/>
      </w:tblGrid>
      <w:tr w:rsidR="00CA419D" w:rsidRPr="00902555" w:rsidTr="006269C7">
        <w:trPr>
          <w:cantSplit/>
          <w:tblHeader/>
        </w:trPr>
        <w:tc>
          <w:tcPr>
            <w:tcW w:w="1334" w:type="pct"/>
            <w:gridSpan w:val="2"/>
            <w:tcBorders>
              <w:top w:val="single" w:sz="4" w:space="0" w:color="auto"/>
              <w:left w:val="single" w:sz="4" w:space="0" w:color="auto"/>
              <w:bottom w:val="single" w:sz="4" w:space="0" w:color="auto"/>
              <w:right w:val="single" w:sz="4" w:space="0" w:color="auto"/>
            </w:tcBorders>
            <w:shd w:val="clear" w:color="auto" w:fill="00B0F0"/>
            <w:hideMark/>
          </w:tcPr>
          <w:p w:rsidR="00CA419D" w:rsidRPr="00902555" w:rsidRDefault="00CA419D" w:rsidP="006269C7">
            <w:pPr>
              <w:widowControl/>
              <w:adjustRightInd w:val="0"/>
              <w:spacing w:after="200" w:line="276" w:lineRule="auto"/>
              <w:rPr>
                <w:rFonts w:eastAsia="MS Mincho"/>
                <w:sz w:val="16"/>
                <w:szCs w:val="16"/>
                <w:lang w:val="cs-CZ"/>
              </w:rPr>
            </w:pPr>
            <w:r w:rsidRPr="00902555">
              <w:rPr>
                <w:rFonts w:eastAsia="MS Mincho"/>
                <w:b/>
                <w:sz w:val="16"/>
                <w:szCs w:val="16"/>
                <w:lang w:val="cs-CZ"/>
              </w:rPr>
              <w:t>Produkt/Product</w:t>
            </w:r>
          </w:p>
        </w:tc>
        <w:tc>
          <w:tcPr>
            <w:tcW w:w="292" w:type="pct"/>
            <w:tcBorders>
              <w:top w:val="single" w:sz="4" w:space="0" w:color="auto"/>
              <w:left w:val="single" w:sz="4" w:space="0" w:color="auto"/>
              <w:bottom w:val="single" w:sz="4" w:space="0" w:color="auto"/>
              <w:right w:val="single" w:sz="4" w:space="0" w:color="auto"/>
            </w:tcBorders>
            <w:shd w:val="clear" w:color="auto" w:fill="00B0F0"/>
            <w:hideMark/>
          </w:tcPr>
          <w:p w:rsidR="00CA419D" w:rsidRPr="00902555" w:rsidRDefault="00CA419D" w:rsidP="006269C7">
            <w:pPr>
              <w:widowControl/>
              <w:adjustRightInd w:val="0"/>
              <w:spacing w:after="200" w:line="276" w:lineRule="auto"/>
              <w:rPr>
                <w:rFonts w:eastAsia="MS Mincho"/>
                <w:b/>
                <w:bCs/>
                <w:sz w:val="16"/>
                <w:szCs w:val="16"/>
                <w:lang w:val="cs-CZ"/>
              </w:rPr>
            </w:pPr>
            <w:r w:rsidRPr="00902555">
              <w:rPr>
                <w:rFonts w:eastAsia="Calibri"/>
                <w:b/>
                <w:bCs/>
                <w:sz w:val="16"/>
                <w:szCs w:val="16"/>
                <w:lang w:val="cs-CZ"/>
              </w:rPr>
              <w:t>TPP</w:t>
            </w:r>
          </w:p>
        </w:tc>
        <w:tc>
          <w:tcPr>
            <w:tcW w:w="366" w:type="pct"/>
            <w:tcBorders>
              <w:top w:val="single" w:sz="4" w:space="0" w:color="auto"/>
              <w:left w:val="single" w:sz="4" w:space="0" w:color="auto"/>
              <w:bottom w:val="single" w:sz="4" w:space="0" w:color="auto"/>
              <w:right w:val="single" w:sz="4" w:space="0" w:color="auto"/>
            </w:tcBorders>
            <w:shd w:val="clear" w:color="auto" w:fill="00B0F0"/>
            <w:hideMark/>
          </w:tcPr>
          <w:p w:rsidR="00CA419D" w:rsidRPr="00902555" w:rsidRDefault="00CA419D" w:rsidP="006269C7">
            <w:pPr>
              <w:widowControl/>
              <w:adjustRightInd w:val="0"/>
              <w:spacing w:after="200" w:line="276" w:lineRule="auto"/>
              <w:rPr>
                <w:rFonts w:eastAsia="MS Mincho"/>
                <w:b/>
                <w:bCs/>
                <w:sz w:val="16"/>
                <w:szCs w:val="16"/>
                <w:lang w:val="cs-CZ"/>
              </w:rPr>
            </w:pPr>
            <w:r w:rsidRPr="00902555">
              <w:rPr>
                <w:rFonts w:eastAsia="Calibri"/>
                <w:b/>
                <w:bCs/>
                <w:sz w:val="16"/>
                <w:szCs w:val="16"/>
                <w:lang w:val="cs-CZ"/>
              </w:rPr>
              <w:t>SAV</w:t>
            </w:r>
          </w:p>
        </w:tc>
        <w:tc>
          <w:tcPr>
            <w:tcW w:w="442" w:type="pct"/>
            <w:tcBorders>
              <w:top w:val="single" w:sz="4" w:space="0" w:color="auto"/>
              <w:left w:val="single" w:sz="4" w:space="0" w:color="auto"/>
              <w:bottom w:val="single" w:sz="4" w:space="0" w:color="auto"/>
              <w:right w:val="single" w:sz="4" w:space="0" w:color="auto"/>
            </w:tcBorders>
            <w:shd w:val="clear" w:color="auto" w:fill="00B0F0"/>
            <w:hideMark/>
          </w:tcPr>
          <w:p w:rsidR="00CA419D" w:rsidRPr="00902555" w:rsidRDefault="00CA419D" w:rsidP="006269C7">
            <w:pPr>
              <w:widowControl/>
              <w:adjustRightInd w:val="0"/>
              <w:spacing w:after="200" w:line="276" w:lineRule="auto"/>
              <w:rPr>
                <w:rFonts w:eastAsia="MS Mincho"/>
                <w:b/>
                <w:bCs/>
                <w:sz w:val="16"/>
                <w:szCs w:val="16"/>
                <w:lang w:val="cs-CZ"/>
              </w:rPr>
            </w:pPr>
            <w:r w:rsidRPr="00902555">
              <w:rPr>
                <w:rFonts w:eastAsia="Calibri"/>
                <w:b/>
                <w:bCs/>
                <w:sz w:val="16"/>
                <w:szCs w:val="16"/>
                <w:lang w:val="cs-CZ"/>
              </w:rPr>
              <w:t>HSAV</w:t>
            </w:r>
          </w:p>
        </w:tc>
        <w:tc>
          <w:tcPr>
            <w:tcW w:w="787" w:type="pct"/>
            <w:tcBorders>
              <w:top w:val="single" w:sz="4" w:space="0" w:color="auto"/>
              <w:left w:val="single" w:sz="4" w:space="0" w:color="auto"/>
              <w:bottom w:val="single" w:sz="4" w:space="0" w:color="auto"/>
              <w:right w:val="single" w:sz="4" w:space="0" w:color="auto"/>
            </w:tcBorders>
            <w:shd w:val="clear" w:color="auto" w:fill="00B0F0"/>
            <w:hideMark/>
          </w:tcPr>
          <w:p w:rsidR="00CA419D" w:rsidRPr="00902555" w:rsidRDefault="00CA419D" w:rsidP="006269C7">
            <w:pPr>
              <w:widowControl/>
              <w:adjustRightInd w:val="0"/>
              <w:spacing w:after="200" w:line="276" w:lineRule="auto"/>
              <w:rPr>
                <w:rFonts w:eastAsia="MS Mincho"/>
                <w:b/>
                <w:sz w:val="16"/>
                <w:szCs w:val="16"/>
                <w:lang w:val="cs-CZ"/>
              </w:rPr>
            </w:pPr>
            <w:r w:rsidRPr="00902555">
              <w:rPr>
                <w:rFonts w:eastAsia="MS Mincho"/>
                <w:b/>
                <w:sz w:val="16"/>
                <w:szCs w:val="16"/>
                <w:lang w:val="cs-CZ"/>
              </w:rPr>
              <w:t>Licenčná metrika/License Metric</w:t>
            </w:r>
          </w:p>
        </w:tc>
        <w:tc>
          <w:tcPr>
            <w:tcW w:w="745" w:type="pct"/>
            <w:tcBorders>
              <w:top w:val="single" w:sz="4" w:space="0" w:color="auto"/>
              <w:left w:val="single" w:sz="4" w:space="0" w:color="auto"/>
              <w:bottom w:val="single" w:sz="4" w:space="0" w:color="auto"/>
              <w:right w:val="single" w:sz="4" w:space="0" w:color="auto"/>
            </w:tcBorders>
            <w:shd w:val="clear" w:color="auto" w:fill="00B0F0"/>
            <w:hideMark/>
          </w:tcPr>
          <w:p w:rsidR="00CA419D" w:rsidRPr="00902555" w:rsidRDefault="00CA419D" w:rsidP="006269C7">
            <w:pPr>
              <w:widowControl/>
              <w:adjustRightInd w:val="0"/>
              <w:spacing w:after="200" w:line="276" w:lineRule="auto"/>
              <w:rPr>
                <w:rFonts w:eastAsia="MS Mincho"/>
                <w:b/>
                <w:sz w:val="16"/>
                <w:szCs w:val="16"/>
                <w:lang w:val="cs-CZ"/>
              </w:rPr>
            </w:pPr>
            <w:r w:rsidRPr="00902555">
              <w:rPr>
                <w:rFonts w:eastAsia="MS Mincho"/>
                <w:b/>
                <w:sz w:val="16"/>
                <w:szCs w:val="16"/>
                <w:lang w:val="cs-CZ"/>
              </w:rPr>
              <w:t>Bloky (jednotiek)/</w:t>
            </w:r>
          </w:p>
          <w:p w:rsidR="00CA419D" w:rsidRPr="00902555" w:rsidRDefault="00CA419D" w:rsidP="006269C7">
            <w:pPr>
              <w:widowControl/>
              <w:adjustRightInd w:val="0"/>
              <w:spacing w:after="200" w:line="276" w:lineRule="auto"/>
              <w:rPr>
                <w:rFonts w:eastAsia="MS Mincho"/>
                <w:b/>
                <w:sz w:val="16"/>
                <w:szCs w:val="16"/>
                <w:lang w:val="cs-CZ"/>
              </w:rPr>
            </w:pPr>
            <w:r w:rsidRPr="00902555">
              <w:rPr>
                <w:rFonts w:eastAsia="MS Mincho"/>
                <w:b/>
                <w:sz w:val="16"/>
                <w:szCs w:val="16"/>
                <w:lang w:val="cs-CZ"/>
              </w:rPr>
              <w:t>Blocks of (units)</w:t>
            </w:r>
          </w:p>
        </w:tc>
        <w:tc>
          <w:tcPr>
            <w:tcW w:w="1035" w:type="pct"/>
            <w:gridSpan w:val="2"/>
            <w:tcBorders>
              <w:top w:val="single" w:sz="4" w:space="0" w:color="auto"/>
              <w:left w:val="single" w:sz="4" w:space="0" w:color="auto"/>
              <w:bottom w:val="single" w:sz="4" w:space="0" w:color="auto"/>
              <w:right w:val="single" w:sz="4" w:space="0" w:color="auto"/>
            </w:tcBorders>
            <w:shd w:val="clear" w:color="auto" w:fill="00B0F0"/>
            <w:hideMark/>
          </w:tcPr>
          <w:p w:rsidR="00CA419D" w:rsidRPr="00902555" w:rsidRDefault="00CA419D" w:rsidP="006269C7">
            <w:pPr>
              <w:widowControl/>
              <w:adjustRightInd w:val="0"/>
              <w:spacing w:after="200" w:line="276" w:lineRule="auto"/>
              <w:rPr>
                <w:rFonts w:eastAsia="MS Mincho"/>
                <w:b/>
                <w:sz w:val="16"/>
                <w:szCs w:val="16"/>
                <w:lang w:val="cs-CZ"/>
              </w:rPr>
            </w:pPr>
            <w:r w:rsidRPr="00902555">
              <w:rPr>
                <w:rFonts w:eastAsia="MS Mincho"/>
                <w:b/>
                <w:sz w:val="16"/>
                <w:szCs w:val="16"/>
                <w:lang w:val="cs-CZ"/>
              </w:rPr>
              <w:t>Rozsah licencie/</w:t>
            </w:r>
          </w:p>
          <w:p w:rsidR="00CA419D" w:rsidRPr="00902555" w:rsidRDefault="00CA419D" w:rsidP="006269C7">
            <w:pPr>
              <w:widowControl/>
              <w:adjustRightInd w:val="0"/>
              <w:spacing w:after="200" w:line="276" w:lineRule="auto"/>
              <w:rPr>
                <w:rFonts w:eastAsia="MS Mincho"/>
                <w:sz w:val="16"/>
                <w:szCs w:val="16"/>
                <w:lang w:val="cs-CZ"/>
              </w:rPr>
            </w:pPr>
            <w:r w:rsidRPr="00902555">
              <w:rPr>
                <w:rFonts w:eastAsia="MS Mincho"/>
                <w:b/>
                <w:sz w:val="16"/>
                <w:szCs w:val="16"/>
                <w:lang w:val="cs-CZ"/>
              </w:rPr>
              <w:t>License Quantity</w:t>
            </w:r>
          </w:p>
        </w:tc>
      </w:tr>
      <w:tr w:rsidR="00CA419D" w:rsidRPr="00902555" w:rsidTr="006269C7">
        <w:tc>
          <w:tcPr>
            <w:tcW w:w="1334" w:type="pct"/>
            <w:gridSpan w:val="2"/>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rPr>
                <w:rFonts w:eastAsia="MS Mincho"/>
                <w:sz w:val="16"/>
                <w:szCs w:val="16"/>
                <w:lang w:val="cs-CZ"/>
              </w:rPr>
            </w:pPr>
          </w:p>
        </w:tc>
        <w:tc>
          <w:tcPr>
            <w:tcW w:w="292"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rPr>
                <w:rFonts w:eastAsia="MS Mincho"/>
                <w:sz w:val="16"/>
                <w:szCs w:val="16"/>
                <w:lang w:val="cs-CZ"/>
              </w:rPr>
            </w:pPr>
          </w:p>
        </w:tc>
        <w:tc>
          <w:tcPr>
            <w:tcW w:w="366"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c>
          <w:tcPr>
            <w:tcW w:w="442"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c>
          <w:tcPr>
            <w:tcW w:w="787"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c>
          <w:tcPr>
            <w:tcW w:w="745"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c>
          <w:tcPr>
            <w:tcW w:w="1035" w:type="pct"/>
            <w:gridSpan w:val="2"/>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r>
      <w:tr w:rsidR="00CA419D" w:rsidRPr="00902555" w:rsidTr="006269C7">
        <w:tc>
          <w:tcPr>
            <w:tcW w:w="1334" w:type="pct"/>
            <w:gridSpan w:val="2"/>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rPr>
                <w:rFonts w:eastAsia="MS Mincho"/>
                <w:sz w:val="16"/>
                <w:szCs w:val="16"/>
                <w:lang w:val="cs-CZ"/>
              </w:rPr>
            </w:pPr>
          </w:p>
        </w:tc>
        <w:tc>
          <w:tcPr>
            <w:tcW w:w="292"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rPr>
                <w:rFonts w:eastAsia="MS Mincho"/>
                <w:sz w:val="16"/>
                <w:szCs w:val="16"/>
                <w:lang w:val="cs-CZ"/>
              </w:rPr>
            </w:pPr>
          </w:p>
        </w:tc>
        <w:tc>
          <w:tcPr>
            <w:tcW w:w="366"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c>
          <w:tcPr>
            <w:tcW w:w="442"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c>
          <w:tcPr>
            <w:tcW w:w="787"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c>
          <w:tcPr>
            <w:tcW w:w="745"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c>
          <w:tcPr>
            <w:tcW w:w="1035" w:type="pct"/>
            <w:gridSpan w:val="2"/>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r>
      <w:tr w:rsidR="00CA419D" w:rsidRPr="00902555" w:rsidTr="006269C7">
        <w:tc>
          <w:tcPr>
            <w:tcW w:w="1334" w:type="pct"/>
            <w:gridSpan w:val="2"/>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rPr>
                <w:rFonts w:eastAsia="MS Mincho"/>
                <w:sz w:val="16"/>
                <w:szCs w:val="16"/>
                <w:lang w:val="cs-CZ"/>
              </w:rPr>
            </w:pPr>
          </w:p>
        </w:tc>
        <w:tc>
          <w:tcPr>
            <w:tcW w:w="292"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rPr>
                <w:rFonts w:eastAsia="MS Mincho"/>
                <w:sz w:val="16"/>
                <w:szCs w:val="16"/>
                <w:lang w:val="cs-CZ"/>
              </w:rPr>
            </w:pPr>
          </w:p>
        </w:tc>
        <w:tc>
          <w:tcPr>
            <w:tcW w:w="366"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c>
          <w:tcPr>
            <w:tcW w:w="442"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c>
          <w:tcPr>
            <w:tcW w:w="787"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c>
          <w:tcPr>
            <w:tcW w:w="745"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c>
          <w:tcPr>
            <w:tcW w:w="1035" w:type="pct"/>
            <w:gridSpan w:val="2"/>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r>
      <w:tr w:rsidR="00CA419D" w:rsidRPr="00902555" w:rsidTr="006269C7">
        <w:tc>
          <w:tcPr>
            <w:tcW w:w="1334" w:type="pct"/>
            <w:gridSpan w:val="2"/>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rPr>
                <w:rFonts w:eastAsia="MS Mincho"/>
                <w:sz w:val="16"/>
                <w:szCs w:val="16"/>
                <w:lang w:val="cs-CZ"/>
              </w:rPr>
            </w:pPr>
          </w:p>
        </w:tc>
        <w:tc>
          <w:tcPr>
            <w:tcW w:w="292"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rPr>
                <w:rFonts w:eastAsia="MS Mincho"/>
                <w:sz w:val="16"/>
                <w:szCs w:val="16"/>
                <w:lang w:val="cs-CZ"/>
              </w:rPr>
            </w:pPr>
          </w:p>
        </w:tc>
        <w:tc>
          <w:tcPr>
            <w:tcW w:w="366"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c>
          <w:tcPr>
            <w:tcW w:w="442"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c>
          <w:tcPr>
            <w:tcW w:w="787"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c>
          <w:tcPr>
            <w:tcW w:w="745" w:type="pct"/>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c>
          <w:tcPr>
            <w:tcW w:w="1035" w:type="pct"/>
            <w:gridSpan w:val="2"/>
            <w:tcBorders>
              <w:top w:val="single" w:sz="4" w:space="0" w:color="auto"/>
              <w:left w:val="single" w:sz="4" w:space="0" w:color="auto"/>
              <w:bottom w:val="single" w:sz="4" w:space="0" w:color="auto"/>
              <w:right w:val="single" w:sz="4" w:space="0" w:color="auto"/>
            </w:tcBorders>
          </w:tcPr>
          <w:p w:rsidR="00CA419D" w:rsidRPr="00902555" w:rsidRDefault="00CA419D" w:rsidP="006269C7">
            <w:pPr>
              <w:widowControl/>
              <w:adjustRightInd w:val="0"/>
              <w:spacing w:after="200" w:line="276" w:lineRule="auto"/>
              <w:jc w:val="right"/>
              <w:rPr>
                <w:rFonts w:eastAsia="MS Mincho"/>
                <w:sz w:val="16"/>
                <w:szCs w:val="16"/>
                <w:lang w:val="cs-CZ"/>
              </w:rPr>
            </w:pPr>
          </w:p>
        </w:tc>
      </w:tr>
      <w:tr w:rsidR="00CA419D" w:rsidRPr="00902555" w:rsidTr="006269C7">
        <w:trPr>
          <w:gridAfter w:val="1"/>
          <w:wAfter w:w="911" w:type="pct"/>
          <w:trHeight w:val="70"/>
        </w:trPr>
        <w:tc>
          <w:tcPr>
            <w:tcW w:w="253" w:type="pct"/>
            <w:tcBorders>
              <w:top w:val="single" w:sz="4" w:space="0" w:color="auto"/>
              <w:left w:val="nil"/>
              <w:bottom w:val="single" w:sz="4" w:space="0" w:color="auto"/>
              <w:right w:val="nil"/>
            </w:tcBorders>
          </w:tcPr>
          <w:p w:rsidR="00CA419D" w:rsidRPr="00902555" w:rsidRDefault="00CA419D" w:rsidP="006269C7">
            <w:pPr>
              <w:widowControl/>
              <w:adjustRightInd w:val="0"/>
              <w:spacing w:after="200" w:line="276" w:lineRule="auto"/>
              <w:rPr>
                <w:rFonts w:eastAsia="MS Mincho"/>
                <w:sz w:val="16"/>
                <w:szCs w:val="16"/>
                <w:lang w:val="cs-CZ"/>
              </w:rPr>
            </w:pPr>
          </w:p>
        </w:tc>
        <w:tc>
          <w:tcPr>
            <w:tcW w:w="1081" w:type="pct"/>
            <w:tcBorders>
              <w:top w:val="single" w:sz="4" w:space="0" w:color="auto"/>
              <w:left w:val="nil"/>
              <w:bottom w:val="single" w:sz="4" w:space="0" w:color="auto"/>
              <w:right w:val="nil"/>
            </w:tcBorders>
          </w:tcPr>
          <w:p w:rsidR="00CA419D" w:rsidRPr="00902555" w:rsidRDefault="00CA419D" w:rsidP="006269C7">
            <w:pPr>
              <w:widowControl/>
              <w:adjustRightInd w:val="0"/>
              <w:spacing w:after="200" w:line="276" w:lineRule="auto"/>
              <w:rPr>
                <w:rFonts w:eastAsia="MS Mincho"/>
                <w:sz w:val="16"/>
                <w:szCs w:val="16"/>
                <w:lang w:val="cs-CZ"/>
              </w:rPr>
            </w:pPr>
          </w:p>
        </w:tc>
        <w:tc>
          <w:tcPr>
            <w:tcW w:w="292" w:type="pct"/>
            <w:tcBorders>
              <w:top w:val="single" w:sz="4" w:space="0" w:color="auto"/>
              <w:left w:val="nil"/>
              <w:bottom w:val="single" w:sz="4" w:space="0" w:color="auto"/>
              <w:right w:val="nil"/>
            </w:tcBorders>
          </w:tcPr>
          <w:p w:rsidR="00CA419D" w:rsidRPr="00902555" w:rsidRDefault="00CA419D" w:rsidP="006269C7">
            <w:pPr>
              <w:widowControl/>
              <w:adjustRightInd w:val="0"/>
              <w:spacing w:after="200" w:line="276" w:lineRule="auto"/>
              <w:rPr>
                <w:rFonts w:eastAsia="MS Mincho"/>
                <w:sz w:val="16"/>
                <w:szCs w:val="16"/>
                <w:lang w:val="cs-CZ"/>
              </w:rPr>
            </w:pPr>
          </w:p>
        </w:tc>
        <w:tc>
          <w:tcPr>
            <w:tcW w:w="2340" w:type="pct"/>
            <w:gridSpan w:val="4"/>
            <w:tcBorders>
              <w:top w:val="single" w:sz="4" w:space="0" w:color="auto"/>
              <w:left w:val="nil"/>
              <w:bottom w:val="single" w:sz="4" w:space="0" w:color="auto"/>
              <w:right w:val="nil"/>
            </w:tcBorders>
          </w:tcPr>
          <w:p w:rsidR="00CA419D" w:rsidRPr="00902555" w:rsidRDefault="00CA419D" w:rsidP="006269C7">
            <w:pPr>
              <w:widowControl/>
              <w:adjustRightInd w:val="0"/>
              <w:spacing w:after="200" w:line="276" w:lineRule="auto"/>
              <w:rPr>
                <w:rFonts w:eastAsia="MS Mincho"/>
                <w:sz w:val="16"/>
                <w:szCs w:val="16"/>
                <w:lang w:val="cs-CZ"/>
              </w:rPr>
            </w:pPr>
          </w:p>
        </w:tc>
        <w:tc>
          <w:tcPr>
            <w:tcW w:w="123" w:type="pct"/>
            <w:tcBorders>
              <w:top w:val="single" w:sz="4" w:space="0" w:color="auto"/>
              <w:left w:val="nil"/>
              <w:bottom w:val="single" w:sz="4" w:space="0" w:color="auto"/>
              <w:right w:val="nil"/>
            </w:tcBorders>
          </w:tcPr>
          <w:p w:rsidR="00CA419D" w:rsidRPr="00902555" w:rsidRDefault="00CA419D" w:rsidP="006269C7">
            <w:pPr>
              <w:widowControl/>
              <w:adjustRightInd w:val="0"/>
              <w:spacing w:after="200" w:line="276" w:lineRule="auto"/>
              <w:rPr>
                <w:rFonts w:eastAsia="MS Mincho"/>
                <w:sz w:val="16"/>
                <w:szCs w:val="16"/>
                <w:lang w:val="cs-CZ"/>
              </w:rPr>
            </w:pPr>
          </w:p>
        </w:tc>
      </w:tr>
      <w:tr w:rsidR="00CA419D" w:rsidRPr="00902555" w:rsidTr="006269C7">
        <w:trPr>
          <w:trHeight w:val="70"/>
        </w:trPr>
        <w:tc>
          <w:tcPr>
            <w:tcW w:w="3965" w:type="pct"/>
            <w:gridSpan w:val="7"/>
            <w:tcBorders>
              <w:top w:val="single" w:sz="4" w:space="0" w:color="auto"/>
              <w:left w:val="single" w:sz="4" w:space="0" w:color="auto"/>
              <w:bottom w:val="single" w:sz="4" w:space="0" w:color="auto"/>
              <w:right w:val="single" w:sz="4" w:space="0" w:color="auto"/>
            </w:tcBorders>
            <w:hideMark/>
          </w:tcPr>
          <w:p w:rsidR="00CA419D" w:rsidRPr="00902555" w:rsidRDefault="00CA419D" w:rsidP="006269C7">
            <w:pPr>
              <w:widowControl/>
              <w:adjustRightInd w:val="0"/>
              <w:spacing w:after="200" w:line="276" w:lineRule="auto"/>
              <w:rPr>
                <w:rFonts w:eastAsia="MS Mincho"/>
                <w:sz w:val="16"/>
                <w:szCs w:val="16"/>
                <w:lang w:val="cs-CZ"/>
              </w:rPr>
            </w:pPr>
            <w:r w:rsidRPr="00902555">
              <w:rPr>
                <w:rFonts w:eastAsia="MS Mincho"/>
                <w:sz w:val="16"/>
                <w:szCs w:val="16"/>
                <w:lang w:val="cs-CZ"/>
              </w:rPr>
              <w:t>Základ pre výpočet ceny podpory /Maintenance base</w:t>
            </w:r>
          </w:p>
        </w:tc>
        <w:tc>
          <w:tcPr>
            <w:tcW w:w="1035" w:type="pct"/>
            <w:gridSpan w:val="2"/>
            <w:tcBorders>
              <w:top w:val="single" w:sz="4" w:space="0" w:color="auto"/>
              <w:left w:val="single" w:sz="4" w:space="0" w:color="auto"/>
              <w:bottom w:val="single" w:sz="4" w:space="0" w:color="auto"/>
              <w:right w:val="single" w:sz="4" w:space="0" w:color="auto"/>
            </w:tcBorders>
            <w:shd w:val="clear" w:color="auto" w:fill="D9D9D9"/>
          </w:tcPr>
          <w:p w:rsidR="00CA419D" w:rsidRPr="00902555" w:rsidRDefault="00CA419D" w:rsidP="006269C7">
            <w:pPr>
              <w:widowControl/>
              <w:adjustRightInd w:val="0"/>
              <w:spacing w:after="200" w:line="276" w:lineRule="auto"/>
              <w:jc w:val="right"/>
              <w:rPr>
                <w:rFonts w:eastAsia="MS Mincho"/>
                <w:sz w:val="16"/>
                <w:szCs w:val="16"/>
                <w:lang w:val="cs-CZ"/>
              </w:rPr>
            </w:pPr>
          </w:p>
        </w:tc>
      </w:tr>
      <w:tr w:rsidR="00CA419D" w:rsidRPr="00902555" w:rsidTr="006269C7">
        <w:trPr>
          <w:trHeight w:val="70"/>
        </w:trPr>
        <w:tc>
          <w:tcPr>
            <w:tcW w:w="3965" w:type="pct"/>
            <w:gridSpan w:val="7"/>
            <w:tcBorders>
              <w:top w:val="single" w:sz="4" w:space="0" w:color="auto"/>
              <w:left w:val="single" w:sz="4" w:space="0" w:color="auto"/>
              <w:bottom w:val="single" w:sz="4" w:space="0" w:color="auto"/>
              <w:right w:val="single" w:sz="4" w:space="0" w:color="auto"/>
            </w:tcBorders>
            <w:hideMark/>
          </w:tcPr>
          <w:p w:rsidR="00CA419D" w:rsidRPr="00902555" w:rsidRDefault="00CA419D" w:rsidP="006269C7">
            <w:pPr>
              <w:widowControl/>
              <w:adjustRightInd w:val="0"/>
              <w:spacing w:after="200" w:line="276" w:lineRule="auto"/>
              <w:rPr>
                <w:rFonts w:eastAsia="MS Mincho"/>
                <w:sz w:val="16"/>
                <w:szCs w:val="16"/>
                <w:lang w:val="cs-CZ"/>
              </w:rPr>
            </w:pPr>
            <w:r w:rsidRPr="00902555">
              <w:rPr>
                <w:rFonts w:eastAsia="MS Mincho"/>
                <w:sz w:val="16"/>
                <w:szCs w:val="16"/>
                <w:lang w:val="cs-CZ"/>
              </w:rPr>
              <w:t>Percento pre výpočet poplatku / Maintenance percentage</w:t>
            </w:r>
          </w:p>
        </w:tc>
        <w:tc>
          <w:tcPr>
            <w:tcW w:w="1035" w:type="pct"/>
            <w:gridSpan w:val="2"/>
            <w:tcBorders>
              <w:top w:val="single" w:sz="4" w:space="0" w:color="auto"/>
              <w:left w:val="single" w:sz="4" w:space="0" w:color="auto"/>
              <w:bottom w:val="single" w:sz="4" w:space="0" w:color="auto"/>
              <w:right w:val="single" w:sz="4" w:space="0" w:color="auto"/>
            </w:tcBorders>
            <w:shd w:val="clear" w:color="auto" w:fill="D9D9D9"/>
          </w:tcPr>
          <w:p w:rsidR="00CA419D" w:rsidRPr="00902555" w:rsidRDefault="00CA419D" w:rsidP="006269C7">
            <w:pPr>
              <w:widowControl/>
              <w:adjustRightInd w:val="0"/>
              <w:spacing w:after="200" w:line="276" w:lineRule="auto"/>
              <w:jc w:val="right"/>
              <w:rPr>
                <w:rFonts w:eastAsia="MS Mincho"/>
                <w:sz w:val="16"/>
                <w:szCs w:val="16"/>
                <w:lang w:val="cs-CZ"/>
              </w:rPr>
            </w:pPr>
          </w:p>
        </w:tc>
      </w:tr>
      <w:tr w:rsidR="00CA419D" w:rsidRPr="00902555" w:rsidTr="006269C7">
        <w:trPr>
          <w:trHeight w:val="70"/>
        </w:trPr>
        <w:tc>
          <w:tcPr>
            <w:tcW w:w="3965" w:type="pct"/>
            <w:gridSpan w:val="7"/>
            <w:tcBorders>
              <w:top w:val="single" w:sz="4" w:space="0" w:color="auto"/>
              <w:left w:val="single" w:sz="4" w:space="0" w:color="auto"/>
              <w:bottom w:val="single" w:sz="4" w:space="0" w:color="auto"/>
              <w:right w:val="single" w:sz="4" w:space="0" w:color="auto"/>
            </w:tcBorders>
            <w:hideMark/>
          </w:tcPr>
          <w:p w:rsidR="00CA419D" w:rsidRPr="00902555" w:rsidRDefault="00CA419D" w:rsidP="006269C7">
            <w:pPr>
              <w:widowControl/>
              <w:adjustRightInd w:val="0"/>
              <w:spacing w:after="200" w:line="276" w:lineRule="auto"/>
              <w:rPr>
                <w:rFonts w:eastAsia="MS Mincho"/>
                <w:sz w:val="16"/>
                <w:szCs w:val="16"/>
                <w:lang w:val="cs-CZ"/>
              </w:rPr>
            </w:pPr>
            <w:r w:rsidRPr="00902555">
              <w:rPr>
                <w:rFonts w:eastAsia="MS Mincho"/>
                <w:sz w:val="16"/>
                <w:szCs w:val="16"/>
                <w:lang w:val="cs-CZ"/>
              </w:rPr>
              <w:t>Ročný poplatok za služby podpory v EUR bez DPH/Yearly fee in EUR w/o VAT</w:t>
            </w:r>
          </w:p>
        </w:tc>
        <w:tc>
          <w:tcPr>
            <w:tcW w:w="1035" w:type="pct"/>
            <w:gridSpan w:val="2"/>
            <w:tcBorders>
              <w:top w:val="single" w:sz="4" w:space="0" w:color="auto"/>
              <w:left w:val="single" w:sz="4" w:space="0" w:color="auto"/>
              <w:bottom w:val="single" w:sz="4" w:space="0" w:color="auto"/>
              <w:right w:val="single" w:sz="4" w:space="0" w:color="auto"/>
            </w:tcBorders>
            <w:shd w:val="clear" w:color="auto" w:fill="D9D9D9"/>
          </w:tcPr>
          <w:p w:rsidR="00CA419D" w:rsidRPr="00902555" w:rsidRDefault="00CA419D" w:rsidP="006269C7">
            <w:pPr>
              <w:widowControl/>
              <w:adjustRightInd w:val="0"/>
              <w:spacing w:after="200" w:line="276" w:lineRule="auto"/>
              <w:jc w:val="right"/>
              <w:rPr>
                <w:rFonts w:eastAsia="MS Mincho"/>
                <w:sz w:val="16"/>
                <w:szCs w:val="16"/>
                <w:lang w:val="cs-CZ"/>
              </w:rPr>
            </w:pPr>
          </w:p>
        </w:tc>
      </w:tr>
      <w:tr w:rsidR="00CA419D" w:rsidRPr="00902555" w:rsidTr="006269C7">
        <w:trPr>
          <w:trHeight w:val="70"/>
        </w:trPr>
        <w:tc>
          <w:tcPr>
            <w:tcW w:w="3965" w:type="pct"/>
            <w:gridSpan w:val="7"/>
            <w:tcBorders>
              <w:top w:val="single" w:sz="4" w:space="0" w:color="auto"/>
              <w:left w:val="single" w:sz="4" w:space="0" w:color="auto"/>
              <w:bottom w:val="single" w:sz="4" w:space="0" w:color="auto"/>
              <w:right w:val="single" w:sz="4" w:space="0" w:color="auto"/>
            </w:tcBorders>
            <w:hideMark/>
          </w:tcPr>
          <w:p w:rsidR="00CA419D" w:rsidRPr="00902555" w:rsidRDefault="00CA419D" w:rsidP="006269C7">
            <w:pPr>
              <w:widowControl/>
              <w:adjustRightInd w:val="0"/>
              <w:spacing w:after="200" w:line="276" w:lineRule="auto"/>
              <w:rPr>
                <w:rFonts w:eastAsia="MS Mincho"/>
                <w:sz w:val="16"/>
                <w:szCs w:val="16"/>
                <w:lang w:val="cs-CZ"/>
              </w:rPr>
            </w:pPr>
            <w:r w:rsidRPr="00902555">
              <w:rPr>
                <w:rFonts w:eastAsia="MS Mincho"/>
                <w:sz w:val="16"/>
                <w:szCs w:val="16"/>
                <w:lang w:val="cs-CZ"/>
              </w:rPr>
              <w:t>Poplatok za zabezpečenie kontinuity Služieb podpory v EUR bez DPH</w:t>
            </w:r>
          </w:p>
        </w:tc>
        <w:tc>
          <w:tcPr>
            <w:tcW w:w="1035" w:type="pct"/>
            <w:gridSpan w:val="2"/>
            <w:tcBorders>
              <w:top w:val="single" w:sz="4" w:space="0" w:color="auto"/>
              <w:left w:val="single" w:sz="4" w:space="0" w:color="auto"/>
              <w:bottom w:val="single" w:sz="4" w:space="0" w:color="auto"/>
              <w:right w:val="single" w:sz="4" w:space="0" w:color="auto"/>
            </w:tcBorders>
            <w:shd w:val="clear" w:color="auto" w:fill="D9D9D9"/>
          </w:tcPr>
          <w:p w:rsidR="00CA419D" w:rsidRPr="00902555" w:rsidRDefault="00CA419D" w:rsidP="006269C7">
            <w:pPr>
              <w:widowControl/>
              <w:adjustRightInd w:val="0"/>
              <w:spacing w:after="200" w:line="276" w:lineRule="auto"/>
              <w:jc w:val="right"/>
              <w:rPr>
                <w:rFonts w:eastAsia="MS Mincho"/>
                <w:sz w:val="16"/>
                <w:szCs w:val="16"/>
                <w:lang w:val="cs-CZ"/>
              </w:rPr>
            </w:pPr>
          </w:p>
        </w:tc>
      </w:tr>
    </w:tbl>
    <w:p w:rsidR="00CA419D" w:rsidRPr="00902555" w:rsidRDefault="00CA419D" w:rsidP="00CA419D">
      <w:pPr>
        <w:widowControl/>
        <w:tabs>
          <w:tab w:val="left" w:pos="1665"/>
        </w:tabs>
        <w:autoSpaceDE/>
        <w:autoSpaceDN/>
        <w:rPr>
          <w:rFonts w:eastAsia="Calibri"/>
          <w:sz w:val="20"/>
          <w:szCs w:val="20"/>
          <w:lang w:val="cs-CZ"/>
        </w:rPr>
      </w:pPr>
      <w:r w:rsidRPr="00902555">
        <w:rPr>
          <w:rFonts w:eastAsia="Calibri"/>
          <w:sz w:val="20"/>
          <w:szCs w:val="20"/>
          <w:lang w:val="cs-CZ"/>
        </w:rPr>
        <w:t>Vysvetlivky:</w:t>
      </w:r>
    </w:p>
    <w:p w:rsidR="00CA419D" w:rsidRPr="00902555" w:rsidRDefault="00CA419D" w:rsidP="00CA419D">
      <w:pPr>
        <w:widowControl/>
        <w:tabs>
          <w:tab w:val="left" w:pos="1665"/>
        </w:tabs>
        <w:autoSpaceDE/>
        <w:autoSpaceDN/>
        <w:rPr>
          <w:rFonts w:eastAsia="Calibri"/>
          <w:sz w:val="20"/>
          <w:szCs w:val="20"/>
          <w:lang w:val="cs-CZ"/>
        </w:rPr>
      </w:pPr>
      <w:r w:rsidRPr="00902555">
        <w:rPr>
          <w:rFonts w:eastAsia="Calibri"/>
          <w:sz w:val="20"/>
          <w:szCs w:val="20"/>
          <w:lang w:val="cs-CZ"/>
        </w:rPr>
        <w:t>TPP- Produkt tretej strany: „X“ znamená, že softvérový produkt je produkt tretej strany licencovaný od spoločnosti SAP</w:t>
      </w:r>
      <w:r w:rsidRPr="00902555">
        <w:rPr>
          <w:rFonts w:eastAsia="Calibri"/>
          <w:sz w:val="20"/>
          <w:szCs w:val="20"/>
          <w:lang w:val="cs-CZ"/>
        </w:rPr>
        <w:br/>
        <w:t>SAV – Hodnota aplikácie SAP: „X“ znamená, že daný produkt je súčasťou hodnoty aplikácie SAP a je teda relevantný pre runtime databázy licencované spoločnosťou SAP.</w:t>
      </w:r>
    </w:p>
    <w:p w:rsidR="00CA419D" w:rsidRPr="00902555" w:rsidRDefault="00CA419D" w:rsidP="00CA419D">
      <w:pPr>
        <w:widowControl/>
        <w:autoSpaceDE/>
        <w:autoSpaceDN/>
        <w:rPr>
          <w:rFonts w:eastAsia="Calibri"/>
          <w:lang w:val="cs-CZ"/>
        </w:rPr>
      </w:pPr>
      <w:r w:rsidRPr="00902555">
        <w:rPr>
          <w:rFonts w:eastAsia="Calibri"/>
          <w:sz w:val="20"/>
          <w:szCs w:val="20"/>
          <w:lang w:val="cs-CZ"/>
        </w:rPr>
        <w:t>HSAV – Hodnota HANA relevantných aplikácií SAP: „X“ znamená, že daný produkt je relevantný pre runtime HANA databázy licencované spoločnosťou SAP</w:t>
      </w:r>
    </w:p>
    <w:p w:rsidR="00CA419D" w:rsidRPr="00902555" w:rsidRDefault="00CA419D" w:rsidP="00CA419D">
      <w:pPr>
        <w:widowControl/>
        <w:autoSpaceDE/>
        <w:autoSpaceDN/>
        <w:rPr>
          <w:rFonts w:eastAsia="Calibri"/>
          <w:sz w:val="20"/>
          <w:szCs w:val="20"/>
          <w:lang w:val="cs-CZ"/>
        </w:rPr>
      </w:pPr>
    </w:p>
    <w:p w:rsidR="00CA419D" w:rsidRPr="00902555" w:rsidRDefault="00CA419D" w:rsidP="00CA419D">
      <w:pPr>
        <w:jc w:val="center"/>
        <w:rPr>
          <w:lang w:val="sk-SK"/>
        </w:rPr>
      </w:pPr>
    </w:p>
    <w:p w:rsidR="00CA419D" w:rsidRPr="00902555" w:rsidRDefault="00CA419D" w:rsidP="00CA419D">
      <w:pPr>
        <w:jc w:val="center"/>
        <w:rPr>
          <w:lang w:val="sk-SK"/>
        </w:rPr>
      </w:pPr>
    </w:p>
    <w:p w:rsidR="00967092" w:rsidRDefault="00967092"/>
    <w:sectPr w:rsidR="009670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2A4" w:rsidRDefault="003A52A4" w:rsidP="00C91EE4">
      <w:r>
        <w:separator/>
      </w:r>
    </w:p>
  </w:endnote>
  <w:endnote w:type="continuationSeparator" w:id="0">
    <w:p w:rsidR="003A52A4" w:rsidRDefault="003A52A4" w:rsidP="00C9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E4" w:rsidRDefault="00C91EE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E4" w:rsidRDefault="00C91EE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E4" w:rsidRDefault="00C91E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2A4" w:rsidRDefault="003A52A4" w:rsidP="00C91EE4">
      <w:r>
        <w:separator/>
      </w:r>
    </w:p>
  </w:footnote>
  <w:footnote w:type="continuationSeparator" w:id="0">
    <w:p w:rsidR="003A52A4" w:rsidRDefault="003A52A4" w:rsidP="00C91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E4" w:rsidRDefault="00C91EE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E4" w:rsidRDefault="00C91EE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E4" w:rsidRDefault="00C91EE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1606"/>
    <w:multiLevelType w:val="hybridMultilevel"/>
    <w:tmpl w:val="4B461F76"/>
    <w:lvl w:ilvl="0" w:tplc="704A6932">
      <w:numFmt w:val="bullet"/>
      <w:lvlText w:val="-"/>
      <w:lvlJc w:val="left"/>
      <w:pPr>
        <w:ind w:left="1318" w:hanging="360"/>
      </w:pPr>
      <w:rPr>
        <w:rFonts w:ascii="Arial" w:eastAsia="Arial" w:hAnsi="Arial" w:cs="Arial" w:hint="default"/>
        <w:w w:val="102"/>
        <w:sz w:val="21"/>
        <w:szCs w:val="21"/>
      </w:rPr>
    </w:lvl>
    <w:lvl w:ilvl="1" w:tplc="041B0003">
      <w:start w:val="1"/>
      <w:numFmt w:val="bullet"/>
      <w:lvlText w:val="o"/>
      <w:lvlJc w:val="left"/>
      <w:pPr>
        <w:ind w:left="2038" w:hanging="360"/>
      </w:pPr>
      <w:rPr>
        <w:rFonts w:ascii="Courier New" w:hAnsi="Courier New" w:cs="Courier New" w:hint="default"/>
      </w:rPr>
    </w:lvl>
    <w:lvl w:ilvl="2" w:tplc="041B0005">
      <w:start w:val="1"/>
      <w:numFmt w:val="bullet"/>
      <w:lvlText w:val=""/>
      <w:lvlJc w:val="left"/>
      <w:pPr>
        <w:ind w:left="2758" w:hanging="360"/>
      </w:pPr>
      <w:rPr>
        <w:rFonts w:ascii="Wingdings" w:hAnsi="Wingdings" w:hint="default"/>
      </w:rPr>
    </w:lvl>
    <w:lvl w:ilvl="3" w:tplc="041B0001">
      <w:start w:val="1"/>
      <w:numFmt w:val="bullet"/>
      <w:lvlText w:val=""/>
      <w:lvlJc w:val="left"/>
      <w:pPr>
        <w:ind w:left="3478" w:hanging="360"/>
      </w:pPr>
      <w:rPr>
        <w:rFonts w:ascii="Symbol" w:hAnsi="Symbol" w:hint="default"/>
      </w:rPr>
    </w:lvl>
    <w:lvl w:ilvl="4" w:tplc="041B0003">
      <w:start w:val="1"/>
      <w:numFmt w:val="bullet"/>
      <w:lvlText w:val="o"/>
      <w:lvlJc w:val="left"/>
      <w:pPr>
        <w:ind w:left="4198" w:hanging="360"/>
      </w:pPr>
      <w:rPr>
        <w:rFonts w:ascii="Courier New" w:hAnsi="Courier New" w:cs="Courier New" w:hint="default"/>
      </w:rPr>
    </w:lvl>
    <w:lvl w:ilvl="5" w:tplc="041B0005">
      <w:start w:val="1"/>
      <w:numFmt w:val="bullet"/>
      <w:lvlText w:val=""/>
      <w:lvlJc w:val="left"/>
      <w:pPr>
        <w:ind w:left="4918" w:hanging="360"/>
      </w:pPr>
      <w:rPr>
        <w:rFonts w:ascii="Wingdings" w:hAnsi="Wingdings" w:hint="default"/>
      </w:rPr>
    </w:lvl>
    <w:lvl w:ilvl="6" w:tplc="041B0001">
      <w:start w:val="1"/>
      <w:numFmt w:val="bullet"/>
      <w:lvlText w:val=""/>
      <w:lvlJc w:val="left"/>
      <w:pPr>
        <w:ind w:left="5638" w:hanging="360"/>
      </w:pPr>
      <w:rPr>
        <w:rFonts w:ascii="Symbol" w:hAnsi="Symbol" w:hint="default"/>
      </w:rPr>
    </w:lvl>
    <w:lvl w:ilvl="7" w:tplc="041B0003">
      <w:start w:val="1"/>
      <w:numFmt w:val="bullet"/>
      <w:lvlText w:val="o"/>
      <w:lvlJc w:val="left"/>
      <w:pPr>
        <w:ind w:left="6358" w:hanging="360"/>
      </w:pPr>
      <w:rPr>
        <w:rFonts w:ascii="Courier New" w:hAnsi="Courier New" w:cs="Courier New" w:hint="default"/>
      </w:rPr>
    </w:lvl>
    <w:lvl w:ilvl="8" w:tplc="041B0005">
      <w:start w:val="1"/>
      <w:numFmt w:val="bullet"/>
      <w:lvlText w:val=""/>
      <w:lvlJc w:val="left"/>
      <w:pPr>
        <w:ind w:left="7078" w:hanging="360"/>
      </w:pPr>
      <w:rPr>
        <w:rFonts w:ascii="Wingdings" w:hAnsi="Wingdings" w:hint="default"/>
      </w:rPr>
    </w:lvl>
  </w:abstractNum>
  <w:abstractNum w:abstractNumId="1" w15:restartNumberingAfterBreak="0">
    <w:nsid w:val="37185354"/>
    <w:multiLevelType w:val="multilevel"/>
    <w:tmpl w:val="5B12544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9D"/>
    <w:rsid w:val="003A52A4"/>
    <w:rsid w:val="00967092"/>
    <w:rsid w:val="00C91EE4"/>
    <w:rsid w:val="00CA41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CA419D"/>
    <w:pPr>
      <w:widowControl w:val="0"/>
      <w:autoSpaceDE w:val="0"/>
      <w:autoSpaceDN w:val="0"/>
      <w:spacing w:after="0" w:line="240" w:lineRule="auto"/>
    </w:pPr>
    <w:rPr>
      <w:rFonts w:ascii="Arial" w:eastAsia="Arial" w:hAnsi="Arial" w:cs="Aria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7">
    <w:name w:val="Mriežka tabuľky7"/>
    <w:basedOn w:val="Normlnatabuka"/>
    <w:next w:val="Mriekatabuky"/>
    <w:uiPriority w:val="59"/>
    <w:rsid w:val="00CA419D"/>
    <w:pPr>
      <w:spacing w:after="0" w:line="240" w:lineRule="auto"/>
    </w:pPr>
    <w:rPr>
      <w:rFonts w:ascii="Calibri" w:eastAsia="Calibri" w:hAnsi="Calibri" w:cs="Arial"/>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A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91EE4"/>
    <w:pPr>
      <w:tabs>
        <w:tab w:val="center" w:pos="4536"/>
        <w:tab w:val="right" w:pos="9072"/>
      </w:tabs>
    </w:pPr>
  </w:style>
  <w:style w:type="character" w:customStyle="1" w:styleId="HlavikaChar">
    <w:name w:val="Hlavička Char"/>
    <w:basedOn w:val="Predvolenpsmoodseku"/>
    <w:link w:val="Hlavika"/>
    <w:uiPriority w:val="99"/>
    <w:rsid w:val="00C91EE4"/>
    <w:rPr>
      <w:rFonts w:ascii="Arial" w:eastAsia="Arial" w:hAnsi="Arial" w:cs="Arial"/>
      <w:lang w:val="en-US"/>
    </w:rPr>
  </w:style>
  <w:style w:type="paragraph" w:styleId="Pta">
    <w:name w:val="footer"/>
    <w:basedOn w:val="Normlny"/>
    <w:link w:val="PtaChar"/>
    <w:uiPriority w:val="99"/>
    <w:unhideWhenUsed/>
    <w:rsid w:val="00C91EE4"/>
    <w:pPr>
      <w:tabs>
        <w:tab w:val="center" w:pos="4536"/>
        <w:tab w:val="right" w:pos="9072"/>
      </w:tabs>
    </w:pPr>
  </w:style>
  <w:style w:type="character" w:customStyle="1" w:styleId="PtaChar">
    <w:name w:val="Päta Char"/>
    <w:basedOn w:val="Predvolenpsmoodseku"/>
    <w:link w:val="Pta"/>
    <w:uiPriority w:val="99"/>
    <w:rsid w:val="00C91EE4"/>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2023-01-20T10:34:00Z</dcterms:created>
  <dcterms:modified xsi:type="dcterms:W3CDTF">2023-01-20T10:34:00Z</dcterms:modified>
</cp:coreProperties>
</file>