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744B" w14:textId="759FEB5A" w:rsidR="00841663" w:rsidRPr="00545A1F" w:rsidRDefault="00107570" w:rsidP="00CB1050">
      <w:pPr>
        <w:jc w:val="both"/>
        <w:rPr>
          <w:rFonts w:ascii="Times New Roman" w:hAnsi="Times New Roman"/>
          <w:b/>
          <w:bCs/>
          <w:u w:val="single"/>
        </w:rPr>
      </w:pPr>
      <w:r w:rsidRPr="00545A1F">
        <w:rPr>
          <w:rFonts w:ascii="Times New Roman" w:hAnsi="Times New Roman"/>
          <w:bCs/>
        </w:rPr>
        <w:t>Príloha č. 1 Zmluvy o poskytnutí NFP</w:t>
      </w:r>
      <w:r w:rsidR="00841663" w:rsidRPr="00545A1F">
        <w:rPr>
          <w:rFonts w:ascii="Times New Roman" w:hAnsi="Times New Roman"/>
          <w:bCs/>
        </w:rPr>
        <w:t xml:space="preserve"> </w:t>
      </w:r>
      <w:r w:rsidR="00826A33" w:rsidRPr="002F3661">
        <w:rPr>
          <w:rFonts w:ascii="Times New Roman" w:hAnsi="Times New Roman"/>
          <w:bCs/>
        </w:rPr>
        <w:t>k výzve IROP-PO2-SC214-2021-71</w:t>
      </w:r>
      <w:r w:rsidR="00826A33">
        <w:rPr>
          <w:rFonts w:ascii="Times New Roman" w:hAnsi="Times New Roman"/>
          <w:bCs/>
        </w:rPr>
        <w:t xml:space="preserve"> </w:t>
      </w:r>
      <w:r w:rsidR="00841663" w:rsidRPr="00545A1F">
        <w:rPr>
          <w:rFonts w:ascii="Times New Roman" w:hAnsi="Times New Roman"/>
          <w:bCs/>
        </w:rPr>
        <w:t xml:space="preserve">– </w:t>
      </w:r>
      <w:r w:rsidR="00D72FF2" w:rsidRPr="00545A1F">
        <w:rPr>
          <w:rFonts w:ascii="Times New Roman" w:hAnsi="Times New Roman"/>
          <w:bCs/>
        </w:rPr>
        <w:t>čl</w:t>
      </w:r>
      <w:r w:rsidR="008F36D6" w:rsidRPr="00545A1F">
        <w:rPr>
          <w:rFonts w:ascii="Times New Roman" w:hAnsi="Times New Roman"/>
          <w:bCs/>
        </w:rPr>
        <w:t>ánky</w:t>
      </w:r>
      <w:r w:rsidR="00D72FF2" w:rsidRPr="00545A1F">
        <w:rPr>
          <w:rFonts w:ascii="Times New Roman" w:hAnsi="Times New Roman"/>
          <w:bCs/>
        </w:rPr>
        <w:t xml:space="preserve"> 15 - 18</w:t>
      </w:r>
      <w:r w:rsidR="00826A33">
        <w:rPr>
          <w:rFonts w:ascii="Times New Roman" w:hAnsi="Times New Roman"/>
          <w:bCs/>
        </w:rPr>
        <w:t xml:space="preserve"> </w:t>
      </w:r>
    </w:p>
    <w:p w14:paraId="6878BA3E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15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ÚČtY PrijímateľA – OSOBITNÉ USTANOVENIA </w:t>
      </w:r>
    </w:p>
    <w:p w14:paraId="7A8DC0A0" w14:textId="2EE4B9FE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štátnej príspevkovej organizácie</w:t>
      </w:r>
      <w:r w:rsidR="0092418C" w:rsidRPr="00545A1F">
        <w:rPr>
          <w:b/>
          <w:bCs/>
          <w:sz w:val="22"/>
          <w:szCs w:val="22"/>
        </w:rPr>
        <w:t>, VÚC</w:t>
      </w:r>
      <w:r w:rsidR="00AA2EE0" w:rsidRPr="00545A1F">
        <w:rPr>
          <w:b/>
          <w:bCs/>
          <w:sz w:val="22"/>
          <w:szCs w:val="22"/>
        </w:rPr>
        <w:t>, subjektov zo súkromného sektora vrátane mimovládnych organizácií</w:t>
      </w:r>
      <w:r w:rsidR="0092418C" w:rsidRPr="00545A1F">
        <w:rPr>
          <w:b/>
          <w:bCs/>
          <w:sz w:val="22"/>
          <w:szCs w:val="22"/>
        </w:rPr>
        <w:t xml:space="preserve"> </w:t>
      </w:r>
      <w:r w:rsidR="00671E9C" w:rsidRPr="00545A1F">
        <w:rPr>
          <w:b/>
          <w:bCs/>
          <w:sz w:val="22"/>
          <w:szCs w:val="22"/>
        </w:rPr>
        <w:t xml:space="preserve">a účty </w:t>
      </w:r>
      <w:r w:rsidR="0092418C" w:rsidRPr="00545A1F">
        <w:rPr>
          <w:b/>
          <w:bCs/>
          <w:sz w:val="22"/>
          <w:szCs w:val="22"/>
        </w:rPr>
        <w:t xml:space="preserve">iného subjektu verejnej správy s výnimkou </w:t>
      </w:r>
      <w:r w:rsidR="00671E9C" w:rsidRPr="00545A1F">
        <w:rPr>
          <w:b/>
          <w:bCs/>
          <w:sz w:val="22"/>
          <w:szCs w:val="22"/>
        </w:rPr>
        <w:t>sub</w:t>
      </w:r>
      <w:r w:rsidR="00324D28" w:rsidRPr="00545A1F">
        <w:rPr>
          <w:b/>
          <w:bCs/>
          <w:sz w:val="22"/>
          <w:szCs w:val="22"/>
        </w:rPr>
        <w:t>jektov uvedených v</w:t>
      </w:r>
      <w:r w:rsidR="00357EB2" w:rsidRPr="00545A1F">
        <w:rPr>
          <w:b/>
          <w:bCs/>
          <w:sz w:val="22"/>
          <w:szCs w:val="22"/>
        </w:rPr>
        <w:t> </w:t>
      </w:r>
      <w:r w:rsidR="00324D28" w:rsidRPr="00545A1F">
        <w:rPr>
          <w:b/>
          <w:bCs/>
          <w:sz w:val="22"/>
          <w:szCs w:val="22"/>
        </w:rPr>
        <w:t>ods</w:t>
      </w:r>
      <w:r w:rsidR="008F36D6" w:rsidRPr="00545A1F">
        <w:rPr>
          <w:b/>
          <w:bCs/>
          <w:sz w:val="22"/>
          <w:szCs w:val="22"/>
        </w:rPr>
        <w:t>ekoch</w:t>
      </w:r>
      <w:r w:rsidR="00324D28" w:rsidRPr="00545A1F">
        <w:rPr>
          <w:b/>
          <w:bCs/>
          <w:sz w:val="22"/>
          <w:szCs w:val="22"/>
        </w:rPr>
        <w:t xml:space="preserve"> 2</w:t>
      </w:r>
      <w:r w:rsidR="008F36D6" w:rsidRPr="00545A1F">
        <w:rPr>
          <w:b/>
          <w:bCs/>
          <w:sz w:val="22"/>
          <w:szCs w:val="22"/>
        </w:rPr>
        <w:t>.</w:t>
      </w:r>
      <w:r w:rsidR="00324D28" w:rsidRPr="00545A1F">
        <w:rPr>
          <w:b/>
          <w:bCs/>
          <w:sz w:val="22"/>
          <w:szCs w:val="22"/>
        </w:rPr>
        <w:t xml:space="preserve"> až 4</w:t>
      </w:r>
      <w:r w:rsidR="008F36D6" w:rsidRPr="00545A1F">
        <w:rPr>
          <w:b/>
          <w:bCs/>
          <w:sz w:val="22"/>
          <w:szCs w:val="22"/>
        </w:rPr>
        <w:t>.</w:t>
      </w:r>
      <w:r w:rsidR="00671E9C" w:rsidRPr="00545A1F">
        <w:rPr>
          <w:b/>
          <w:bCs/>
          <w:sz w:val="22"/>
          <w:szCs w:val="22"/>
        </w:rPr>
        <w:t xml:space="preserve"> tohto článku VZP</w:t>
      </w:r>
    </w:p>
    <w:p w14:paraId="2B23ADBE" w14:textId="2845CACA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účet vedený v 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obce</w:t>
      </w:r>
    </w:p>
    <w:p w14:paraId="5EDF4711" w14:textId="45861113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vedený v 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36B6337D" w14:textId="1752EF91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rozpočtovej organizácie</w:t>
      </w:r>
      <w:r w:rsidR="00B60300" w:rsidRPr="00545A1F">
        <w:rPr>
          <w:b/>
          <w:bCs/>
          <w:sz w:val="22"/>
          <w:szCs w:val="22"/>
        </w:rPr>
        <w:t xml:space="preserve"> 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>pôsobnosti</w:t>
      </w:r>
      <w:r w:rsidR="00637205" w:rsidRPr="00545A1F">
        <w:rPr>
          <w:b/>
          <w:bCs/>
          <w:sz w:val="22"/>
          <w:szCs w:val="22"/>
        </w:rPr>
        <w:t xml:space="preserve">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06E213DC" w14:textId="0C97D29E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>účet (ďalej len „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prostredníctvom svojho rozpočtu. Číslo </w:t>
      </w:r>
      <w:r w:rsidR="00BB3ED5" w:rsidRPr="00545A1F">
        <w:rPr>
          <w:rFonts w:ascii="Times New Roman" w:hAnsi="Times New Roman"/>
          <w:lang w:eastAsia="sk-SK"/>
        </w:rPr>
        <w:t xml:space="preserve">osobitného </w:t>
      </w:r>
      <w:r w:rsidRPr="00545A1F">
        <w:rPr>
          <w:rFonts w:ascii="Times New Roman" w:hAnsi="Times New Roman"/>
          <w:lang w:eastAsia="sk-SK"/>
        </w:rPr>
        <w:t xml:space="preserve">účtu </w:t>
      </w:r>
      <w:r w:rsidR="0092418C" w:rsidRPr="00545A1F">
        <w:rPr>
          <w:rFonts w:ascii="Times New Roman" w:hAnsi="Times New Roman"/>
          <w:lang w:eastAsia="sk-SK"/>
        </w:rPr>
        <w:t xml:space="preserve">a 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="0092418C" w:rsidRPr="00545A1F">
        <w:rPr>
          <w:rFonts w:ascii="Times New Roman" w:hAnsi="Times New Roman"/>
          <w:lang w:eastAsia="sk-SK"/>
        </w:rPr>
        <w:t xml:space="preserve">rijímateľa </w:t>
      </w:r>
      <w:r w:rsidRPr="00545A1F">
        <w:rPr>
          <w:rFonts w:ascii="Times New Roman" w:hAnsi="Times New Roman"/>
          <w:lang w:eastAsia="sk-SK"/>
        </w:rPr>
        <w:t>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  <w:r w:rsidR="0092418C" w:rsidRPr="00545A1F">
        <w:rPr>
          <w:rFonts w:ascii="Times New Roman" w:hAnsi="Times New Roman"/>
          <w:lang w:eastAsia="sk-SK"/>
        </w:rPr>
        <w:t>A</w:t>
      </w:r>
      <w:r w:rsidRPr="00545A1F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zriaďovateľ dá pokyn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6F9B99C6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Účty príspevkovej organizácie </w:t>
      </w:r>
      <w:r w:rsidR="00B60300" w:rsidRPr="00545A1F">
        <w:rPr>
          <w:b/>
          <w:bCs/>
          <w:sz w:val="22"/>
          <w:szCs w:val="22"/>
        </w:rPr>
        <w:t>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 xml:space="preserve">pôsobnosti 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4129A75F" w14:textId="2169C814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ak príspevková organizácia ne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7606B223" w14:textId="25F9048A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 vedený v EUR.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redmet podpory).</w:t>
      </w:r>
    </w:p>
    <w:p w14:paraId="79ECE59E" w14:textId="39295AE6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ak príspevková organizácia 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1031D6D0" w14:textId="2ABC95B1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 w:rsidRPr="00545A1F">
        <w:rPr>
          <w:rFonts w:ascii="Times New Roman" w:hAnsi="Times New Roman"/>
          <w:lang w:eastAsia="sk-SK"/>
        </w:rPr>
        <w:t xml:space="preserve">5 </w:t>
      </w:r>
      <w:r w:rsidRPr="00545A1F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</w:t>
      </w:r>
      <w:r w:rsidRPr="00545A1F">
        <w:rPr>
          <w:rFonts w:ascii="Times New Roman" w:hAnsi="Times New Roman"/>
          <w:lang w:eastAsia="sk-SK"/>
        </w:rPr>
        <w:lastRenderedPageBreak/>
        <w:t xml:space="preserve">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630A9924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16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ÚČtY PrijímateľA – SPOLOČNÉ USTANOVENIA</w:t>
      </w:r>
    </w:p>
    <w:p w14:paraId="0568DF51" w14:textId="76299561" w:rsidR="00CB105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udržiavať účet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otvorený a nesmie ho zrušiť až do 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finančného ukončenia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prípade otvorenia účtu pre príjem NFP v komerčnej banke v zahraničí,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zodpovedá za úhradu všetkých nákladov spojených s realizáciou platieb na a z tohto účtu.</w:t>
      </w:r>
    </w:p>
    <w:p w14:paraId="6542B969" w14:textId="42498B0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má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poskytnutý úver na financovanie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zmena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možná až po písomnom súhlase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banky. Písomný súhlas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 podľa predchádzajúcej vety musí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doručiť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 dňa vykonania zmeny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</w:p>
    <w:p w14:paraId="4BCFD240" w14:textId="59AB5990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využitia systému refundácie môže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úhrady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aj z iných účtov otvorených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pri dodržaní podmienok existencie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Prijímateľ je povinný oznámiť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 identifikáciu týchto účtov.</w:t>
      </w:r>
    </w:p>
    <w:p w14:paraId="7EC1CAAC" w14:textId="686B953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poskytnutia NFP systémom refundácie sú úroky vzniknuté na účte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príjmom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6B891820" w14:textId="3E9606E0" w:rsidR="00A91910" w:rsidRPr="00545A1F" w:rsidRDefault="003726AF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je NFP poskytnutý systémom predfinancovania alebo zálohovej platby a takto poskytnuté prostriedky sú úročené,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otvoriť si ako účet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(ďalej len „osobitný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rojekt“)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 Prijímateľ je povinný výnosy z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prostriedkov na tomto osobitnom účte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vysporiadať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</w:p>
    <w:p w14:paraId="056F7658" w14:textId="71173E58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otvorenia 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a poskytovania NFP systémom predfinancovania alebo zálohovej platby,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ealizáciu aktivít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môžu prechádzať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takomto prípade 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pred vykonaním </w:t>
      </w:r>
      <w:r w:rsidR="00BB3ED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 záväzku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vložiť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tento osobitný účet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 predložiť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ako potvrdenie o prevode vlastných zdrojov. V prípade,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neprechádzajú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ku každému uhradenému výdavku doložiť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o úhrade vlastných </w:t>
      </w:r>
      <w:r w:rsidR="004A137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drojov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okrem prípadov,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sú zabezpečované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ecným príspevkom.</w:t>
      </w:r>
    </w:p>
    <w:p w14:paraId="201BC50B" w14:textId="098D7E57" w:rsidR="00781591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využitia systému zálohovej platby môže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špecifické typy výdavkov aj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E751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súlade s príslušnými ustanoveniami Systému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7705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6462FDE0" w14:textId="6C8E641C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iného účtu otvoreného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z ktorého realizuje špecifické typy výdavkov</w:t>
      </w:r>
      <w:r w:rsidR="002F6EB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Zoznam špecifických typov výdavkov uvedie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v 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žiadateľa, resp.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2DA36ACD" w14:textId="77777777" w:rsidR="004A1377" w:rsidRPr="00545A1F" w:rsidRDefault="004A1377" w:rsidP="004A1377">
      <w:pPr>
        <w:rPr>
          <w:lang w:eastAsia="x-none"/>
        </w:rPr>
      </w:pPr>
    </w:p>
    <w:p w14:paraId="44B27422" w14:textId="684AAE82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Oprávnený výdavok za podmienok definovaných v predchádzajúcom odseku vzniká prevodom príslušnej časti NFP z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iný účet otvorený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definovaný v predchádzajúcom odseku a </w:t>
      </w:r>
      <w:r w:rsidR="00E2343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úhradou záväzku</w:t>
      </w:r>
      <w:r w:rsidR="0078159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úhradou špecifického typu výdavku.</w:t>
      </w:r>
    </w:p>
    <w:p w14:paraId="0D1E1C90" w14:textId="78069DFD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realizuje prostredníctvom subjektu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úhrada oprávnených výdavkov môže byť realizovaná aj z účtov tohto subjektu pri dodržaní podmienky existencie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Zároveň subjekt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povinný realizovať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chválené oprávnené výdavky prostredníctvom rozpočtu. 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účtov, z ktorých realizuje úhradu Schválených oprávnených výdavkov za podmienky dodržania pravidiel vzťahujúcich sa na špecifické výdavky a úroky. </w:t>
      </w:r>
    </w:p>
    <w:p w14:paraId="0B0FD3CD" w14:textId="77777777" w:rsidR="004A1377" w:rsidRPr="00545A1F" w:rsidRDefault="004A1377" w:rsidP="004A1377">
      <w:pPr>
        <w:rPr>
          <w:lang w:eastAsia="x-none"/>
        </w:rPr>
      </w:pPr>
    </w:p>
    <w:p w14:paraId="573A7C7B" w14:textId="77777777" w:rsidR="00A91910" w:rsidRPr="00545A1F" w:rsidRDefault="00A91910" w:rsidP="004A1377">
      <w:pPr>
        <w:pStyle w:val="Nadpis1"/>
        <w:spacing w:before="0" w:after="24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>Článok 17a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PREDFINANCOVANIA</w:t>
      </w:r>
    </w:p>
    <w:p w14:paraId="79C64F0D" w14:textId="499D3A0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Systémom predfinancovania sa NFP, resp. jeho časť (ďalej aj „platba“) poskytuje na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právnené výdavky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 základe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predložených neuhradených účtovných dokladov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lehote splatnosti záväzku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na základe drobných hotovostných úhrad a / alebo hotovostných alebo bezhotovostných úhrad správcovi dane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vlastné zdroje prijímateľa môžu byť uhradené dodávateľovi projektu aj pred pripísaním finančných prostriedkov na účte prijímateľa za poskytnuté predfinancovanie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a detailné postupy realizácie platieb systémom 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905F8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financovania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ystému finančného riadenia, ktorý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mluvné strany zaväzujú dodržiavať. </w:t>
      </w:r>
    </w:p>
    <w:p w14:paraId="1AD9A625" w14:textId="4A59BE1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výlučne na základe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predfinancovania), predloženej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ačatí realizácie aktivít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a nadobudnutí účinnosti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Žiadosť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musí byť v súlade s rozpočtom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Prijímateľ v rámci formulára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uvedie nárokovanú sumu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finančných prostriedkov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podľa skupiny výdavkov uvedenej v prílohe č. </w:t>
      </w:r>
      <w:r w:rsidR="00904D3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3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(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ozpočet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rojektu).</w:t>
      </w:r>
    </w:p>
    <w:p w14:paraId="7C04870A" w14:textId="0E260B28" w:rsidR="004A1377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iadosťou o platbu (poskytnutie predfinancovania) predkladá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neuhradené účtovné doklady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faktúra, prípadne doklad rovnocennej dôkaznej hodnoty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ich kópia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a relevantnú podpornú dokumentáciu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jej kópiu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 to v lehote splatnosti týchto účtovných dokladov. Jeden rovnopis účtovných dokladov si ponecháva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rijímateľ. Ak sú súčasťou výdavkov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aj hotovostné úhrady, tieto výdavky zahrnie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predloží k nim príslušné účtovné doklady, ktoré potvrdzujú hotovostnú úhradu (napr. pokladničný blok). 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môže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predfinancovania) zahrnúť aj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hotovostnú a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lebo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bezhotovostnú úhradu daňovému úradu v prípade prenesenej daňovej povinnosti v súlade so zákonom č. 222/2004 Z. z. o dani z pridanej hodnoty v znení neskorších predpisov a pravidlami oprávnenosti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ktoré stanovuje Systém riadenia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EŠIF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432356D" w14:textId="27810D19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Prijímateľ je povinný uhradiť účtovné doklady súvisiace s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ealizáciou aktivít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5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 dňa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pripísania príslušnej platby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Úrok z omeškania </w:t>
      </w:r>
      <w:r w:rsidR="005D50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úhradou záväzku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voči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</w:t>
      </w:r>
      <w:r w:rsidR="0091448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znáša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rijímateľ.</w:t>
      </w:r>
    </w:p>
    <w:p w14:paraId="32F83184" w14:textId="77777777" w:rsidR="004A1377" w:rsidRPr="00545A1F" w:rsidRDefault="004A1377" w:rsidP="004A1377">
      <w:pPr>
        <w:rPr>
          <w:lang w:eastAsia="x-none"/>
        </w:rPr>
      </w:pPr>
    </w:p>
    <w:p w14:paraId="0044359D" w14:textId="5D9C0720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Po poskytnutí každej platby systémom predfinancovania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celú jej výšku zúčtovať, a to do 10 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 </w:t>
      </w:r>
      <w:r w:rsidR="00E2707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dňa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pripísania týchto prostriedkov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</w:p>
    <w:p w14:paraId="757FAC25" w14:textId="1CE05273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zúčtuje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predložením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predfinancovania), ktorú predkladá spolu s výpisom z účtu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potvrdzujúcim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príjem NFP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ako aj doklad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potvrdzujúc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skutočnú úhradu výdavkov deklarovaných v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predfinancovania)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– výpis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 účtu alebo prehlásen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predfinancovania)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uvedie aj výdavky viažuce sa na prípadné hotovostné </w:t>
      </w:r>
      <w:r w:rsidR="001D2CE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bezhotovostné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voči daňovému úradu v prípade prenesenej daňovej povinnosti v súlade so zákonom č. 222/2004 Z. z. o dani z pridanej hodnoty v znení neskorších predpisov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ktoré boli zahrnuté do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(poskytnutie predfinancovania)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nie je povinný opätovne predkladať tie isté doklady potvrdzujúce hotovostnú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bezhotovostnú úhradu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K jednej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 môže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predložiť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len jednu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predfinancovania).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9216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bolo predfinancovanie poskytnuté vo viacerých platbách, z dôvodu vyčlenenej časti nárokovaných finančných prostriedkov z predloženej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predfinancovania),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zúčtovať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každú jednu poskytnutú platbu predfinancovania samostatne (t.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j. predložiť samostatnú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– zúčtovanie predfinancovania).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Nezúčtovaný rozdiel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poskytnutého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predfinancovania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od uplynutia lehoty na zúčtovanie vrátiť na účet určený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oskytovateľom.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vrátenia nezúčtovaného rozdielu predfinancovania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stanovuje 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príslušná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4A320C1" w14:textId="754B429E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481D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nárokované finančné prostriedky / 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správnosť a kompletnosť údajov uvedených v týchto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akejkoľvek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dôjde k vyplateniu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schváleniu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platby,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dozvie,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4D67694C" w14:textId="5D07830A" w:rsidR="008A7C34" w:rsidRPr="00545A1F" w:rsidRDefault="008A7C34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8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80A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ly výkonu kontroly riadiť § 21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právnymi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032096E6" w14:textId="0B21EA57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F3FB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predfinancovania)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financovania) 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pokračovať v kontrole,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iť, a to v lehotách určených Systémom finančného 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iným právnym dokumentom.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predfinancovania)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predfinancovani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iba ak podá túto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 a 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1DC7ABE2" w14:textId="62AC98EA" w:rsidR="000D1AD5" w:rsidRPr="00545A1F" w:rsidRDefault="004E0031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Predfinancovanie sa poskytuje až do momentu dosiahnutia maximálne 100 % celkových oprávnených výdavkov na projekt. 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predfinancovania) predložená v rámci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plní funkciu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5831B78C" w14:textId="0AB14078" w:rsidR="009C2F7D" w:rsidRPr="00545A1F" w:rsidRDefault="000D1AD5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predfinancovania) obsahuje výdavky, ktoré sú predmetom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môže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dohode s platobnou jednotkou takúto žiadosť o platbu schváliť a uhradiť alebo pozastaví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schvaľovanie </w:t>
      </w:r>
      <w:r w:rsidR="00044FB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="00C10D5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výdavkov 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až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 času ukončenia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Ak sú výdavky, ktorých sa týka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zahrnuté do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predfinancovania)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celej takejto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(a to aj za výdavky, ktorých sa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netýka), a to až do času ukončenia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F2D1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 </w:t>
      </w:r>
    </w:p>
    <w:p w14:paraId="79FBC174" w14:textId="77777777" w:rsidR="009C2F7D" w:rsidRPr="00545A1F" w:rsidRDefault="009C2F7D" w:rsidP="00CB1050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17b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ZÁLOHOVÝCH PLATIEB</w:t>
      </w:r>
    </w:p>
    <w:p w14:paraId="1F9125C2" w14:textId="49FC079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NFP, resp. jeho časti (ďalej aj „platba“) systémom zálohových platieb na základe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zálohovej platby)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Žiados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ť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platbu 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zálohovej platby)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EUR.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a detailné postupy realizácie platieb systémom zálohových platieb 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kapitole Systému finančného riadenia, ktorý sa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3A8F4D0B" w14:textId="7F062226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po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nadobudnutí účinnosti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</w:t>
      </w:r>
      <w:r w:rsidR="00671E9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maximálne do výšky 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stanovenej v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Systéme finančného riadenia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4F8D9C94" w14:textId="00BD3741" w:rsidR="00A56561" w:rsidRPr="00545A1F" w:rsidRDefault="00A56561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Pravidlá pre výpočet maximálnej výšky zálohovej platby a pravidlá poskytnutia nasledujúcej zálohovej platby sú uvedené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kapitole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riadenia.</w:t>
      </w:r>
    </w:p>
    <w:p w14:paraId="1000F5F5" w14:textId="7DA9C8A2" w:rsidR="00A91910" w:rsidRPr="00545A1F" w:rsidRDefault="006E152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zálohovej platby je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jednu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poskytnutú zálohovú platbu priebežne zúčtovávať</w:t>
      </w:r>
      <w:r w:rsidR="00907D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ajneskôr do </w:t>
      </w:r>
      <w:r w:rsidR="00ED5BA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100 %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sumy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každej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jednej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poskytnutej zálohovej platby. </w:t>
      </w:r>
    </w:p>
    <w:p w14:paraId="6513A0F6" w14:textId="295912D4" w:rsidR="00A91910" w:rsidRPr="00545A1F" w:rsidRDefault="00CF2EE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ky podľa skupiny výdavkov v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zmysle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(zúčtovanie zálohovej platby)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účtovné doklady preukazujúc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(zúčtovanie zálohovej platby) a relevantnú podpornú dokumentáciu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B1E0CA8" w14:textId="436C018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Zálohovú platbu je možné zúčtovať predložením viacerých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iadostí o platbu (zúčtovanie zálohovej platby). Povinnosť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zúčtovať 100 %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sumy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každej 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poskytnutej zálohovej platby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 lehote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finančných prostriedkov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vzťahuje osobitne ku každej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poskytnutej zálohovej platbe, pričom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predkladanú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je potrebné priradiť k najstaršej poskytnutej nezúčtovanej zálohovej platbe.</w:t>
      </w:r>
    </w:p>
    <w:p w14:paraId="04EF34E5" w14:textId="59340EC7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oprávnený požiadať o ďalšiu zálohovú platbu najskôr súčasne s podaním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platby). Poskytovateľ zabezpečí poskytnutie platby na základe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zálohovej platby) až po schválení 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ertifikačným orgánom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ak nie je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oprávnený postupovať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3912904C" w14:textId="3D27D83D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predchádzajúca zálohová platba nebola poskytnutá v maximálnej možnej výške,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požiadať o ďalšiu zálohovú platbu vo výške súčtu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40% </w:t>
      </w:r>
      <w:bookmarkStart w:id="0" w:name="_GoBack"/>
      <w:bookmarkEnd w:id="0"/>
      <w:r w:rsidR="00AA703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 celkového NFP</w:t>
      </w:r>
      <w:r w:rsidR="007B6D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E05DBA8" w14:textId="43E94331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pred uplynutím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takto identifikovanú nezúčtovanú sumu zúčtovať predložením ďalšej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s výdavkami minimálne vo výške identifikovaných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eoprávnených výdavkov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 môže tento postup uplatniť do skončenia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-mesačnej lehoty na zúčtovanie; podrobnosti sú upravené v príslušnej kapitole Systému finančného riadenia.</w:t>
      </w:r>
    </w:p>
    <w:p w14:paraId="4AA575AB" w14:textId="1E6F7525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nezúčtuje 100 % poskytnutej zálohovej platby do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účet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21677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ani využitím možnosti podľa predchádzajúceho odseku VZP,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vrátiť sumu nezúčtovaného rozdielu na účet určený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oskytovateľom.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3BAAE9B4" w14:textId="5D28D670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až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vrátiť sumu nezúčtovaného rozdielu poskytnutej zálohovej platby v súlade s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412654D2" w14:textId="128875AA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iadostiach o platbu uvádzať výlučne 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pravdivosť,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správnosť a kompletnosť údajov uvedených v 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dôjde k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vyplateniu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schváleniu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platby,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 </w:t>
      </w:r>
    </w:p>
    <w:p w14:paraId="2C347004" w14:textId="30AEC008" w:rsidR="001E030D" w:rsidRPr="00545A1F" w:rsidRDefault="001E030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47F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696A4B9B" w14:textId="4788DF04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0507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schváli v plnej výške, schváli v zníženej výške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pozastaví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zálohovej platby)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pokračovať v kontrole, 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iť, a to v lehotách určených Systémom finančného riadenia, resp. vo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ýnimke.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iba ak podá túto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poskytovateľa a 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091B7AE3" w14:textId="31C4CB79" w:rsidR="00A91910" w:rsidRPr="00545A1F" w:rsidRDefault="00DF6B24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Zálohové platby sa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poskytujú až do dosiahnutia maximálne 100 % aktuálnej výšky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Po poskytnutí poslednej zálohovej platby je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celý zostatok NFP postupom podľa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4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až 1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2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predložená v rámci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plní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funkciu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21C5C007" w14:textId="0F70DBED" w:rsidR="009C2F7D" w:rsidRPr="00545A1F" w:rsidRDefault="009C2F7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zúčtovanie zálohovej platby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pozastav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schvaľovanie 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 až do času ukončenia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skúmania. </w:t>
      </w:r>
    </w:p>
    <w:p w14:paraId="1DCB6544" w14:textId="254FFA93" w:rsidR="00DF1B47" w:rsidRPr="00545A1F" w:rsidRDefault="00C75832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poskytnúť ďalšiu zálohovú platbu aj bez predchádzajúceho schválenia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zálohovej platby) v súlade s Výnimkou zo Systému finančného riadenia štrukturálnych fondov, Kohézneho fondu a Európskeho námorného a rybárskeho fondu na programové obdobie 2014 – 2020 zo dňa 08.04.2020. 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Postup podľa predchádzajúcej vety je časovo obmedzený na platnosť uvedenej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ýnimky.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1EF8AF8E" w14:textId="5212B577" w:rsidR="00DF1B47" w:rsidRPr="00545A1F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došlo k márnemu uplynutiu pôvodne dohodnutej 9-mesačnej lehoty na zúčtovanie zálohovej platby, ktorá Systémom finančného riadenia predĺžila na 12 mesiacov,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nepovažuje sa to za omeškanie 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545A1F" w:rsidRDefault="00DF1B47" w:rsidP="00CB1050">
      <w:pPr>
        <w:pStyle w:val="Odsekzoznamu1"/>
        <w:spacing w:after="200" w:line="276" w:lineRule="auto"/>
        <w:jc w:val="both"/>
        <w:rPr>
          <w:sz w:val="22"/>
          <w:szCs w:val="22"/>
        </w:rPr>
      </w:pPr>
    </w:p>
    <w:p w14:paraId="7E461B78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17c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REFUNDÁCIE</w:t>
      </w:r>
    </w:p>
    <w:p w14:paraId="6298D5F5" w14:textId="738EC517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poskytovanie NFP, resp. jeho časti (ďalej aj „platba“) systémom refundácie,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uhradiť výdavky z vlastných zdrojov a tie mu budú pri jednotlivých platbách refundované v pomernej výške k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elkovým oprávneným výdavkom.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Podrobnosti a detailné postupy realizácie platieb systémom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refundácie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sú upravené v</w:t>
      </w:r>
      <w:r w:rsidR="0063720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kapitole Systému finančného riadenia, ktorý sa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06B404C2" w14:textId="0DA43865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systémom refundácie výlučne na základe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ktorú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predkladá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9950F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po nadobudnutí účinnosti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FEA74ED" w14:textId="0818FA55" w:rsidR="00A91910" w:rsidRPr="00545A1F" w:rsidRDefault="00E34019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výdavky podľa skupiny výdavkov v zmysle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NFP.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spolu so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predložiť aj účtovné doklady preukazujúc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a relevantnú podpornú dokumentáciu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minimálny </w:t>
      </w:r>
      <w:r w:rsidR="007D580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ozsah stanovuje Systém riadenia EŠIF 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</w:t>
      </w:r>
    </w:p>
    <w:p w14:paraId="592D69AE" w14:textId="2FF2BBA3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správnosť a kompletnosť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 platbu dôjde k vyplateniu platby,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</w:t>
      </w:r>
    </w:p>
    <w:p w14:paraId="7E0C8E35" w14:textId="3300C3DB" w:rsidR="006338C6" w:rsidRPr="00545A1F" w:rsidRDefault="00B878E5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D7C9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SR, právnymi aktmi EÚ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5508F56" w14:textId="12B33A07" w:rsidR="002145FE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4E3D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časť nárokovaných výdavkov,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pri 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je potrebné pokračovať v kontrole, môže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</w:t>
      </w:r>
      <w:r w:rsidR="00FC205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v lehotách určených Systémom finančného riadenia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iným právnym dokumentovm.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vyplatenie platby iba ak podá úplnú a správnu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adosť o platbu, a to až v momente schválenia súhrnnej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orgánom, a to len v rozsahu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oprávnených výdavkov zo strany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E3D3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73EEC875" w14:textId="03101D03" w:rsidR="00E206A6" w:rsidRPr="00545A1F" w:rsidRDefault="00E206A6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obsahuje výdavky, ktoré sú predmetom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dotknutých výdavkov až do času ukončenia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E344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</w:t>
      </w:r>
    </w:p>
    <w:p w14:paraId="48D36461" w14:textId="77777777" w:rsidR="001C6578" w:rsidRPr="00545A1F" w:rsidRDefault="001C6578" w:rsidP="00CB1050">
      <w:pPr>
        <w:pStyle w:val="Odsekzoznamu1"/>
        <w:spacing w:after="200" w:line="276" w:lineRule="auto"/>
        <w:jc w:val="both"/>
        <w:rPr>
          <w:b/>
          <w:bCs/>
          <w:caps/>
        </w:rPr>
      </w:pPr>
    </w:p>
    <w:p w14:paraId="70BEBCEB" w14:textId="2CF4C9E9" w:rsidR="00A91910" w:rsidRPr="00545A1F" w:rsidRDefault="00A91910" w:rsidP="00CB1050">
      <w:pPr>
        <w:pStyle w:val="Nadpis1"/>
        <w:tabs>
          <w:tab w:val="left" w:pos="1701"/>
        </w:tabs>
        <w:spacing w:before="0" w:after="200" w:line="276" w:lineRule="auto"/>
        <w:ind w:left="1701" w:hanging="1701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Článok 18 </w:t>
      </w:r>
      <w:r w:rsidR="006E2CB0" w:rsidRPr="00545A1F">
        <w:rPr>
          <w:rFonts w:ascii="Times New Roman" w:hAnsi="Times New Roman"/>
          <w:caps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SPOLOČNÉ USTANOVENIA PRE VŠETKY SYSTÉMY FINANCOVANIA A PRIJÍMATEĽOV</w:t>
      </w:r>
    </w:p>
    <w:p w14:paraId="3E1C530D" w14:textId="7241320B" w:rsidR="00A91910" w:rsidRPr="00545A1F" w:rsidRDefault="006E2CB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Deň pripísania platby na účet 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sa považuje za deň čerpania NFP, resp. jeho časti. </w:t>
      </w:r>
    </w:p>
    <w:p w14:paraId="393270CF" w14:textId="00C5E667" w:rsidR="00A91910" w:rsidRPr="00545A1F" w:rsidRDefault="00F63144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nie je možné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predložiť elektronicky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cez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ITMS2014+, je 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oprávnený predložiť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aj v listinnej forme (účtovné doklady, výpisy z účtu, podporná dokumentácia vo forme rovnopisov originálov alebo ich kópie).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0E9B53F" w14:textId="3F501DA9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Jednotlivé systémy financovania sa môžu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kombinovať.</w:t>
      </w:r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Kombinácia všetkých troch systémov financovania (systém zálohových platieb, systém predfinancovania a systém refundácie navzájom) je možná pre všetkých prijímateľov, za dodržania podmienok definovaných v Systéme finančného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22FE6897" w14:textId="5D3C35AB" w:rsidR="00D93041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kombinácie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 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sa na určenie práv a povinností zmluvných strán súčasne použijú ustanovenia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17a až 17c VZP pre dané systémy financovania a daného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vo vzájomnej kombinácii.</w:t>
      </w:r>
    </w:p>
    <w:p w14:paraId="05C5E687" w14:textId="7F8EB58E" w:rsidR="001B1F4E" w:rsidRPr="00545A1F" w:rsidRDefault="00A91910" w:rsidP="003F4729">
      <w:pPr>
        <w:pStyle w:val="Nadpis2"/>
        <w:numPr>
          <w:ilvl w:val="0"/>
          <w:numId w:val="74"/>
        </w:numPr>
        <w:spacing w:before="0" w:after="200" w:line="276" w:lineRule="auto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dôjde ku kombinácií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jednotlivé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predkladať len na jeden z uvedených systémov, tzn. že napr. výdavky realizované z poskytnutých zálohových platieb nemôže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kombinovať spolu s výdavkami uplatňovanými systémom refundácie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výdavkami uplatňovanými systémom predfinancovania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rámci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V takom prípade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predkladá 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a 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(priebežná platba – refundácia)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 samostatne žiadosť o platbu (zúčtovanie predfinancovania)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použití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troch systémov financovania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>v rámci jedného projektu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prijímateľ oznámi identifikované rozpočtové položky projektu poskytovateľovi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tak, že je jednoznačne určené, ktoré konkrétne výdavky budú deklarované ktorým systémom financovania. Pri kombinácii dvoch alebo viacerých systémov financovania sa predkladá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(s príznakom záverečná) len za jeden z využitých systémov.</w:t>
      </w:r>
    </w:p>
    <w:p w14:paraId="169ACBFE" w14:textId="44E5AA15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obsahuje aj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na financovanie nad rámec finančnej medzery, je tieto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uhrádzať pomerne z každého účtovného dokladu podľa pomeru stanoveného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3.1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c) zmluvy, pričom vecne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hradí z vlastných zdrojov. </w:t>
      </w:r>
    </w:p>
    <w:p w14:paraId="4B90824D" w14:textId="4F3AAC22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oprávnený zvýšiť alebo znížiť výšku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z technických dôvodov na strane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maximálne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 výške 0,01% z  výšky NFP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uvedenej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mluve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 rámci 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adosti o platbu. Ustanovenie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3.2 zmluvy týmto nie je dotknuté.</w:t>
      </w:r>
    </w:p>
    <w:p w14:paraId="126C7A48" w14:textId="0659D4F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Suma </w:t>
      </w:r>
      <w:r w:rsidR="00EC00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neprevyšujúca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40 EUR podľa § 33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2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môže tieto čiastkové sumy kumulovať a pri prekročení sumy 40 EUR vymáhať priebežne alebo až pri poslednom zúčtovaní zálohovej platby alebo poskytnutého predfinancovania.   </w:t>
      </w:r>
    </w:p>
    <w:p w14:paraId="0625583E" w14:textId="116F3CA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záväzný, ako to vyplýva aj z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3.3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d)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mluvy. Tento dokument zároveň slúži pre potreby výkladu príslušných ustanovení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NFP, resp. práv a povinností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mluvných strán.</w:t>
      </w:r>
    </w:p>
    <w:p w14:paraId="40E04881" w14:textId="15195C7E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účely tejto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za úhradu účtovných dokladov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 môže považovať aj:</w:t>
      </w:r>
    </w:p>
    <w:p w14:paraId="774A47DD" w14:textId="2AB07512" w:rsidR="00A91910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účtovných dokladov postupníkovi, v prípade, že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4E87ED02" w14:textId="77777777" w:rsidR="004A1377" w:rsidRPr="00545A1F" w:rsidRDefault="004A1377" w:rsidP="004A1377">
      <w:pPr>
        <w:rPr>
          <w:lang w:eastAsia="x-none"/>
        </w:rPr>
      </w:pPr>
    </w:p>
    <w:p w14:paraId="77B3E2AA" w14:textId="71E08FE7" w:rsidR="00510D6A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záložnému veriteľovi na základe výkonu záložného práva na pohľadávku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4B0B9DDA" w14:textId="18EA6C9F" w:rsidR="00637205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oprávnenej osobe na základe výkonu rozhodnutia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odávateľovi v zmysle právnych predpisov SR,</w:t>
      </w:r>
    </w:p>
    <w:p w14:paraId="7CA9B9E7" w14:textId="53EA4326" w:rsidR="00D93041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započítanie pohľadávok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bchodného  zákonníka</w:t>
      </w:r>
      <w:r w:rsidR="00D93041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,</w:t>
      </w:r>
    </w:p>
    <w:p w14:paraId="17B3850C" w14:textId="46C0A641" w:rsidR="00637205" w:rsidRPr="00545A1F" w:rsidRDefault="00D93041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color w:val="000000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nemôže splniť svoj záväzok veriteľovi, pretože veriteľ je neprítomný alebo je v omeškaní alebo 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má odôvodnené pochybnosti, kto je veriteľom, alebo veriteľa 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lastRenderedPageBreak/>
        <w:t xml:space="preserve">nepozná, nastávajú účinky splnenia záväzku, ak jeho predmet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rijímateľ uloží do notárskej úschovy na účely splnenia záväzku. Vynaložené potrebné náklady s tým spojené znáša veriteľ</w:t>
      </w:r>
      <w:r w:rsidR="00A91910" w:rsidRPr="00545A1F">
        <w:rPr>
          <w:rFonts w:ascii="Times New Roman" w:hAnsi="Times New Roman"/>
          <w:color w:val="000000"/>
          <w:lang w:val="sk-SK"/>
        </w:rPr>
        <w:t>.</w:t>
      </w:r>
    </w:p>
    <w:p w14:paraId="7661140F" w14:textId="270AA7CF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prípade, že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predloží aj dokumenty  preukazujúce postúpenie pohľadávky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odávateľa na postupníka.</w:t>
      </w:r>
    </w:p>
    <w:p w14:paraId="3A4BEEC4" w14:textId="17D9431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záložnému veriteľovi pri výkone záložného práva na pohľadávku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vznik záložného práva.</w:t>
      </w:r>
    </w:p>
    <w:p w14:paraId="0E13B291" w14:textId="07F5A238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na základe výkonu rozhodnutia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odávateľovi v 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Prijímateľ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výkon rozhodnutia (napr. exekučný príkaz, vykonateľné rozhodnutie).</w:t>
      </w:r>
    </w:p>
    <w:p w14:paraId="28F10768" w14:textId="13B5ABF0" w:rsidR="00F43166" w:rsidRPr="00545A1F" w:rsidRDefault="00F43166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(veriteľovi) na základe uloženia predmetu záväzku medzi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a veriteľom do notárskej úschovy v 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predloží 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notársku zápisnicu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 dokumenty preukazujúce vykonanie uloženia predmetu záväzku do notárskej úschovy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AA68C5E" w14:textId="5CAEF581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započítania pohľadávok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bchodného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doklady preukazujúce započítanie pohľadávok.</w:t>
      </w:r>
    </w:p>
    <w:p w14:paraId="303B2E19" w14:textId="64AA55C6" w:rsidR="0010757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Ustanovenia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nevzťahujú na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ktorý by sa pri aplikácii niektorého z vyššie uvedených postupov dostal do rozporu s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rávnymi predpismi SR (napr. so zákonom o rozpočtových pravidlách a pod.). Ustanovenia tohto článku sa zároveň nevzťahujú ani na pohľadávku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7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Pr="00545A1F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lang w:val="sk-SK"/>
        </w:rPr>
        <w:t xml:space="preserve"> </w:t>
      </w:r>
    </w:p>
    <w:sectPr w:rsidR="00107570" w:rsidRPr="00545A1F" w:rsidSect="00D72FF2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43EA9" w16cid:durableId="1FFB129F"/>
  <w16cid:commentId w16cid:paraId="45C4C178" w16cid:durableId="1FFB12A0"/>
  <w16cid:commentId w16cid:paraId="283EFDE6" w16cid:durableId="1FFB12A1"/>
  <w16cid:commentId w16cid:paraId="139F2A36" w16cid:durableId="1FFB12A2"/>
  <w16cid:commentId w16cid:paraId="14639028" w16cid:durableId="1FFB12A3"/>
  <w16cid:commentId w16cid:paraId="5C23224C" w16cid:durableId="1FFB1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0125" w14:textId="77777777" w:rsidR="00145807" w:rsidRDefault="00145807" w:rsidP="00107570">
      <w:pPr>
        <w:spacing w:after="0" w:line="240" w:lineRule="auto"/>
      </w:pPr>
      <w:r>
        <w:separator/>
      </w:r>
    </w:p>
  </w:endnote>
  <w:endnote w:type="continuationSeparator" w:id="0">
    <w:p w14:paraId="39AF70E0" w14:textId="77777777" w:rsidR="00145807" w:rsidRDefault="00145807" w:rsidP="00107570">
      <w:pPr>
        <w:spacing w:after="0" w:line="240" w:lineRule="auto"/>
      </w:pPr>
      <w:r>
        <w:continuationSeparator/>
      </w:r>
    </w:p>
  </w:endnote>
  <w:endnote w:type="continuationNotice" w:id="1">
    <w:p w14:paraId="3D09B842" w14:textId="77777777" w:rsidR="00145807" w:rsidRDefault="00145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ECB" w14:textId="7D7BD8EF" w:rsidR="006E2CB0" w:rsidRPr="00BF6236" w:rsidRDefault="00826A33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 w:rsidRPr="002F3661">
      <w:rPr>
        <w:bCs/>
      </w:rPr>
      <w:t>IROP-PO2-SC214-2021-71</w:t>
    </w:r>
    <w:r w:rsidR="006E2CB0">
      <w:rPr>
        <w:sz w:val="22"/>
        <w:lang w:val="sk-SK"/>
      </w:rPr>
      <w:tab/>
    </w:r>
    <w:r w:rsidR="006E2CB0">
      <w:rPr>
        <w:sz w:val="22"/>
        <w:lang w:val="sk-SK"/>
      </w:rPr>
      <w:tab/>
    </w:r>
    <w:r w:rsidR="006E2CB0">
      <w:rPr>
        <w:sz w:val="22"/>
        <w:lang w:val="sk-SK"/>
      </w:rPr>
      <w:tab/>
    </w:r>
    <w:r w:rsidR="006E2CB0" w:rsidRPr="00BF6236">
      <w:rPr>
        <w:sz w:val="22"/>
        <w:lang w:val="sk-SK"/>
      </w:rPr>
      <w:t xml:space="preserve">Strana </w:t>
    </w:r>
    <w:r w:rsidR="006E2CB0" w:rsidRPr="00BF6236">
      <w:rPr>
        <w:b/>
        <w:bCs/>
        <w:sz w:val="22"/>
      </w:rPr>
      <w:fldChar w:fldCharType="begin"/>
    </w:r>
    <w:r w:rsidR="006E2CB0" w:rsidRPr="00BF6236">
      <w:rPr>
        <w:b/>
        <w:bCs/>
        <w:sz w:val="22"/>
      </w:rPr>
      <w:instrText>PAGE</w:instrText>
    </w:r>
    <w:r w:rsidR="006E2CB0" w:rsidRPr="00BF6236">
      <w:rPr>
        <w:b/>
        <w:bCs/>
        <w:sz w:val="22"/>
      </w:rPr>
      <w:fldChar w:fldCharType="separate"/>
    </w:r>
    <w:r>
      <w:rPr>
        <w:b/>
        <w:bCs/>
        <w:noProof/>
        <w:sz w:val="22"/>
      </w:rPr>
      <w:t>10</w:t>
    </w:r>
    <w:r w:rsidR="006E2CB0" w:rsidRPr="00BF6236">
      <w:rPr>
        <w:b/>
        <w:bCs/>
        <w:sz w:val="22"/>
      </w:rPr>
      <w:fldChar w:fldCharType="end"/>
    </w:r>
    <w:r w:rsidR="006E2CB0" w:rsidRPr="00BF6236">
      <w:rPr>
        <w:sz w:val="22"/>
        <w:lang w:val="sk-SK"/>
      </w:rPr>
      <w:t xml:space="preserve"> z </w:t>
    </w:r>
    <w:r w:rsidR="006E2CB0" w:rsidRPr="00BF6236">
      <w:rPr>
        <w:b/>
        <w:bCs/>
        <w:sz w:val="22"/>
      </w:rPr>
      <w:fldChar w:fldCharType="begin"/>
    </w:r>
    <w:r w:rsidR="006E2CB0" w:rsidRPr="00BF6236">
      <w:rPr>
        <w:b/>
        <w:bCs/>
        <w:sz w:val="22"/>
      </w:rPr>
      <w:instrText>NUMPAGES</w:instrText>
    </w:r>
    <w:r w:rsidR="006E2CB0" w:rsidRPr="00BF6236">
      <w:rPr>
        <w:b/>
        <w:bCs/>
        <w:sz w:val="22"/>
      </w:rPr>
      <w:fldChar w:fldCharType="separate"/>
    </w:r>
    <w:r>
      <w:rPr>
        <w:b/>
        <w:bCs/>
        <w:noProof/>
        <w:sz w:val="22"/>
      </w:rPr>
      <w:t>10</w:t>
    </w:r>
    <w:r w:rsidR="006E2CB0" w:rsidRPr="00BF6236">
      <w:rPr>
        <w:b/>
        <w:bCs/>
        <w:sz w:val="22"/>
      </w:rPr>
      <w:fldChar w:fldCharType="end"/>
    </w:r>
  </w:p>
  <w:p w14:paraId="32C39BC7" w14:textId="77777777" w:rsidR="006E2CB0" w:rsidRPr="009E45B1" w:rsidRDefault="006E2CB0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D19E" w14:textId="538D826E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826A33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826A33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6E2CB0" w:rsidRDefault="006E2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0B82" w14:textId="77777777" w:rsidR="00145807" w:rsidRDefault="00145807" w:rsidP="00107570">
      <w:pPr>
        <w:spacing w:after="0" w:line="240" w:lineRule="auto"/>
      </w:pPr>
      <w:r>
        <w:separator/>
      </w:r>
    </w:p>
  </w:footnote>
  <w:footnote w:type="continuationSeparator" w:id="0">
    <w:p w14:paraId="5B63DFD5" w14:textId="77777777" w:rsidR="00145807" w:rsidRDefault="00145807" w:rsidP="00107570">
      <w:pPr>
        <w:spacing w:after="0" w:line="240" w:lineRule="auto"/>
      </w:pPr>
      <w:r>
        <w:continuationSeparator/>
      </w:r>
    </w:p>
  </w:footnote>
  <w:footnote w:type="continuationNotice" w:id="1">
    <w:p w14:paraId="01DF8D44" w14:textId="77777777" w:rsidR="00145807" w:rsidRDefault="001458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736604E"/>
    <w:multiLevelType w:val="multilevel"/>
    <w:tmpl w:val="692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C73894"/>
    <w:multiLevelType w:val="hybridMultilevel"/>
    <w:tmpl w:val="B78C10FA"/>
    <w:lvl w:ilvl="0" w:tplc="1C2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77DB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A376E"/>
    <w:multiLevelType w:val="hybridMultilevel"/>
    <w:tmpl w:val="8D2EA1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0A26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1C0AE74">
      <w:start w:val="1"/>
      <w:numFmt w:val="lowerRoman"/>
      <w:lvlText w:val="(%3)"/>
      <w:lvlJc w:val="left"/>
      <w:pPr>
        <w:ind w:left="303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CE4599"/>
    <w:multiLevelType w:val="hybridMultilevel"/>
    <w:tmpl w:val="53ECF96E"/>
    <w:lvl w:ilvl="0" w:tplc="1AC2C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C7A6D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253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AC649DC"/>
    <w:multiLevelType w:val="multilevel"/>
    <w:tmpl w:val="36D045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9" w15:restartNumberingAfterBreak="0">
    <w:nsid w:val="1C3427CA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685486"/>
    <w:multiLevelType w:val="hybridMultilevel"/>
    <w:tmpl w:val="EC9A8B58"/>
    <w:lvl w:ilvl="0" w:tplc="9E86E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127B1"/>
    <w:multiLevelType w:val="hybridMultilevel"/>
    <w:tmpl w:val="83C6DA88"/>
    <w:lvl w:ilvl="0" w:tplc="BD46A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6F13637"/>
    <w:multiLevelType w:val="multilevel"/>
    <w:tmpl w:val="A8848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687324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61BB3"/>
    <w:multiLevelType w:val="hybridMultilevel"/>
    <w:tmpl w:val="AE045AEC"/>
    <w:lvl w:ilvl="0" w:tplc="AA60C60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9E6AC5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C464142"/>
    <w:multiLevelType w:val="hybridMultilevel"/>
    <w:tmpl w:val="8B4443D2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E45B10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869F0"/>
    <w:multiLevelType w:val="hybridMultilevel"/>
    <w:tmpl w:val="BF2A3BA4"/>
    <w:lvl w:ilvl="0" w:tplc="5BA68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D2E4E"/>
    <w:multiLevelType w:val="hybridMultilevel"/>
    <w:tmpl w:val="536A6EC8"/>
    <w:lvl w:ilvl="0" w:tplc="377609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E050A"/>
    <w:multiLevelType w:val="hybridMultilevel"/>
    <w:tmpl w:val="3FD68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720ED"/>
    <w:multiLevelType w:val="hybridMultilevel"/>
    <w:tmpl w:val="AA786EE0"/>
    <w:lvl w:ilvl="0" w:tplc="C7A6D8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DF3A12"/>
    <w:multiLevelType w:val="hybridMultilevel"/>
    <w:tmpl w:val="02E203E0"/>
    <w:lvl w:ilvl="0" w:tplc="DB90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0F52FE"/>
    <w:multiLevelType w:val="multilevel"/>
    <w:tmpl w:val="43881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6FA250A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DA72BE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13284"/>
    <w:multiLevelType w:val="hybridMultilevel"/>
    <w:tmpl w:val="40CE6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500A649D"/>
    <w:multiLevelType w:val="hybridMultilevel"/>
    <w:tmpl w:val="B052B818"/>
    <w:lvl w:ilvl="0" w:tplc="EFBC9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76D64"/>
    <w:multiLevelType w:val="hybridMultilevel"/>
    <w:tmpl w:val="E5429ECE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2" w15:restartNumberingAfterBreak="0">
    <w:nsid w:val="5AB809F2"/>
    <w:multiLevelType w:val="hybridMultilevel"/>
    <w:tmpl w:val="E9F60096"/>
    <w:lvl w:ilvl="0" w:tplc="FD6CC19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A29F82">
      <w:start w:val="1"/>
      <w:numFmt w:val="decimal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5CA45C78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4" w15:restartNumberingAfterBreak="0">
    <w:nsid w:val="5E6A4C7C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F3B2EE5"/>
    <w:multiLevelType w:val="hybridMultilevel"/>
    <w:tmpl w:val="6FA6A7D2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5FAA44D8"/>
    <w:multiLevelType w:val="hybridMultilevel"/>
    <w:tmpl w:val="112C43A0"/>
    <w:lvl w:ilvl="0" w:tplc="674C3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8B8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63" w15:restartNumberingAfterBreak="0">
    <w:nsid w:val="708E34E8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674021F"/>
    <w:multiLevelType w:val="hybridMultilevel"/>
    <w:tmpl w:val="4C466B80"/>
    <w:lvl w:ilvl="0" w:tplc="FA3A1E7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6239E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45B47"/>
    <w:multiLevelType w:val="hybridMultilevel"/>
    <w:tmpl w:val="66703FC6"/>
    <w:lvl w:ilvl="0" w:tplc="FE20A65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D62020">
      <w:numFmt w:val="none"/>
      <w:lvlText w:val=""/>
      <w:lvlJc w:val="left"/>
      <w:pPr>
        <w:tabs>
          <w:tab w:val="num" w:pos="360"/>
        </w:tabs>
      </w:pPr>
    </w:lvl>
    <w:lvl w:ilvl="2" w:tplc="F662A2DA">
      <w:numFmt w:val="none"/>
      <w:lvlText w:val=""/>
      <w:lvlJc w:val="left"/>
      <w:pPr>
        <w:tabs>
          <w:tab w:val="num" w:pos="360"/>
        </w:tabs>
      </w:pPr>
    </w:lvl>
    <w:lvl w:ilvl="3" w:tplc="0EB242D2">
      <w:numFmt w:val="none"/>
      <w:lvlText w:val=""/>
      <w:lvlJc w:val="left"/>
      <w:pPr>
        <w:tabs>
          <w:tab w:val="num" w:pos="360"/>
        </w:tabs>
      </w:pPr>
    </w:lvl>
    <w:lvl w:ilvl="4" w:tplc="F1063A9A">
      <w:numFmt w:val="none"/>
      <w:lvlText w:val=""/>
      <w:lvlJc w:val="left"/>
      <w:pPr>
        <w:tabs>
          <w:tab w:val="num" w:pos="360"/>
        </w:tabs>
      </w:pPr>
    </w:lvl>
    <w:lvl w:ilvl="5" w:tplc="83943CD0">
      <w:numFmt w:val="none"/>
      <w:lvlText w:val=""/>
      <w:lvlJc w:val="left"/>
      <w:pPr>
        <w:tabs>
          <w:tab w:val="num" w:pos="360"/>
        </w:tabs>
      </w:pPr>
    </w:lvl>
    <w:lvl w:ilvl="6" w:tplc="818412AE">
      <w:numFmt w:val="none"/>
      <w:lvlText w:val=""/>
      <w:lvlJc w:val="left"/>
      <w:pPr>
        <w:tabs>
          <w:tab w:val="num" w:pos="360"/>
        </w:tabs>
      </w:pPr>
    </w:lvl>
    <w:lvl w:ilvl="7" w:tplc="F9F4B142">
      <w:numFmt w:val="none"/>
      <w:lvlText w:val=""/>
      <w:lvlJc w:val="left"/>
      <w:pPr>
        <w:tabs>
          <w:tab w:val="num" w:pos="360"/>
        </w:tabs>
      </w:pPr>
    </w:lvl>
    <w:lvl w:ilvl="8" w:tplc="C2DAE1B8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A07258"/>
    <w:multiLevelType w:val="hybridMultilevel"/>
    <w:tmpl w:val="08620B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 w15:restartNumberingAfterBreak="0">
    <w:nsid w:val="7CC02D91"/>
    <w:multiLevelType w:val="hybridMultilevel"/>
    <w:tmpl w:val="F8929F42"/>
    <w:lvl w:ilvl="0" w:tplc="A5B212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9"/>
  </w:num>
  <w:num w:numId="4">
    <w:abstractNumId w:val="63"/>
  </w:num>
  <w:num w:numId="5">
    <w:abstractNumId w:val="39"/>
  </w:num>
  <w:num w:numId="6">
    <w:abstractNumId w:val="1"/>
  </w:num>
  <w:num w:numId="7">
    <w:abstractNumId w:val="54"/>
  </w:num>
  <w:num w:numId="8">
    <w:abstractNumId w:val="58"/>
  </w:num>
  <w:num w:numId="9">
    <w:abstractNumId w:val="70"/>
  </w:num>
  <w:num w:numId="10">
    <w:abstractNumId w:val="49"/>
  </w:num>
  <w:num w:numId="11">
    <w:abstractNumId w:val="6"/>
  </w:num>
  <w:num w:numId="12">
    <w:abstractNumId w:val="13"/>
  </w:num>
  <w:num w:numId="13">
    <w:abstractNumId w:val="22"/>
  </w:num>
  <w:num w:numId="14">
    <w:abstractNumId w:val="0"/>
  </w:num>
  <w:num w:numId="15">
    <w:abstractNumId w:val="61"/>
  </w:num>
  <w:num w:numId="16">
    <w:abstractNumId w:val="52"/>
  </w:num>
  <w:num w:numId="17">
    <w:abstractNumId w:val="71"/>
  </w:num>
  <w:num w:numId="18">
    <w:abstractNumId w:val="69"/>
  </w:num>
  <w:num w:numId="19">
    <w:abstractNumId w:val="47"/>
  </w:num>
  <w:num w:numId="20">
    <w:abstractNumId w:val="2"/>
  </w:num>
  <w:num w:numId="21">
    <w:abstractNumId w:val="34"/>
  </w:num>
  <w:num w:numId="22">
    <w:abstractNumId w:val="43"/>
  </w:num>
  <w:num w:numId="23">
    <w:abstractNumId w:val="23"/>
  </w:num>
  <w:num w:numId="24">
    <w:abstractNumId w:val="40"/>
  </w:num>
  <w:num w:numId="25">
    <w:abstractNumId w:val="17"/>
  </w:num>
  <w:num w:numId="26">
    <w:abstractNumId w:val="26"/>
  </w:num>
  <w:num w:numId="27">
    <w:abstractNumId w:val="11"/>
  </w:num>
  <w:num w:numId="28">
    <w:abstractNumId w:val="65"/>
  </w:num>
  <w:num w:numId="29">
    <w:abstractNumId w:val="72"/>
  </w:num>
  <w:num w:numId="30">
    <w:abstractNumId w:val="4"/>
  </w:num>
  <w:num w:numId="31">
    <w:abstractNumId w:val="14"/>
  </w:num>
  <w:num w:numId="32">
    <w:abstractNumId w:val="57"/>
  </w:num>
  <w:num w:numId="33">
    <w:abstractNumId w:val="32"/>
  </w:num>
  <w:num w:numId="34">
    <w:abstractNumId w:val="55"/>
  </w:num>
  <w:num w:numId="35">
    <w:abstractNumId w:val="64"/>
  </w:num>
  <w:num w:numId="36">
    <w:abstractNumId w:val="56"/>
  </w:num>
  <w:num w:numId="37">
    <w:abstractNumId w:val="62"/>
  </w:num>
  <w:num w:numId="38">
    <w:abstractNumId w:val="18"/>
  </w:num>
  <w:num w:numId="39">
    <w:abstractNumId w:val="33"/>
  </w:num>
  <w:num w:numId="40">
    <w:abstractNumId w:val="44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5"/>
  </w:num>
  <w:num w:numId="48">
    <w:abstractNumId w:val="10"/>
  </w:num>
  <w:num w:numId="49">
    <w:abstractNumId w:val="38"/>
  </w:num>
  <w:num w:numId="50">
    <w:abstractNumId w:val="68"/>
  </w:num>
  <w:num w:numId="51">
    <w:abstractNumId w:val="45"/>
  </w:num>
  <w:num w:numId="52">
    <w:abstractNumId w:val="60"/>
  </w:num>
  <w:num w:numId="53">
    <w:abstractNumId w:val="59"/>
  </w:num>
  <w:num w:numId="54">
    <w:abstractNumId w:val="24"/>
  </w:num>
  <w:num w:numId="55">
    <w:abstractNumId w:val="50"/>
  </w:num>
  <w:num w:numId="56">
    <w:abstractNumId w:val="21"/>
  </w:num>
  <w:num w:numId="57">
    <w:abstractNumId w:val="25"/>
  </w:num>
  <w:num w:numId="58">
    <w:abstractNumId w:val="42"/>
  </w:num>
  <w:num w:numId="59">
    <w:abstractNumId w:val="67"/>
  </w:num>
  <w:num w:numId="60">
    <w:abstractNumId w:val="15"/>
  </w:num>
  <w:num w:numId="61">
    <w:abstractNumId w:val="27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</w:num>
  <w:num w:numId="64">
    <w:abstractNumId w:val="31"/>
  </w:num>
  <w:num w:numId="65">
    <w:abstractNumId w:val="3"/>
  </w:num>
  <w:num w:numId="66">
    <w:abstractNumId w:val="46"/>
  </w:num>
  <w:num w:numId="67">
    <w:abstractNumId w:val="16"/>
  </w:num>
  <w:num w:numId="68">
    <w:abstractNumId w:val="48"/>
  </w:num>
  <w:num w:numId="69">
    <w:abstractNumId w:val="29"/>
  </w:num>
  <w:num w:numId="70">
    <w:abstractNumId w:val="30"/>
  </w:num>
  <w:num w:numId="71">
    <w:abstractNumId w:val="19"/>
  </w:num>
  <w:num w:numId="72">
    <w:abstractNumId w:val="28"/>
  </w:num>
  <w:num w:numId="73">
    <w:abstractNumId w:val="66"/>
  </w:num>
  <w:num w:numId="74">
    <w:abstractNumId w:val="41"/>
  </w:num>
  <w:num w:numId="7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13FA"/>
    <w:rsid w:val="00006712"/>
    <w:rsid w:val="000121B7"/>
    <w:rsid w:val="000125B9"/>
    <w:rsid w:val="000135C4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E1FE3"/>
    <w:rsid w:val="000F24EC"/>
    <w:rsid w:val="000F3594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5807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F6CC1"/>
    <w:rsid w:val="00202FDE"/>
    <w:rsid w:val="0020565E"/>
    <w:rsid w:val="0021081B"/>
    <w:rsid w:val="00211C45"/>
    <w:rsid w:val="002145FE"/>
    <w:rsid w:val="0021677A"/>
    <w:rsid w:val="00223EF2"/>
    <w:rsid w:val="00232B47"/>
    <w:rsid w:val="0023631A"/>
    <w:rsid w:val="0023687E"/>
    <w:rsid w:val="00240774"/>
    <w:rsid w:val="00241CBF"/>
    <w:rsid w:val="002479A2"/>
    <w:rsid w:val="002542F3"/>
    <w:rsid w:val="00264070"/>
    <w:rsid w:val="002707A0"/>
    <w:rsid w:val="00270B3B"/>
    <w:rsid w:val="002807F3"/>
    <w:rsid w:val="00283169"/>
    <w:rsid w:val="002837AB"/>
    <w:rsid w:val="002857DB"/>
    <w:rsid w:val="00285D6B"/>
    <w:rsid w:val="00285F4F"/>
    <w:rsid w:val="002966B1"/>
    <w:rsid w:val="002A0F0A"/>
    <w:rsid w:val="002A27CC"/>
    <w:rsid w:val="002B63B4"/>
    <w:rsid w:val="002B667C"/>
    <w:rsid w:val="002B73A5"/>
    <w:rsid w:val="002C5465"/>
    <w:rsid w:val="002D1750"/>
    <w:rsid w:val="002D72EF"/>
    <w:rsid w:val="002D7B9E"/>
    <w:rsid w:val="002D7C90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663F"/>
    <w:rsid w:val="00376862"/>
    <w:rsid w:val="003818D4"/>
    <w:rsid w:val="00383F0E"/>
    <w:rsid w:val="003A0172"/>
    <w:rsid w:val="003A1257"/>
    <w:rsid w:val="003A5DED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782"/>
    <w:rsid w:val="003E793F"/>
    <w:rsid w:val="003E7E74"/>
    <w:rsid w:val="003F1EF2"/>
    <w:rsid w:val="003F4729"/>
    <w:rsid w:val="004015E8"/>
    <w:rsid w:val="0041671B"/>
    <w:rsid w:val="0041678E"/>
    <w:rsid w:val="004167D9"/>
    <w:rsid w:val="00417284"/>
    <w:rsid w:val="0042095B"/>
    <w:rsid w:val="0042170D"/>
    <w:rsid w:val="00427B6F"/>
    <w:rsid w:val="00430891"/>
    <w:rsid w:val="00432CCF"/>
    <w:rsid w:val="004360BC"/>
    <w:rsid w:val="004417C0"/>
    <w:rsid w:val="00442FC0"/>
    <w:rsid w:val="00443A26"/>
    <w:rsid w:val="00445909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5A1F"/>
    <w:rsid w:val="00546CA0"/>
    <w:rsid w:val="00546EA5"/>
    <w:rsid w:val="0055539C"/>
    <w:rsid w:val="005561DD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24D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04C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3062"/>
    <w:rsid w:val="007651AC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D5801"/>
    <w:rsid w:val="007D6ABC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26A33"/>
    <w:rsid w:val="00832751"/>
    <w:rsid w:val="00836F20"/>
    <w:rsid w:val="00841663"/>
    <w:rsid w:val="00847313"/>
    <w:rsid w:val="00863437"/>
    <w:rsid w:val="008674DD"/>
    <w:rsid w:val="00870BD5"/>
    <w:rsid w:val="00874C6A"/>
    <w:rsid w:val="0087549C"/>
    <w:rsid w:val="008776F4"/>
    <w:rsid w:val="00883499"/>
    <w:rsid w:val="0089166B"/>
    <w:rsid w:val="00892AE7"/>
    <w:rsid w:val="008A0952"/>
    <w:rsid w:val="008A7C34"/>
    <w:rsid w:val="008B5D1A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6D6"/>
    <w:rsid w:val="008F3AEF"/>
    <w:rsid w:val="008F3B1E"/>
    <w:rsid w:val="008F3D3B"/>
    <w:rsid w:val="008F4009"/>
    <w:rsid w:val="00901F38"/>
    <w:rsid w:val="00902C0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6CDB"/>
    <w:rsid w:val="009803B7"/>
    <w:rsid w:val="009813B6"/>
    <w:rsid w:val="009846DE"/>
    <w:rsid w:val="0099220C"/>
    <w:rsid w:val="00993B37"/>
    <w:rsid w:val="00993DE4"/>
    <w:rsid w:val="009950F1"/>
    <w:rsid w:val="009A0992"/>
    <w:rsid w:val="009A0EB4"/>
    <w:rsid w:val="009A3620"/>
    <w:rsid w:val="009A63B9"/>
    <w:rsid w:val="009C01CD"/>
    <w:rsid w:val="009C2F7D"/>
    <w:rsid w:val="009C774F"/>
    <w:rsid w:val="009D0DC1"/>
    <w:rsid w:val="009D30D3"/>
    <w:rsid w:val="009D4214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740A6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7CC6"/>
    <w:rsid w:val="00AC4603"/>
    <w:rsid w:val="00AC5CB0"/>
    <w:rsid w:val="00AC72FE"/>
    <w:rsid w:val="00AD1E4D"/>
    <w:rsid w:val="00AD3E91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389A"/>
    <w:rsid w:val="00B83EB9"/>
    <w:rsid w:val="00B878E5"/>
    <w:rsid w:val="00B87E39"/>
    <w:rsid w:val="00B90244"/>
    <w:rsid w:val="00B91480"/>
    <w:rsid w:val="00B95964"/>
    <w:rsid w:val="00BA58C8"/>
    <w:rsid w:val="00BB3ED5"/>
    <w:rsid w:val="00BB7AB0"/>
    <w:rsid w:val="00BD1F35"/>
    <w:rsid w:val="00BD2ED8"/>
    <w:rsid w:val="00BD347F"/>
    <w:rsid w:val="00BD5630"/>
    <w:rsid w:val="00BE4873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75832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C0425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D58"/>
    <w:rsid w:val="00DC7208"/>
    <w:rsid w:val="00DD22B4"/>
    <w:rsid w:val="00DD76CC"/>
    <w:rsid w:val="00DE2B56"/>
    <w:rsid w:val="00DF02C8"/>
    <w:rsid w:val="00DF170B"/>
    <w:rsid w:val="00DF1B47"/>
    <w:rsid w:val="00DF36D9"/>
    <w:rsid w:val="00DF6B24"/>
    <w:rsid w:val="00DF73C9"/>
    <w:rsid w:val="00DF79E8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D28FF"/>
    <w:rsid w:val="00ED3D33"/>
    <w:rsid w:val="00ED48A0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3144"/>
    <w:rsid w:val="00F66B2C"/>
    <w:rsid w:val="00F70EEC"/>
    <w:rsid w:val="00F73453"/>
    <w:rsid w:val="00F73B92"/>
    <w:rsid w:val="00F74CB3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8A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8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8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19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19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19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19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19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7578-12E5-49BE-9727-21CD6AC9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066E8-BB6D-4DB9-A5B7-E2DD19DF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6F37B-F62A-45B5-B7A7-55D31C33A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03D3F-3F41-4BDA-A657-EE6E9DC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2022-05-31T11:18:00Z</dcterms:created>
  <dcterms:modified xsi:type="dcterms:W3CDTF">2022-05-31T11:18:00Z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