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906D" w14:textId="0CD494DB" w:rsidR="007C2E50" w:rsidRPr="007C0106" w:rsidRDefault="289C2DAF" w:rsidP="007C0106">
      <w:pPr>
        <w:pStyle w:val="Nzov"/>
        <w:pBdr>
          <w:bottom w:val="none" w:sz="0" w:space="0" w:color="auto"/>
        </w:pBdr>
        <w:jc w:val="center"/>
        <w:rPr>
          <w:color w:val="auto"/>
          <w:sz w:val="24"/>
          <w:szCs w:val="24"/>
        </w:rPr>
      </w:pPr>
      <w:r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Ozn</w:t>
      </w:r>
      <w:r w:rsidR="004766D7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á</w:t>
      </w:r>
      <w:r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m</w:t>
      </w:r>
      <w:r w:rsidR="004766D7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enie</w:t>
      </w:r>
      <w:r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 o</w:t>
      </w:r>
      <w:r w:rsidR="004766D7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 odstránení administratívnej chyby v</w:t>
      </w:r>
      <w:r w:rsidR="00464649"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 </w:t>
      </w:r>
      <w:r w:rsidR="007C0106" w:rsidRPr="007C0106">
        <w:rPr>
          <w:rFonts w:ascii="Arial" w:eastAsia="Times New Roman" w:hAnsi="Arial"/>
          <w:b/>
          <w:bCs/>
          <w:color w:val="548DD4" w:themeColor="text2" w:themeTint="99"/>
          <w:sz w:val="24"/>
          <w:szCs w:val="24"/>
          <w:lang w:eastAsia="sk-SK"/>
        </w:rPr>
        <w:t>M</w:t>
      </w:r>
      <w:r w:rsidR="004766D7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>anuáli</w:t>
      </w:r>
      <w:bookmarkStart w:id="0" w:name="_GoBack"/>
      <w:bookmarkEnd w:id="0"/>
      <w:r w:rsidR="00464649"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 pre užívateľa</w:t>
      </w:r>
      <w:r w:rsidR="007C2E50"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 </w:t>
      </w:r>
      <w:r w:rsidR="007C0106"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finančných prostriedkov z príspevku na zníženie dopadov koronakrízy pri ochrane verejného zdravia v rámci MFO </w:t>
      </w:r>
      <w:r w:rsidR="007C2E50" w:rsidRPr="007C010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sk-SK"/>
        </w:rPr>
        <w:t xml:space="preserve">výzvy </w:t>
      </w:r>
      <w:r w:rsidR="00B7524D" w:rsidRPr="007C0106">
        <w:rPr>
          <w:rFonts w:ascii="Arial" w:eastAsia="Times New Roman" w:hAnsi="Arial"/>
          <w:b/>
          <w:bCs/>
          <w:color w:val="548DD4" w:themeColor="text2" w:themeTint="99"/>
          <w:sz w:val="24"/>
          <w:szCs w:val="24"/>
          <w:lang w:eastAsia="sk-SK"/>
        </w:rPr>
        <w:t xml:space="preserve">č. </w:t>
      </w:r>
      <w:r w:rsidR="007C2E50" w:rsidRPr="007C0106">
        <w:rPr>
          <w:rFonts w:ascii="Arial" w:hAnsi="Arial" w:cs="Arial"/>
          <w:b/>
          <w:color w:val="548DD4" w:themeColor="text2" w:themeTint="99"/>
          <w:sz w:val="24"/>
          <w:szCs w:val="24"/>
        </w:rPr>
        <w:t>IROP-PO2-SC214-2020-63</w:t>
      </w:r>
    </w:p>
    <w:p w14:paraId="40C02190" w14:textId="5383B1B0" w:rsidR="000829A9" w:rsidRPr="007C0106" w:rsidRDefault="000829A9" w:rsidP="007C0106">
      <w:pPr>
        <w:pStyle w:val="Default"/>
        <w:spacing w:line="240" w:lineRule="auto"/>
        <w:jc w:val="both"/>
        <w:rPr>
          <w:rFonts w:ascii="Arial" w:eastAsia="Times New Roman" w:hAnsi="Arial"/>
          <w:sz w:val="22"/>
          <w:szCs w:val="22"/>
          <w:lang w:eastAsia="sk-SK"/>
        </w:rPr>
      </w:pPr>
    </w:p>
    <w:p w14:paraId="6192C29A" w14:textId="3F63C969" w:rsidR="00B7524D" w:rsidRPr="007C0106" w:rsidRDefault="289C2DAF" w:rsidP="007C0106">
      <w:pPr>
        <w:pStyle w:val="Default"/>
        <w:spacing w:line="240" w:lineRule="auto"/>
        <w:jc w:val="both"/>
        <w:rPr>
          <w:rFonts w:ascii="Arial" w:eastAsia="Times New Roman" w:hAnsi="Arial"/>
          <w:sz w:val="22"/>
          <w:szCs w:val="22"/>
          <w:lang w:eastAsia="sk-SK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B7524D">
        <w:rPr>
          <w:rFonts w:ascii="Arial" w:eastAsia="Times New Roman" w:hAnsi="Arial"/>
          <w:sz w:val="22"/>
          <w:szCs w:val="22"/>
          <w:lang w:eastAsia="sk-SK"/>
        </w:rPr>
        <w:t xml:space="preserve">Ministerstvo zdravotníctva SR (ďalej „MZ SR“) ako sprostredkovateľský orgán pre Integrovaný regionálny operačný program 2014 – 2020 (ďalej ako „SO pre IROP“) </w:t>
      </w:r>
      <w:r w:rsidR="00AA2908" w:rsidRPr="00B7524D">
        <w:rPr>
          <w:rFonts w:ascii="Arial" w:eastAsia="Times New Roman" w:hAnsi="Arial"/>
          <w:sz w:val="22"/>
          <w:szCs w:val="22"/>
          <w:lang w:eastAsia="sk-SK"/>
        </w:rPr>
        <w:t xml:space="preserve">dňa </w:t>
      </w:r>
      <w:r w:rsidR="00B7524D" w:rsidRPr="00B7524D">
        <w:rPr>
          <w:rFonts w:ascii="Arial" w:eastAsia="Times New Roman" w:hAnsi="Arial"/>
          <w:sz w:val="22"/>
          <w:szCs w:val="22"/>
          <w:lang w:eastAsia="sk-SK"/>
        </w:rPr>
        <w:t>28</w:t>
      </w:r>
      <w:r w:rsidRPr="00B7524D">
        <w:rPr>
          <w:rFonts w:ascii="Arial" w:eastAsia="Times New Roman" w:hAnsi="Arial"/>
          <w:sz w:val="22"/>
          <w:szCs w:val="22"/>
          <w:lang w:eastAsia="sk-SK"/>
        </w:rPr>
        <w:t xml:space="preserve">. </w:t>
      </w:r>
      <w:r w:rsidR="00B7524D" w:rsidRPr="00B7524D">
        <w:rPr>
          <w:rFonts w:ascii="Arial" w:eastAsia="Times New Roman" w:hAnsi="Arial"/>
          <w:sz w:val="22"/>
          <w:szCs w:val="22"/>
          <w:lang w:eastAsia="sk-SK"/>
        </w:rPr>
        <w:t>marca</w:t>
      </w:r>
      <w:r w:rsidRPr="00B7524D">
        <w:rPr>
          <w:rFonts w:ascii="Arial" w:eastAsia="Times New Roman" w:hAnsi="Arial"/>
          <w:sz w:val="22"/>
          <w:szCs w:val="22"/>
          <w:lang w:eastAsia="sk-SK"/>
        </w:rPr>
        <w:t xml:space="preserve"> 202</w:t>
      </w:r>
      <w:r w:rsidR="00B7524D" w:rsidRPr="00B7524D">
        <w:rPr>
          <w:rFonts w:ascii="Arial" w:eastAsia="Times New Roman" w:hAnsi="Arial"/>
          <w:sz w:val="22"/>
          <w:szCs w:val="22"/>
          <w:lang w:eastAsia="sk-SK"/>
        </w:rPr>
        <w:t>3</w:t>
      </w:r>
      <w:r w:rsidR="00E17F42" w:rsidRPr="00B7524D">
        <w:rPr>
          <w:rFonts w:ascii="Arial" w:eastAsia="Times New Roman" w:hAnsi="Arial"/>
          <w:sz w:val="22"/>
          <w:szCs w:val="22"/>
          <w:lang w:eastAsia="sk-SK"/>
        </w:rPr>
        <w:t xml:space="preserve"> </w:t>
      </w:r>
      <w:r w:rsidR="00B7524D" w:rsidRPr="00B7524D">
        <w:rPr>
          <w:rFonts w:ascii="Arial" w:eastAsia="Times New Roman" w:hAnsi="Arial"/>
          <w:sz w:val="22"/>
          <w:szCs w:val="22"/>
          <w:lang w:eastAsia="sk-SK"/>
        </w:rPr>
        <w:t>vykonal administratívnu úpravu prílohy č. 2 „Podmienky poskytnutia príspevku</w:t>
      </w:r>
      <w:r w:rsidR="00B7524D">
        <w:rPr>
          <w:rFonts w:ascii="Arial" w:eastAsia="Times New Roman" w:hAnsi="Arial"/>
          <w:sz w:val="22"/>
          <w:szCs w:val="22"/>
          <w:lang w:eastAsia="sk-SK"/>
        </w:rPr>
        <w:t xml:space="preserve"> </w:t>
      </w:r>
      <w:r w:rsidR="007C0106">
        <w:rPr>
          <w:rFonts w:ascii="Arial" w:eastAsia="Times New Roman" w:hAnsi="Arial"/>
          <w:sz w:val="22"/>
          <w:szCs w:val="22"/>
          <w:lang w:eastAsia="sk-SK"/>
        </w:rPr>
        <w:t>M</w:t>
      </w:r>
      <w:r w:rsidR="00B7524D" w:rsidRPr="00B7524D">
        <w:rPr>
          <w:rFonts w:ascii="Arial" w:eastAsia="Times New Roman" w:hAnsi="Arial"/>
          <w:sz w:val="22"/>
          <w:szCs w:val="22"/>
          <w:lang w:eastAsia="sk-SK"/>
        </w:rPr>
        <w:t>anuálu pre užívateľa</w:t>
      </w:r>
      <w:r w:rsidR="00B7524D" w:rsidRPr="007C0106">
        <w:rPr>
          <w:rFonts w:ascii="Arial" w:eastAsia="Times New Roman" w:hAnsi="Arial"/>
          <w:sz w:val="22"/>
          <w:szCs w:val="22"/>
          <w:lang w:eastAsia="sk-SK"/>
        </w:rPr>
        <w:t xml:space="preserve"> </w:t>
      </w:r>
      <w:r w:rsidR="007C0106" w:rsidRPr="007C0106">
        <w:rPr>
          <w:rFonts w:ascii="Arial" w:eastAsia="Times New Roman" w:hAnsi="Arial"/>
          <w:sz w:val="22"/>
          <w:szCs w:val="22"/>
          <w:lang w:eastAsia="sk-SK"/>
        </w:rPr>
        <w:t>finančných prostriedkov z príspevku na zníženie dopadov koronakrízy pri ochrane verejného zdravia v rámci MFO</w:t>
      </w:r>
      <w:r w:rsidR="007C0106">
        <w:rPr>
          <w:rFonts w:ascii="Arial" w:eastAsia="Times New Roman" w:hAnsi="Arial"/>
          <w:sz w:val="22"/>
          <w:szCs w:val="22"/>
          <w:lang w:eastAsia="sk-SK"/>
        </w:rPr>
        <w:t xml:space="preserve"> </w:t>
      </w:r>
      <w:r w:rsidR="00B7524D">
        <w:rPr>
          <w:rFonts w:ascii="Arial" w:eastAsia="Times New Roman" w:hAnsi="Arial"/>
          <w:lang w:eastAsia="sk-SK"/>
        </w:rPr>
        <w:t>výzvy č</w:t>
      </w:r>
      <w:r w:rsidR="00B7524D" w:rsidRPr="00B7524D">
        <w:rPr>
          <w:rFonts w:ascii="Arial" w:eastAsia="Times New Roman" w:hAnsi="Arial"/>
          <w:color w:val="auto"/>
          <w:lang w:eastAsia="sk-SK"/>
        </w:rPr>
        <w:t>.</w:t>
      </w:r>
      <w:r w:rsidR="00B7524D" w:rsidRPr="00B7524D">
        <w:rPr>
          <w:rFonts w:ascii="Arial" w:eastAsia="Times New Roman" w:hAnsi="Arial"/>
          <w:bCs/>
          <w:color w:val="auto"/>
          <w:sz w:val="22"/>
          <w:szCs w:val="22"/>
          <w:lang w:eastAsia="sk-SK"/>
        </w:rPr>
        <w:t xml:space="preserve"> </w:t>
      </w:r>
      <w:r w:rsidR="00B7524D" w:rsidRPr="00B7524D">
        <w:rPr>
          <w:rFonts w:ascii="Arial" w:hAnsi="Arial"/>
          <w:color w:val="auto"/>
          <w:sz w:val="22"/>
          <w:szCs w:val="22"/>
        </w:rPr>
        <w:t>IROP-PO2-SC214-2020-63.</w:t>
      </w:r>
    </w:p>
    <w:p w14:paraId="051B9F2C" w14:textId="77777777" w:rsidR="00B7524D" w:rsidRDefault="00B7524D" w:rsidP="00B7524D">
      <w:pPr>
        <w:pStyle w:val="Default"/>
        <w:jc w:val="both"/>
        <w:rPr>
          <w:rFonts w:ascii="Arial" w:hAnsi="Arial"/>
          <w:b/>
          <w:color w:val="548DD4" w:themeColor="text2" w:themeTint="99"/>
          <w:sz w:val="22"/>
          <w:szCs w:val="22"/>
        </w:rPr>
      </w:pPr>
    </w:p>
    <w:p w14:paraId="671D6C6D" w14:textId="4854A17C" w:rsidR="00B7524D" w:rsidRDefault="00B7524D" w:rsidP="00B7524D">
      <w:pPr>
        <w:pStyle w:val="Default"/>
        <w:spacing w:line="240" w:lineRule="auto"/>
        <w:jc w:val="both"/>
        <w:rPr>
          <w:rFonts w:ascii="Arial" w:eastAsia="Times New Roman" w:hAnsi="Arial"/>
          <w:sz w:val="22"/>
          <w:szCs w:val="22"/>
          <w:lang w:eastAsia="sk-SK"/>
        </w:rPr>
      </w:pPr>
      <w:r w:rsidRPr="00B7524D">
        <w:rPr>
          <w:rFonts w:ascii="Arial" w:eastAsia="Times New Roman" w:hAnsi="Arial"/>
          <w:sz w:val="22"/>
          <w:szCs w:val="22"/>
          <w:lang w:eastAsia="sk-SK"/>
        </w:rPr>
        <w:t xml:space="preserve">Úprava sa týkala vypustenia komentára, ktorý ostal v dokumente po procese pripomienkového konania. </w:t>
      </w:r>
    </w:p>
    <w:p w14:paraId="71C3F64C" w14:textId="77777777" w:rsidR="00B7524D" w:rsidRPr="00B7524D" w:rsidRDefault="00B7524D" w:rsidP="00B7524D">
      <w:pPr>
        <w:pStyle w:val="Default"/>
        <w:spacing w:line="240" w:lineRule="auto"/>
        <w:jc w:val="both"/>
        <w:rPr>
          <w:rFonts w:ascii="Arial" w:hAnsi="Arial"/>
          <w:color w:val="548DD4" w:themeColor="text2" w:themeTint="99"/>
          <w:sz w:val="22"/>
          <w:szCs w:val="22"/>
        </w:rPr>
      </w:pPr>
    </w:p>
    <w:p w14:paraId="16ED3833" w14:textId="302C4998" w:rsidR="00B7524D" w:rsidRPr="00B7524D" w:rsidRDefault="00B7524D" w:rsidP="00B7524D">
      <w:pPr>
        <w:spacing w:before="120" w:after="0" w:line="264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Nové znenie prílohy </w:t>
      </w:r>
      <w:r w:rsidR="007C0106">
        <w:rPr>
          <w:rFonts w:ascii="Arial" w:hAnsi="Arial" w:cs="Arial"/>
        </w:rPr>
        <w:t xml:space="preserve">č. 2 Manuálu pre užívateľa ako aj celé znenie dokumentácie </w:t>
      </w:r>
      <w:r>
        <w:rPr>
          <w:rFonts w:ascii="Arial" w:hAnsi="Arial" w:cs="Arial"/>
        </w:rPr>
        <w:t>prijímatelia</w:t>
      </w:r>
      <w:r w:rsidR="007C0106">
        <w:rPr>
          <w:rFonts w:ascii="Arial" w:hAnsi="Arial" w:cs="Arial"/>
        </w:rPr>
        <w:t xml:space="preserve"> a užívatelia</w:t>
      </w:r>
      <w:r>
        <w:rPr>
          <w:rFonts w:ascii="Arial" w:hAnsi="Arial" w:cs="Arial"/>
        </w:rPr>
        <w:t xml:space="preserve"> nájdu na webovom linku: </w:t>
      </w:r>
      <w:hyperlink r:id="rId8" w:history="1">
        <w:r w:rsidRPr="00B7524D">
          <w:rPr>
            <w:rStyle w:val="Hypertextovprepojenie"/>
            <w:rFonts w:ascii="Arial" w:hAnsi="Arial" w:cs="Arial"/>
          </w:rPr>
          <w:t>TU</w:t>
        </w:r>
      </w:hyperlink>
    </w:p>
    <w:p w14:paraId="3057D4EB" w14:textId="77777777" w:rsidR="00B7524D" w:rsidRPr="00F757D8" w:rsidRDefault="00B7524D" w:rsidP="00B7524D">
      <w:pPr>
        <w:spacing w:line="312" w:lineRule="auto"/>
        <w:ind w:firstLine="0"/>
        <w:rPr>
          <w:rFonts w:asciiTheme="minorHAnsi" w:eastAsia="Times New Roman" w:hAnsiTheme="minorHAnsi" w:cstheme="minorHAnsi"/>
          <w:b/>
          <w:bCs/>
          <w:lang w:eastAsia="sk-SK"/>
        </w:rPr>
      </w:pPr>
    </w:p>
    <w:p w14:paraId="4E7EFBA7" w14:textId="77777777" w:rsidR="009842A3" w:rsidRDefault="009842A3" w:rsidP="00881659">
      <w:pPr>
        <w:spacing w:after="360" w:line="312" w:lineRule="auto"/>
        <w:ind w:firstLine="0"/>
        <w:jc w:val="left"/>
        <w:rPr>
          <w:rFonts w:ascii="Verdana" w:eastAsia="Times New Roman" w:hAnsi="Verdana"/>
          <w:b/>
          <w:bCs/>
          <w:sz w:val="17"/>
          <w:szCs w:val="17"/>
          <w:lang w:eastAsia="sk-SK"/>
        </w:rPr>
      </w:pPr>
    </w:p>
    <w:p w14:paraId="788901B8" w14:textId="77777777" w:rsidR="009842A3" w:rsidRDefault="009842A3" w:rsidP="00881659">
      <w:pPr>
        <w:spacing w:after="360" w:line="312" w:lineRule="auto"/>
        <w:ind w:firstLine="0"/>
        <w:jc w:val="left"/>
        <w:rPr>
          <w:rFonts w:ascii="Verdana" w:eastAsia="Times New Roman" w:hAnsi="Verdana"/>
          <w:b/>
          <w:bCs/>
          <w:sz w:val="17"/>
          <w:szCs w:val="17"/>
          <w:lang w:eastAsia="sk-SK"/>
        </w:rPr>
      </w:pPr>
    </w:p>
    <w:p w14:paraId="3B13D7B2" w14:textId="77777777" w:rsidR="009842A3" w:rsidRPr="00030D7C" w:rsidRDefault="009842A3" w:rsidP="00881659">
      <w:pPr>
        <w:spacing w:after="360" w:line="312" w:lineRule="auto"/>
        <w:ind w:firstLine="0"/>
        <w:jc w:val="left"/>
        <w:rPr>
          <w:rFonts w:ascii="Verdana" w:eastAsia="Times New Roman" w:hAnsi="Verdana"/>
          <w:sz w:val="17"/>
          <w:szCs w:val="17"/>
          <w:lang w:eastAsia="sk-SK"/>
        </w:rPr>
      </w:pPr>
    </w:p>
    <w:sectPr w:rsidR="009842A3" w:rsidRPr="00030D7C" w:rsidSect="00FE501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75465F" w16cex:dateUtc="2021-06-04T07:28:48.478Z"/>
  <w16cex:commentExtensible w16cex:durableId="4D12893B" w16cex:dateUtc="2021-06-04T07:29:59.542Z"/>
  <w16cex:commentExtensible w16cex:durableId="2D32F1F4" w16cex:dateUtc="2021-06-04T07:30:45.6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E8F066" w16cid:durableId="7A75465F"/>
  <w16cid:commentId w16cid:paraId="27476CA0" w16cid:durableId="4D12893B"/>
  <w16cid:commentId w16cid:paraId="2A5F5F85" w16cid:durableId="2D32F1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CC9"/>
    <w:multiLevelType w:val="hybridMultilevel"/>
    <w:tmpl w:val="13F62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210"/>
    <w:multiLevelType w:val="hybridMultilevel"/>
    <w:tmpl w:val="DCF8C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37C6"/>
    <w:multiLevelType w:val="hybridMultilevel"/>
    <w:tmpl w:val="CFD4AECE"/>
    <w:lvl w:ilvl="0" w:tplc="20AE0F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82B7E"/>
    <w:multiLevelType w:val="hybridMultilevel"/>
    <w:tmpl w:val="9872FDC2"/>
    <w:lvl w:ilvl="0" w:tplc="99C6B03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9"/>
    <w:rsid w:val="0001796B"/>
    <w:rsid w:val="00030D7C"/>
    <w:rsid w:val="00055C7A"/>
    <w:rsid w:val="00074843"/>
    <w:rsid w:val="000829A9"/>
    <w:rsid w:val="001A3BC9"/>
    <w:rsid w:val="001D784E"/>
    <w:rsid w:val="00236CD5"/>
    <w:rsid w:val="0027790D"/>
    <w:rsid w:val="002C72F1"/>
    <w:rsid w:val="00385047"/>
    <w:rsid w:val="003C0DA0"/>
    <w:rsid w:val="00400788"/>
    <w:rsid w:val="004034D3"/>
    <w:rsid w:val="0040412E"/>
    <w:rsid w:val="004230CC"/>
    <w:rsid w:val="00464649"/>
    <w:rsid w:val="00467BE8"/>
    <w:rsid w:val="004766D7"/>
    <w:rsid w:val="00480193"/>
    <w:rsid w:val="004A3F46"/>
    <w:rsid w:val="004B70D2"/>
    <w:rsid w:val="004F6B02"/>
    <w:rsid w:val="00577E59"/>
    <w:rsid w:val="00600ED9"/>
    <w:rsid w:val="00634579"/>
    <w:rsid w:val="00756EE1"/>
    <w:rsid w:val="007710F0"/>
    <w:rsid w:val="007C0106"/>
    <w:rsid w:val="007C2E50"/>
    <w:rsid w:val="007F339C"/>
    <w:rsid w:val="008037D7"/>
    <w:rsid w:val="00872612"/>
    <w:rsid w:val="00876080"/>
    <w:rsid w:val="00881659"/>
    <w:rsid w:val="00906986"/>
    <w:rsid w:val="009842A3"/>
    <w:rsid w:val="009A4691"/>
    <w:rsid w:val="009B2DB3"/>
    <w:rsid w:val="00A03AB4"/>
    <w:rsid w:val="00AA2908"/>
    <w:rsid w:val="00AB4166"/>
    <w:rsid w:val="00B1336D"/>
    <w:rsid w:val="00B470AE"/>
    <w:rsid w:val="00B7524D"/>
    <w:rsid w:val="00B86D7C"/>
    <w:rsid w:val="00B93918"/>
    <w:rsid w:val="00C10219"/>
    <w:rsid w:val="00C22C76"/>
    <w:rsid w:val="00C62C03"/>
    <w:rsid w:val="00C80543"/>
    <w:rsid w:val="00C86503"/>
    <w:rsid w:val="00D2050D"/>
    <w:rsid w:val="00D22AAD"/>
    <w:rsid w:val="00D27CE3"/>
    <w:rsid w:val="00D40469"/>
    <w:rsid w:val="00D6452E"/>
    <w:rsid w:val="00D93C05"/>
    <w:rsid w:val="00D956B5"/>
    <w:rsid w:val="00DC16DF"/>
    <w:rsid w:val="00DC2FC5"/>
    <w:rsid w:val="00DF580B"/>
    <w:rsid w:val="00E17F42"/>
    <w:rsid w:val="00E23DB9"/>
    <w:rsid w:val="00E47811"/>
    <w:rsid w:val="00EB3C38"/>
    <w:rsid w:val="00F241D6"/>
    <w:rsid w:val="00F757D8"/>
    <w:rsid w:val="00FC7E49"/>
    <w:rsid w:val="00FE5013"/>
    <w:rsid w:val="289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C0C0"/>
  <w15:docId w15:val="{86975864-2ADD-421E-A4E9-D6795F2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080"/>
    <w:pPr>
      <w:spacing w:after="120"/>
      <w:ind w:firstLine="709"/>
    </w:pPr>
    <w:rPr>
      <w:rFonts w:ascii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B7524D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6"/>
      <w:sz w:val="32"/>
      <w:szCs w:val="32"/>
      <w:lang w:eastAsia="x-none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B7524D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829A9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230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CC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CC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0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7E49"/>
    <w:pPr>
      <w:ind w:left="720"/>
      <w:contextualSpacing/>
    </w:pPr>
  </w:style>
  <w:style w:type="paragraph" w:styleId="Bezriadkovania">
    <w:name w:val="No Spacing"/>
    <w:basedOn w:val="Normlny"/>
    <w:link w:val="BezriadkovaniaChar"/>
    <w:uiPriority w:val="1"/>
    <w:qFormat/>
    <w:rsid w:val="00FE5013"/>
    <w:pPr>
      <w:spacing w:after="0" w:line="240" w:lineRule="auto"/>
      <w:ind w:left="567" w:firstLine="0"/>
    </w:pPr>
    <w:rPr>
      <w:rFonts w:ascii="Calibri" w:eastAsia="Times New Roman" w:hAnsi="Calibri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E5013"/>
    <w:rPr>
      <w:rFonts w:ascii="Calibri" w:eastAsia="Times New Roman" w:hAnsi="Calibri" w:cs="Times New Roman"/>
      <w:szCs w:val="24"/>
      <w:lang w:eastAsia="sk-SK"/>
    </w:rPr>
  </w:style>
  <w:style w:type="character" w:styleId="Hypertextovprepojenie">
    <w:name w:val="Hyperlink"/>
    <w:uiPriority w:val="99"/>
    <w:unhideWhenUsed/>
    <w:rsid w:val="00F757D8"/>
    <w:rPr>
      <w:color w:val="0000FF"/>
      <w:u w:val="single"/>
    </w:rPr>
  </w:style>
  <w:style w:type="paragraph" w:customStyle="1" w:styleId="Default">
    <w:name w:val="Default"/>
    <w:qFormat/>
    <w:rsid w:val="007C2E50"/>
    <w:pPr>
      <w:autoSpaceDE w:val="0"/>
      <w:autoSpaceDN w:val="0"/>
      <w:adjustRightInd w:val="0"/>
      <w:spacing w:after="0" w:line="240" w:lineRule="atLeast"/>
      <w:jc w:val="left"/>
    </w:pPr>
    <w:rPr>
      <w:rFonts w:ascii="Calibri" w:eastAsia="Calibri" w:hAnsi="Calibri" w:cs="Arial"/>
      <w:color w:val="000000"/>
      <w:sz w:val="2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7524D"/>
    <w:rPr>
      <w:rFonts w:ascii="Arial" w:hAnsi="Arial" w:cs="Arial"/>
      <w:b/>
      <w:bCs/>
      <w:kern w:val="36"/>
      <w:sz w:val="32"/>
      <w:szCs w:val="32"/>
      <w:lang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524D"/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zov">
    <w:name w:val="Title"/>
    <w:basedOn w:val="Normlny"/>
    <w:next w:val="Normlny"/>
    <w:link w:val="NzovChar"/>
    <w:uiPriority w:val="10"/>
    <w:qFormat/>
    <w:rsid w:val="007C010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C0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9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38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psr/irop-programove-obdobie-2014-2020/mz-sr-so-irop-2014-2020/vyzvy/vyzva-na-predkladanie-zonfp-irop-po2-sc214-2020-63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76289eb65b54c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b2a3c0672b814be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052FED10D234FB853DFD0892661C9" ma:contentTypeVersion="14" ma:contentTypeDescription="Create a new document." ma:contentTypeScope="" ma:versionID="7a089b9df87aafb700b60f8c10bfe584">
  <xsd:schema xmlns:xsd="http://www.w3.org/2001/XMLSchema" xmlns:xs="http://www.w3.org/2001/XMLSchema" xmlns:p="http://schemas.microsoft.com/office/2006/metadata/properties" xmlns:ns3="812a3605-bbab-4c60-9630-7e70640c45e9" xmlns:ns4="30f9475c-c4ce-4975-ba27-08a1eacef086" targetNamespace="http://schemas.microsoft.com/office/2006/metadata/properties" ma:root="true" ma:fieldsID="9e83554d36c9a2f2256f0b788a095246" ns3:_="" ns4:_="">
    <xsd:import namespace="812a3605-bbab-4c60-9630-7e70640c45e9"/>
    <xsd:import namespace="30f9475c-c4ce-4975-ba27-08a1eacef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a3605-bbab-4c60-9630-7e70640c4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475c-c4ce-4975-ba27-08a1eacef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CAA21-82AC-4EF9-A232-716B7D7798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f9475c-c4ce-4975-ba27-08a1eacef086"/>
    <ds:schemaRef ds:uri="http://purl.org/dc/dcmitype/"/>
    <ds:schemaRef ds:uri="http://schemas.microsoft.com/office/infopath/2007/PartnerControls"/>
    <ds:schemaRef ds:uri="812a3605-bbab-4c60-9630-7e70640c45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4C06F7-5487-4669-9904-3FC12A4E0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a3605-bbab-4c60-9630-7e70640c45e9"/>
    <ds:schemaRef ds:uri="30f9475c-c4ce-4975-ba27-08a1eace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6C11-BEA6-4C8E-9C6C-B170C7ACF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Kadáková Lea</dc:creator>
  <cp:lastModifiedBy>Bagiová Tatiana</cp:lastModifiedBy>
  <cp:revision>5</cp:revision>
  <cp:lastPrinted>2020-07-21T08:54:00Z</cp:lastPrinted>
  <dcterms:created xsi:type="dcterms:W3CDTF">2023-03-28T13:39:00Z</dcterms:created>
  <dcterms:modified xsi:type="dcterms:W3CDTF">2023-03-29T07:22:00Z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0x0101002B3052FED10D234FB853DFD0892661C9</vt:lpwstr>
  </property>
</Properties>
</file>