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D47A37" w14:textId="77777777" w:rsidR="00085AA1" w:rsidRDefault="00131FF0">
      <w:pPr>
        <w:spacing w:after="152" w:line="259" w:lineRule="auto"/>
        <w:ind w:left="43" w:right="0" w:firstLine="0"/>
        <w:jc w:val="center"/>
      </w:pPr>
      <w:r>
        <w:rPr>
          <w:b/>
          <w:color w:val="1F497D"/>
          <w:sz w:val="20"/>
        </w:rPr>
        <w:t xml:space="preserve"> </w:t>
      </w:r>
    </w:p>
    <w:p w14:paraId="41616387" w14:textId="77777777" w:rsidR="00085AA1" w:rsidRDefault="00131FF0">
      <w:pPr>
        <w:spacing w:after="215" w:line="259" w:lineRule="auto"/>
        <w:ind w:left="38" w:right="0" w:firstLine="0"/>
        <w:jc w:val="center"/>
      </w:pPr>
      <w:r>
        <w:rPr>
          <w:rFonts w:ascii="Calibri" w:eastAsia="Calibri" w:hAnsi="Calibri" w:cs="Calibri"/>
          <w:b/>
          <w:color w:val="365F91"/>
          <w:sz w:val="20"/>
        </w:rPr>
        <w:t xml:space="preserve"> </w:t>
      </w:r>
    </w:p>
    <w:p w14:paraId="5033F9D3" w14:textId="77777777" w:rsidR="00085AA1" w:rsidRDefault="00131FF0">
      <w:pPr>
        <w:spacing w:after="190" w:line="259" w:lineRule="auto"/>
        <w:ind w:left="57" w:right="0" w:firstLine="0"/>
        <w:jc w:val="center"/>
      </w:pPr>
      <w:r>
        <w:rPr>
          <w:rFonts w:ascii="Calibri" w:eastAsia="Calibri" w:hAnsi="Calibri" w:cs="Calibri"/>
          <w:b/>
          <w:color w:val="0070C0"/>
          <w:sz w:val="28"/>
        </w:rPr>
        <w:t xml:space="preserve"> </w:t>
      </w:r>
    </w:p>
    <w:p w14:paraId="7503EDF0" w14:textId="77777777" w:rsidR="00085AA1" w:rsidRDefault="00131FF0" w:rsidP="00EF050C">
      <w:pPr>
        <w:spacing w:after="193" w:line="273" w:lineRule="auto"/>
        <w:ind w:left="4544" w:right="1137" w:hanging="3207"/>
        <w:jc w:val="left"/>
      </w:pPr>
      <w:r>
        <w:rPr>
          <w:b/>
          <w:color w:val="0070C0"/>
          <w:sz w:val="28"/>
        </w:rPr>
        <w:t>Integrovaný regionálny operačný program 2014</w:t>
      </w:r>
      <w:r w:rsidR="00EF050C">
        <w:rPr>
          <w:b/>
          <w:color w:val="0070C0"/>
          <w:sz w:val="28"/>
        </w:rPr>
        <w:t xml:space="preserve"> </w:t>
      </w:r>
      <w:r>
        <w:rPr>
          <w:b/>
          <w:color w:val="0070C0"/>
          <w:sz w:val="28"/>
        </w:rPr>
        <w:t>-</w:t>
      </w:r>
      <w:r w:rsidR="00EF050C">
        <w:rPr>
          <w:b/>
          <w:color w:val="0070C0"/>
          <w:sz w:val="28"/>
        </w:rPr>
        <w:t xml:space="preserve"> </w:t>
      </w:r>
      <w:r>
        <w:rPr>
          <w:b/>
          <w:color w:val="0070C0"/>
          <w:sz w:val="28"/>
        </w:rPr>
        <w:t>2020</w:t>
      </w:r>
      <w:r>
        <w:rPr>
          <w:b/>
          <w:color w:val="0070C0"/>
          <w:sz w:val="60"/>
        </w:rPr>
        <w:t xml:space="preserve"> </w:t>
      </w:r>
    </w:p>
    <w:p w14:paraId="32CC0BAC" w14:textId="77777777" w:rsidR="00085AA1" w:rsidRDefault="00131FF0" w:rsidP="00BC71EB">
      <w:pPr>
        <w:spacing w:after="1" w:line="376" w:lineRule="auto"/>
        <w:ind w:left="11" w:right="0" w:firstLine="0"/>
        <w:jc w:val="center"/>
      </w:pPr>
      <w:r>
        <w:rPr>
          <w:b/>
          <w:color w:val="0070C0"/>
          <w:sz w:val="28"/>
        </w:rPr>
        <w:t xml:space="preserve">Usmernenie RO pre IROP č. 14 </w:t>
      </w:r>
      <w:r w:rsidR="00C53320">
        <w:rPr>
          <w:b/>
          <w:color w:val="0070C0"/>
          <w:sz w:val="28"/>
        </w:rPr>
        <w:br/>
      </w:r>
      <w:r>
        <w:rPr>
          <w:b/>
          <w:color w:val="0070C0"/>
          <w:sz w:val="28"/>
        </w:rPr>
        <w:t>k zrýchleniu implementácie hlavných aktivít projektov v rámci IROP</w:t>
      </w:r>
    </w:p>
    <w:p w14:paraId="58E88625" w14:textId="77777777" w:rsidR="00085AA1" w:rsidRDefault="00131FF0">
      <w:pPr>
        <w:spacing w:after="222" w:line="259" w:lineRule="auto"/>
        <w:ind w:left="0" w:right="0" w:firstLine="0"/>
        <w:jc w:val="left"/>
      </w:pPr>
      <w:r>
        <w:rPr>
          <w:sz w:val="22"/>
        </w:rPr>
        <w:t xml:space="preserve"> </w:t>
      </w:r>
      <w:r>
        <w:rPr>
          <w:sz w:val="22"/>
        </w:rPr>
        <w:tab/>
      </w:r>
      <w:r>
        <w:rPr>
          <w:color w:val="548DD4"/>
          <w:sz w:val="22"/>
        </w:rPr>
        <w:t xml:space="preserve"> </w:t>
      </w:r>
    </w:p>
    <w:p w14:paraId="6B6F3046" w14:textId="77777777" w:rsidR="00085AA1" w:rsidRDefault="00131FF0">
      <w:pPr>
        <w:spacing w:after="213" w:line="259" w:lineRule="auto"/>
        <w:ind w:left="0" w:right="0" w:firstLine="0"/>
        <w:jc w:val="left"/>
      </w:pPr>
      <w:r>
        <w:rPr>
          <w:sz w:val="22"/>
        </w:rPr>
        <w:t xml:space="preserve"> </w:t>
      </w:r>
    </w:p>
    <w:p w14:paraId="239BF0C8" w14:textId="77777777" w:rsidR="00085AA1" w:rsidRDefault="00131FF0">
      <w:pPr>
        <w:spacing w:after="0" w:line="259" w:lineRule="auto"/>
        <w:ind w:left="0" w:right="0" w:firstLine="0"/>
        <w:jc w:val="left"/>
      </w:pPr>
      <w:r>
        <w:rPr>
          <w:sz w:val="22"/>
        </w:rPr>
        <w:t xml:space="preserve"> </w:t>
      </w:r>
    </w:p>
    <w:tbl>
      <w:tblPr>
        <w:tblStyle w:val="TableGrid"/>
        <w:tblW w:w="7654" w:type="dxa"/>
        <w:tblInd w:w="823" w:type="dxa"/>
        <w:tblCellMar>
          <w:right w:w="107" w:type="dxa"/>
        </w:tblCellMar>
        <w:tblLook w:val="04A0" w:firstRow="1" w:lastRow="0" w:firstColumn="1" w:lastColumn="0" w:noHBand="0" w:noVBand="1"/>
      </w:tblPr>
      <w:tblGrid>
        <w:gridCol w:w="1949"/>
        <w:gridCol w:w="5705"/>
      </w:tblGrid>
      <w:tr w:rsidR="00085AA1" w14:paraId="64C09D4A" w14:textId="77777777">
        <w:trPr>
          <w:trHeight w:val="1109"/>
        </w:trPr>
        <w:tc>
          <w:tcPr>
            <w:tcW w:w="1949" w:type="dxa"/>
            <w:tcBorders>
              <w:top w:val="dashed" w:sz="4" w:space="0" w:color="000000"/>
              <w:left w:val="dashed" w:sz="4" w:space="0" w:color="000000"/>
              <w:bottom w:val="nil"/>
              <w:right w:val="nil"/>
            </w:tcBorders>
            <w:shd w:val="clear" w:color="auto" w:fill="F2F2F2"/>
          </w:tcPr>
          <w:p w14:paraId="3070EC2B" w14:textId="77777777" w:rsidR="00085AA1" w:rsidRDefault="00131FF0">
            <w:pPr>
              <w:spacing w:after="255" w:line="259" w:lineRule="auto"/>
              <w:ind w:left="106" w:right="0" w:firstLine="0"/>
              <w:jc w:val="left"/>
            </w:pPr>
            <w:r>
              <w:rPr>
                <w:sz w:val="22"/>
              </w:rPr>
              <w:t xml:space="preserve">Verzia: </w:t>
            </w:r>
          </w:p>
          <w:p w14:paraId="7720FA58" w14:textId="77777777" w:rsidR="00085AA1" w:rsidRDefault="00131FF0">
            <w:pPr>
              <w:spacing w:after="0" w:line="259" w:lineRule="auto"/>
              <w:ind w:left="106" w:right="0" w:firstLine="0"/>
              <w:jc w:val="left"/>
            </w:pPr>
            <w:r>
              <w:rPr>
                <w:sz w:val="22"/>
              </w:rPr>
              <w:t xml:space="preserve">Počet príloh: </w:t>
            </w:r>
          </w:p>
        </w:tc>
        <w:tc>
          <w:tcPr>
            <w:tcW w:w="5705" w:type="dxa"/>
            <w:tcBorders>
              <w:top w:val="dashed" w:sz="4" w:space="0" w:color="000000"/>
              <w:left w:val="nil"/>
              <w:bottom w:val="nil"/>
              <w:right w:val="dashed" w:sz="4" w:space="0" w:color="000000"/>
            </w:tcBorders>
            <w:shd w:val="clear" w:color="auto" w:fill="F2F2F2"/>
          </w:tcPr>
          <w:p w14:paraId="4731022C" w14:textId="7786467C" w:rsidR="00085AA1" w:rsidRDefault="00131FF0">
            <w:pPr>
              <w:spacing w:after="213" w:line="259" w:lineRule="auto"/>
              <w:ind w:left="0" w:right="0" w:firstLine="0"/>
              <w:jc w:val="left"/>
            </w:pPr>
            <w:r>
              <w:rPr>
                <w:sz w:val="22"/>
              </w:rPr>
              <w:t>1.</w:t>
            </w:r>
            <w:r w:rsidR="00F213E7">
              <w:rPr>
                <w:sz w:val="22"/>
              </w:rPr>
              <w:t xml:space="preserve">2 </w:t>
            </w:r>
          </w:p>
          <w:p w14:paraId="3E2D23BB" w14:textId="77777777" w:rsidR="00085AA1" w:rsidRDefault="00131FF0">
            <w:pPr>
              <w:spacing w:after="0" w:line="259" w:lineRule="auto"/>
              <w:ind w:left="0" w:right="0" w:firstLine="0"/>
              <w:jc w:val="left"/>
            </w:pPr>
            <w:r>
              <w:rPr>
                <w:sz w:val="22"/>
              </w:rPr>
              <w:t xml:space="preserve">0 </w:t>
            </w:r>
          </w:p>
        </w:tc>
      </w:tr>
      <w:tr w:rsidR="00085AA1" w14:paraId="6AA24186" w14:textId="77777777">
        <w:trPr>
          <w:trHeight w:val="1028"/>
        </w:trPr>
        <w:tc>
          <w:tcPr>
            <w:tcW w:w="1949" w:type="dxa"/>
            <w:tcBorders>
              <w:top w:val="nil"/>
              <w:left w:val="dashed" w:sz="4" w:space="0" w:color="000000"/>
              <w:bottom w:val="nil"/>
              <w:right w:val="nil"/>
            </w:tcBorders>
            <w:shd w:val="clear" w:color="auto" w:fill="F2F2F2"/>
            <w:vAlign w:val="center"/>
          </w:tcPr>
          <w:p w14:paraId="4C5F105A" w14:textId="77777777" w:rsidR="00085AA1" w:rsidRDefault="00131FF0">
            <w:pPr>
              <w:spacing w:after="0" w:line="259" w:lineRule="auto"/>
              <w:ind w:left="106" w:right="0" w:firstLine="0"/>
              <w:jc w:val="left"/>
            </w:pPr>
            <w:r>
              <w:rPr>
                <w:sz w:val="22"/>
              </w:rPr>
              <w:t xml:space="preserve">Určené pre: </w:t>
            </w:r>
          </w:p>
        </w:tc>
        <w:tc>
          <w:tcPr>
            <w:tcW w:w="5705" w:type="dxa"/>
            <w:tcBorders>
              <w:top w:val="nil"/>
              <w:left w:val="nil"/>
              <w:bottom w:val="nil"/>
              <w:right w:val="dashed" w:sz="4" w:space="0" w:color="000000"/>
            </w:tcBorders>
            <w:shd w:val="clear" w:color="auto" w:fill="F2F2F2"/>
          </w:tcPr>
          <w:p w14:paraId="760318D2" w14:textId="77777777" w:rsidR="00085AA1" w:rsidRDefault="00131FF0">
            <w:pPr>
              <w:spacing w:after="251" w:line="259" w:lineRule="auto"/>
              <w:ind w:left="0" w:right="0" w:firstLine="0"/>
              <w:jc w:val="left"/>
            </w:pPr>
            <w:r>
              <w:rPr>
                <w:sz w:val="22"/>
              </w:rPr>
              <w:t xml:space="preserve"> </w:t>
            </w:r>
          </w:p>
          <w:p w14:paraId="6FDC1F1B" w14:textId="77777777" w:rsidR="00085AA1" w:rsidRDefault="00131FF0" w:rsidP="00F213E7">
            <w:pPr>
              <w:spacing w:after="0" w:line="259" w:lineRule="auto"/>
              <w:ind w:left="0" w:right="0" w:firstLine="0"/>
              <w:jc w:val="left"/>
            </w:pPr>
            <w:r>
              <w:rPr>
                <w:sz w:val="22"/>
              </w:rPr>
              <w:t xml:space="preserve">Prijímateľov, </w:t>
            </w:r>
            <w:r w:rsidR="00F213E7">
              <w:rPr>
                <w:sz w:val="22"/>
              </w:rPr>
              <w:t xml:space="preserve">Miestne akčné skupiny, </w:t>
            </w:r>
            <w:r>
              <w:rPr>
                <w:sz w:val="22"/>
              </w:rPr>
              <w:t xml:space="preserve">Sprostredkovateľské orgány </w:t>
            </w:r>
            <w:r w:rsidR="00062C1A">
              <w:rPr>
                <w:sz w:val="22"/>
              </w:rPr>
              <w:t xml:space="preserve">pre IROP </w:t>
            </w:r>
            <w:r>
              <w:rPr>
                <w:sz w:val="22"/>
              </w:rPr>
              <w:t xml:space="preserve">a Riadiaci orgán pre IROP </w:t>
            </w:r>
          </w:p>
        </w:tc>
      </w:tr>
      <w:tr w:rsidR="00085AA1" w14:paraId="192A2434" w14:textId="77777777">
        <w:trPr>
          <w:trHeight w:val="491"/>
        </w:trPr>
        <w:tc>
          <w:tcPr>
            <w:tcW w:w="1949" w:type="dxa"/>
            <w:tcBorders>
              <w:top w:val="nil"/>
              <w:left w:val="dashed" w:sz="4" w:space="0" w:color="000000"/>
              <w:bottom w:val="nil"/>
              <w:right w:val="nil"/>
            </w:tcBorders>
            <w:shd w:val="clear" w:color="auto" w:fill="F2F2F2"/>
            <w:vAlign w:val="center"/>
          </w:tcPr>
          <w:p w14:paraId="6DB88F1D" w14:textId="77777777" w:rsidR="00085AA1" w:rsidRDefault="00131FF0">
            <w:pPr>
              <w:spacing w:after="0" w:line="259" w:lineRule="auto"/>
              <w:ind w:left="106" w:right="0" w:firstLine="0"/>
              <w:jc w:val="left"/>
            </w:pPr>
            <w:r>
              <w:rPr>
                <w:sz w:val="22"/>
              </w:rPr>
              <w:t xml:space="preserve">Dátum účinnosti: </w:t>
            </w:r>
          </w:p>
        </w:tc>
        <w:tc>
          <w:tcPr>
            <w:tcW w:w="5705" w:type="dxa"/>
            <w:tcBorders>
              <w:top w:val="nil"/>
              <w:left w:val="nil"/>
              <w:bottom w:val="nil"/>
              <w:right w:val="dashed" w:sz="4" w:space="0" w:color="000000"/>
            </w:tcBorders>
            <w:shd w:val="clear" w:color="auto" w:fill="F2F2F2"/>
            <w:vAlign w:val="center"/>
          </w:tcPr>
          <w:p w14:paraId="5C5738C7" w14:textId="4B515C23" w:rsidR="00085AA1" w:rsidRDefault="001B52D1" w:rsidP="001B52D1">
            <w:pPr>
              <w:spacing w:after="0" w:line="259" w:lineRule="auto"/>
              <w:ind w:left="0" w:right="0" w:firstLine="0"/>
              <w:jc w:val="left"/>
            </w:pPr>
            <w:r>
              <w:rPr>
                <w:sz w:val="22"/>
              </w:rPr>
              <w:t>04.05.</w:t>
            </w:r>
            <w:r w:rsidR="00131FF0">
              <w:rPr>
                <w:sz w:val="22"/>
              </w:rPr>
              <w:t xml:space="preserve">2023 </w:t>
            </w:r>
          </w:p>
        </w:tc>
      </w:tr>
      <w:tr w:rsidR="00085AA1" w14:paraId="627D77A0" w14:textId="77777777">
        <w:trPr>
          <w:trHeight w:val="1597"/>
        </w:trPr>
        <w:tc>
          <w:tcPr>
            <w:tcW w:w="1949" w:type="dxa"/>
            <w:tcBorders>
              <w:top w:val="nil"/>
              <w:left w:val="dashed" w:sz="4" w:space="0" w:color="000000"/>
              <w:bottom w:val="dashed" w:sz="4" w:space="0" w:color="000000"/>
              <w:right w:val="nil"/>
            </w:tcBorders>
            <w:shd w:val="clear" w:color="auto" w:fill="F2F2F2"/>
            <w:vAlign w:val="center"/>
          </w:tcPr>
          <w:p w14:paraId="6D7379D9" w14:textId="77777777" w:rsidR="00085AA1" w:rsidRDefault="00131FF0">
            <w:pPr>
              <w:spacing w:after="705" w:line="259" w:lineRule="auto"/>
              <w:ind w:left="106" w:right="0" w:firstLine="0"/>
              <w:jc w:val="left"/>
            </w:pPr>
            <w:r>
              <w:rPr>
                <w:sz w:val="22"/>
              </w:rPr>
              <w:t xml:space="preserve">Schválil: </w:t>
            </w:r>
          </w:p>
          <w:p w14:paraId="021668A8" w14:textId="77777777" w:rsidR="00085AA1" w:rsidRDefault="00131FF0">
            <w:pPr>
              <w:spacing w:after="0" w:line="259" w:lineRule="auto"/>
              <w:ind w:left="106" w:right="0" w:firstLine="0"/>
              <w:jc w:val="left"/>
            </w:pPr>
            <w:r>
              <w:rPr>
                <w:sz w:val="22"/>
              </w:rPr>
              <w:t xml:space="preserve"> </w:t>
            </w:r>
          </w:p>
        </w:tc>
        <w:tc>
          <w:tcPr>
            <w:tcW w:w="5705" w:type="dxa"/>
            <w:tcBorders>
              <w:top w:val="nil"/>
              <w:left w:val="nil"/>
              <w:bottom w:val="dashed" w:sz="4" w:space="0" w:color="000000"/>
              <w:right w:val="dashed" w:sz="4" w:space="0" w:color="000000"/>
            </w:tcBorders>
            <w:shd w:val="clear" w:color="auto" w:fill="F2F2F2"/>
            <w:vAlign w:val="center"/>
          </w:tcPr>
          <w:p w14:paraId="5B7CEC2E" w14:textId="276E6AF9" w:rsidR="00085AA1" w:rsidRDefault="00131FF0" w:rsidP="00C53320">
            <w:pPr>
              <w:spacing w:after="0" w:line="494" w:lineRule="auto"/>
              <w:ind w:left="0" w:right="2344" w:firstLine="0"/>
              <w:jc w:val="left"/>
            </w:pPr>
            <w:r>
              <w:rPr>
                <w:sz w:val="22"/>
              </w:rPr>
              <w:t xml:space="preserve">Ing. Albert Németh, MBA </w:t>
            </w:r>
            <w:r w:rsidR="00F213E7">
              <w:rPr>
                <w:sz w:val="22"/>
              </w:rPr>
              <w:br/>
            </w:r>
            <w:r>
              <w:rPr>
                <w:sz w:val="22"/>
              </w:rPr>
              <w:t xml:space="preserve">generálny riaditeľ sekcie IROP  </w:t>
            </w:r>
          </w:p>
        </w:tc>
      </w:tr>
    </w:tbl>
    <w:p w14:paraId="026329F1" w14:textId="77777777" w:rsidR="00085AA1" w:rsidRDefault="00131FF0">
      <w:pPr>
        <w:spacing w:after="276" w:line="259" w:lineRule="auto"/>
        <w:ind w:left="0" w:right="0" w:firstLine="0"/>
        <w:jc w:val="left"/>
      </w:pPr>
      <w:r>
        <w:rPr>
          <w:sz w:val="22"/>
        </w:rPr>
        <w:t xml:space="preserve"> </w:t>
      </w:r>
    </w:p>
    <w:p w14:paraId="314CBCD9" w14:textId="77777777" w:rsidR="00085AA1" w:rsidRDefault="00131FF0">
      <w:pPr>
        <w:spacing w:after="167" w:line="259" w:lineRule="auto"/>
        <w:ind w:left="63" w:right="0" w:firstLine="0"/>
        <w:jc w:val="center"/>
      </w:pPr>
      <w:r>
        <w:rPr>
          <w:b/>
          <w:sz w:val="28"/>
        </w:rPr>
        <w:t xml:space="preserve"> </w:t>
      </w:r>
    </w:p>
    <w:p w14:paraId="67F59072" w14:textId="77777777" w:rsidR="00085AA1" w:rsidRDefault="00131FF0">
      <w:pPr>
        <w:spacing w:after="218" w:line="259" w:lineRule="auto"/>
        <w:ind w:left="0" w:right="0" w:firstLine="0"/>
        <w:jc w:val="left"/>
      </w:pPr>
      <w:r>
        <w:rPr>
          <w:rFonts w:ascii="Calibri" w:eastAsia="Calibri" w:hAnsi="Calibri" w:cs="Calibri"/>
          <w:sz w:val="22"/>
        </w:rPr>
        <w:t xml:space="preserve"> </w:t>
      </w:r>
    </w:p>
    <w:p w14:paraId="52B35E6C" w14:textId="77777777" w:rsidR="00085AA1" w:rsidRDefault="00131FF0">
      <w:pPr>
        <w:spacing w:after="218" w:line="259" w:lineRule="auto"/>
        <w:ind w:left="0" w:right="0" w:firstLine="0"/>
        <w:jc w:val="left"/>
      </w:pPr>
      <w:r>
        <w:rPr>
          <w:rFonts w:ascii="Calibri" w:eastAsia="Calibri" w:hAnsi="Calibri" w:cs="Calibri"/>
          <w:sz w:val="22"/>
        </w:rPr>
        <w:t xml:space="preserve"> </w:t>
      </w:r>
    </w:p>
    <w:p w14:paraId="463A3C7C" w14:textId="77777777" w:rsidR="00BC71EB" w:rsidRDefault="00BC71EB">
      <w:pPr>
        <w:spacing w:after="218" w:line="259" w:lineRule="auto"/>
        <w:ind w:left="0" w:right="0" w:firstLine="0"/>
        <w:jc w:val="left"/>
        <w:rPr>
          <w:rFonts w:ascii="Calibri" w:eastAsia="Calibri" w:hAnsi="Calibri" w:cs="Calibri"/>
          <w:sz w:val="22"/>
        </w:rPr>
      </w:pPr>
    </w:p>
    <w:p w14:paraId="432F466D" w14:textId="77777777" w:rsidR="00BC71EB" w:rsidRDefault="00BC71EB">
      <w:pPr>
        <w:spacing w:after="218" w:line="259" w:lineRule="auto"/>
        <w:ind w:left="0" w:right="0" w:firstLine="0"/>
        <w:jc w:val="left"/>
        <w:rPr>
          <w:rFonts w:ascii="Calibri" w:eastAsia="Calibri" w:hAnsi="Calibri" w:cs="Calibri"/>
          <w:sz w:val="22"/>
        </w:rPr>
      </w:pPr>
    </w:p>
    <w:p w14:paraId="07AD9439" w14:textId="77777777" w:rsidR="00085AA1" w:rsidRDefault="00131FF0">
      <w:pPr>
        <w:spacing w:after="218" w:line="259" w:lineRule="auto"/>
        <w:ind w:left="0" w:right="0" w:firstLine="0"/>
        <w:jc w:val="left"/>
      </w:pPr>
      <w:r>
        <w:rPr>
          <w:rFonts w:ascii="Calibri" w:eastAsia="Calibri" w:hAnsi="Calibri" w:cs="Calibri"/>
          <w:sz w:val="22"/>
        </w:rPr>
        <w:t xml:space="preserve"> </w:t>
      </w:r>
    </w:p>
    <w:p w14:paraId="291C1345" w14:textId="77777777" w:rsidR="00085AA1" w:rsidRDefault="00131FF0">
      <w:pPr>
        <w:spacing w:after="0" w:line="259" w:lineRule="auto"/>
        <w:ind w:left="0" w:right="0" w:firstLine="0"/>
        <w:jc w:val="left"/>
      </w:pPr>
      <w:r>
        <w:rPr>
          <w:rFonts w:ascii="Calibri" w:eastAsia="Calibri" w:hAnsi="Calibri" w:cs="Calibri"/>
          <w:sz w:val="22"/>
        </w:rPr>
        <w:t xml:space="preserve"> </w:t>
      </w:r>
    </w:p>
    <w:p w14:paraId="351BF943" w14:textId="77777777" w:rsidR="007040CB" w:rsidRDefault="007040CB">
      <w:pPr>
        <w:spacing w:after="160" w:line="259" w:lineRule="auto"/>
        <w:ind w:left="0" w:right="0" w:firstLine="0"/>
        <w:jc w:val="left"/>
        <w:rPr>
          <w:b/>
          <w:color w:val="365F91"/>
          <w:sz w:val="28"/>
        </w:rPr>
      </w:pPr>
      <w:r>
        <w:br w:type="page"/>
      </w:r>
    </w:p>
    <w:p w14:paraId="0D3645DA" w14:textId="15F5497A" w:rsidR="00085AA1" w:rsidRDefault="00B25197" w:rsidP="00B25197">
      <w:pPr>
        <w:pStyle w:val="Nadpis1"/>
        <w:tabs>
          <w:tab w:val="left" w:pos="426"/>
        </w:tabs>
        <w:ind w:left="-5"/>
      </w:pPr>
      <w:r>
        <w:lastRenderedPageBreak/>
        <w:t>1.</w:t>
      </w:r>
      <w:r>
        <w:tab/>
      </w:r>
      <w:r w:rsidR="00131FF0">
        <w:t xml:space="preserve">Úvod </w:t>
      </w:r>
    </w:p>
    <w:p w14:paraId="76226CBF" w14:textId="77777777" w:rsidR="00085AA1" w:rsidRDefault="00131FF0">
      <w:pPr>
        <w:spacing w:after="349" w:line="259" w:lineRule="auto"/>
        <w:ind w:left="-29" w:right="-25" w:firstLine="0"/>
        <w:jc w:val="left"/>
      </w:pPr>
      <w:r>
        <w:rPr>
          <w:rFonts w:ascii="Calibri" w:eastAsia="Calibri" w:hAnsi="Calibri" w:cs="Calibri"/>
          <w:noProof/>
          <w:sz w:val="22"/>
        </w:rPr>
        <mc:AlternateContent>
          <mc:Choice Requires="wpg">
            <w:drawing>
              <wp:inline distT="0" distB="0" distL="0" distR="0" wp14:anchorId="1C6EFD76" wp14:editId="68FE46FF">
                <wp:extent cx="5796661" cy="12192"/>
                <wp:effectExtent l="0" t="0" r="0" b="0"/>
                <wp:docPr id="4166" name="Group 4166"/>
                <wp:cNvGraphicFramePr/>
                <a:graphic xmlns:a="http://schemas.openxmlformats.org/drawingml/2006/main">
                  <a:graphicData uri="http://schemas.microsoft.com/office/word/2010/wordprocessingGroup">
                    <wpg:wgp>
                      <wpg:cNvGrpSpPr/>
                      <wpg:grpSpPr>
                        <a:xfrm>
                          <a:off x="0" y="0"/>
                          <a:ext cx="5796661" cy="12192"/>
                          <a:chOff x="0" y="0"/>
                          <a:chExt cx="5796661" cy="12192"/>
                        </a:xfrm>
                      </wpg:grpSpPr>
                      <wps:wsp>
                        <wps:cNvPr id="5035" name="Shape 5035"/>
                        <wps:cNvSpPr/>
                        <wps:spPr>
                          <a:xfrm>
                            <a:off x="0" y="0"/>
                            <a:ext cx="5796661" cy="12192"/>
                          </a:xfrm>
                          <a:custGeom>
                            <a:avLst/>
                            <a:gdLst/>
                            <a:ahLst/>
                            <a:cxnLst/>
                            <a:rect l="0" t="0" r="0" b="0"/>
                            <a:pathLst>
                              <a:path w="5796661" h="12192">
                                <a:moveTo>
                                  <a:pt x="0" y="0"/>
                                </a:moveTo>
                                <a:lnTo>
                                  <a:pt x="5796661" y="0"/>
                                </a:lnTo>
                                <a:lnTo>
                                  <a:pt x="5796661" y="12192"/>
                                </a:lnTo>
                                <a:lnTo>
                                  <a:pt x="0" y="12192"/>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inline>
            </w:drawing>
          </mc:Choice>
          <mc:Fallback>
            <w:pict>
              <v:group w14:anchorId="65DF8E79" id="Group 4166" o:spid="_x0000_s1026" style="width:456.45pt;height:.95pt;mso-position-horizontal-relative:char;mso-position-vertical-relative:line" coordsize="57966,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">
                <v:shape id="Shape 5035" o:spid="_x0000_s1027" style="position:absolute;width:57966;height:121;visibility:visible;mso-wrap-style:square;v-text-anchor:top" coordsize="5796661,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" path="m,l5796661,r,12192l,12192,,e" fillcolor="#4f81bd" stroked="f" strokeweight="0">
                  <v:stroke miterlimit="83231f" joinstyle="miter"/>
                  <v:path arrowok="t" textboxrect="0,0,5796661,12192"/>
                </v:shape>
                <w10:anchorlock/>
              </v:group>
            </w:pict>
          </mc:Fallback>
        </mc:AlternateContent>
      </w:r>
    </w:p>
    <w:p w14:paraId="21B2D034" w14:textId="520A9DAF" w:rsidR="00641B3B" w:rsidRPr="0013706F" w:rsidRDefault="00131FF0" w:rsidP="00C53320">
      <w:pPr>
        <w:ind w:left="426" w:right="0" w:hanging="441"/>
        <w:rPr>
          <w:b/>
          <w:sz w:val="22"/>
        </w:rPr>
      </w:pPr>
      <w:r w:rsidRPr="00641B3B">
        <w:t>1.</w:t>
      </w:r>
      <w:r>
        <w:rPr>
          <w:rFonts w:ascii="Arial" w:eastAsia="Arial" w:hAnsi="Arial" w:cs="Arial"/>
          <w:b/>
        </w:rPr>
        <w:t xml:space="preserve"> </w:t>
      </w:r>
      <w:r w:rsidR="00C53320">
        <w:rPr>
          <w:rFonts w:ascii="Arial" w:eastAsia="Arial" w:hAnsi="Arial" w:cs="Arial"/>
          <w:b/>
        </w:rPr>
        <w:tab/>
      </w:r>
      <w:r w:rsidRPr="0013706F">
        <w:rPr>
          <w:sz w:val="22"/>
        </w:rPr>
        <w:t xml:space="preserve">Cieľom tohto </w:t>
      </w:r>
      <w:r w:rsidRPr="0013706F">
        <w:rPr>
          <w:b/>
          <w:sz w:val="22"/>
        </w:rPr>
        <w:t>Usmerneni</w:t>
      </w:r>
      <w:r w:rsidR="00641B3B" w:rsidRPr="0013706F">
        <w:rPr>
          <w:b/>
          <w:sz w:val="22"/>
        </w:rPr>
        <w:t>a</w:t>
      </w:r>
      <w:r w:rsidRPr="0013706F">
        <w:rPr>
          <w:b/>
          <w:sz w:val="22"/>
        </w:rPr>
        <w:t xml:space="preserve"> RO pre IROP č. 14 k zrýchleniu implementácie hlavných aktivít projektov v rámci IROP </w:t>
      </w:r>
      <w:r w:rsidRPr="0013706F">
        <w:rPr>
          <w:sz w:val="22"/>
        </w:rPr>
        <w:t>(ďalej len „Usmernenie č. 14“)</w:t>
      </w:r>
      <w:r w:rsidRPr="0013706F">
        <w:rPr>
          <w:b/>
          <w:sz w:val="22"/>
        </w:rPr>
        <w:t xml:space="preserve"> </w:t>
      </w:r>
      <w:r w:rsidR="00D4210A" w:rsidRPr="0013706F">
        <w:rPr>
          <w:b/>
          <w:sz w:val="22"/>
        </w:rPr>
        <w:t xml:space="preserve">za účelom zrýchlenia </w:t>
      </w:r>
      <w:r w:rsidR="0018065F" w:rsidRPr="0013706F">
        <w:rPr>
          <w:b/>
          <w:sz w:val="22"/>
        </w:rPr>
        <w:t xml:space="preserve">a zefektívnenia implementácie </w:t>
      </w:r>
      <w:r w:rsidR="00D4210A" w:rsidRPr="0013706F">
        <w:rPr>
          <w:b/>
          <w:sz w:val="22"/>
        </w:rPr>
        <w:t>projektov IROP a včasného ukončenia realizácie projektov</w:t>
      </w:r>
      <w:r w:rsidR="00D4210A" w:rsidRPr="0013706F">
        <w:rPr>
          <w:sz w:val="22"/>
        </w:rPr>
        <w:t xml:space="preserve"> </w:t>
      </w:r>
      <w:r w:rsidRPr="0013706F">
        <w:rPr>
          <w:sz w:val="22"/>
        </w:rPr>
        <w:t>je informovať prijímateľov, že v prípade oneskorenej implementácie projektu t.j. začati</w:t>
      </w:r>
      <w:r w:rsidR="00365245" w:rsidRPr="0013706F">
        <w:rPr>
          <w:sz w:val="22"/>
        </w:rPr>
        <w:t>a</w:t>
      </w:r>
      <w:r w:rsidRPr="0013706F">
        <w:rPr>
          <w:sz w:val="22"/>
        </w:rPr>
        <w:t xml:space="preserve"> verejného obstarávania (ďalej len „VO“) Riadiaci orgán pre Integrovaný regionálny operačný program (ďalej len „RO pre IROP“)/Sprostredkovateľský orgán pre Integrovaný regionálny operačný program Vyšší územný celok (TTSK, TSK, NSK, BSK, PSK, KSK, ŽSK) (ďalej len „SO pre IROP VÚC“) je oprávnený  postupovať v zmysle Zmluvy o poskytnutí nenávratného finančného príspevku (ďalej len „Zmluva o poskytnutí NFP“)</w:t>
      </w:r>
      <w:r w:rsidR="00365245" w:rsidRPr="0013706F">
        <w:rPr>
          <w:sz w:val="22"/>
        </w:rPr>
        <w:t xml:space="preserve"> a uplatniť články </w:t>
      </w:r>
      <w:r w:rsidR="0018065F" w:rsidRPr="0013706F">
        <w:rPr>
          <w:sz w:val="22"/>
        </w:rPr>
        <w:t>Z</w:t>
      </w:r>
      <w:r w:rsidR="00365245" w:rsidRPr="0013706F">
        <w:rPr>
          <w:sz w:val="22"/>
        </w:rPr>
        <w:t>mluvy</w:t>
      </w:r>
      <w:r w:rsidR="0018065F" w:rsidRPr="0013706F">
        <w:rPr>
          <w:sz w:val="22"/>
        </w:rPr>
        <w:t xml:space="preserve"> o poskytnutí NFP</w:t>
      </w:r>
      <w:r w:rsidR="00365245" w:rsidRPr="0013706F">
        <w:rPr>
          <w:sz w:val="22"/>
        </w:rPr>
        <w:t xml:space="preserve"> k podstatnému porušeniu zmluvy</w:t>
      </w:r>
      <w:r w:rsidRPr="0013706F">
        <w:rPr>
          <w:sz w:val="22"/>
        </w:rPr>
        <w:t>.</w:t>
      </w:r>
      <w:r w:rsidRPr="0013706F">
        <w:rPr>
          <w:b/>
          <w:sz w:val="22"/>
        </w:rPr>
        <w:t xml:space="preserve"> </w:t>
      </w:r>
    </w:p>
    <w:p w14:paraId="63EA1542" w14:textId="2735F874" w:rsidR="00085AA1" w:rsidRPr="0013706F" w:rsidRDefault="00131FF0" w:rsidP="00C53320">
      <w:pPr>
        <w:ind w:left="426" w:right="0" w:hanging="441"/>
        <w:rPr>
          <w:sz w:val="22"/>
        </w:rPr>
      </w:pPr>
      <w:r w:rsidRPr="0013706F">
        <w:rPr>
          <w:sz w:val="22"/>
        </w:rPr>
        <w:t>2.</w:t>
      </w:r>
      <w:r w:rsidRPr="0013706F">
        <w:rPr>
          <w:rFonts w:ascii="Arial" w:eastAsia="Arial" w:hAnsi="Arial" w:cs="Arial"/>
          <w:sz w:val="22"/>
        </w:rPr>
        <w:t xml:space="preserve"> </w:t>
      </w:r>
      <w:r w:rsidR="007D4985" w:rsidRPr="0013706F">
        <w:rPr>
          <w:rFonts w:ascii="Arial" w:eastAsia="Arial" w:hAnsi="Arial" w:cs="Arial"/>
          <w:sz w:val="22"/>
        </w:rPr>
        <w:tab/>
      </w:r>
      <w:r w:rsidRPr="0013706F">
        <w:rPr>
          <w:sz w:val="22"/>
        </w:rPr>
        <w:t xml:space="preserve">Nariadenie Európskeho parlamentu a rady (EÚ) č. 1303/2013 zo 17. decembra 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 stanovuje </w:t>
      </w:r>
      <w:r w:rsidRPr="0013706F">
        <w:rPr>
          <w:b/>
          <w:sz w:val="22"/>
        </w:rPr>
        <w:t>konečný termín oprávnenosti výdavkov na</w:t>
      </w:r>
      <w:r w:rsidRPr="0013706F">
        <w:rPr>
          <w:sz w:val="22"/>
        </w:rPr>
        <w:t xml:space="preserve"> </w:t>
      </w:r>
      <w:r w:rsidRPr="0013706F">
        <w:rPr>
          <w:b/>
          <w:sz w:val="22"/>
        </w:rPr>
        <w:t>31.12.2023.</w:t>
      </w:r>
      <w:r w:rsidRPr="0013706F">
        <w:rPr>
          <w:sz w:val="22"/>
        </w:rPr>
        <w:t xml:space="preserve">  </w:t>
      </w:r>
    </w:p>
    <w:p w14:paraId="263E71ED" w14:textId="2AEC0C46" w:rsidR="00085AA1" w:rsidRPr="0013706F" w:rsidRDefault="00131FF0">
      <w:pPr>
        <w:numPr>
          <w:ilvl w:val="0"/>
          <w:numId w:val="1"/>
        </w:numPr>
        <w:ind w:right="0" w:hanging="425"/>
        <w:rPr>
          <w:sz w:val="22"/>
        </w:rPr>
      </w:pPr>
      <w:r w:rsidRPr="0013706F">
        <w:rPr>
          <w:sz w:val="22"/>
        </w:rPr>
        <w:t>RO pre IROP/</w:t>
      </w:r>
      <w:r w:rsidR="007D4985" w:rsidRPr="0013706F">
        <w:rPr>
          <w:sz w:val="22"/>
        </w:rPr>
        <w:t xml:space="preserve"> </w:t>
      </w:r>
      <w:r w:rsidRPr="0013706F">
        <w:rPr>
          <w:sz w:val="22"/>
        </w:rPr>
        <w:t xml:space="preserve">SO pre IROP VÚC riadia prislúchajúce prioritné osi, resp. špecifické ciele  IROP spôsobom, ktorý zabezpečí, že realizácia aktivít projektov je ukončená do vyššie uvedeného termínu a sú splnené ciele jednotlivých projektov a IROP. V nadväznosti na uvedené je RO pre IROP/SO pre IROP VÚC povinný monitorovať realizáciu projektov, identifikovať riziká spojené s ich implementáciou a plnením stanovených cieľov IROP a realizáciou jednotlivých projektov a umožniť prijatie krokov na dostatočnú a efektívnu implementáciu IROP.  </w:t>
      </w:r>
    </w:p>
    <w:p w14:paraId="44A5489F" w14:textId="77777777" w:rsidR="00085AA1" w:rsidRPr="0013706F" w:rsidRDefault="00131FF0">
      <w:pPr>
        <w:numPr>
          <w:ilvl w:val="0"/>
          <w:numId w:val="1"/>
        </w:numPr>
        <w:spacing w:after="127" w:line="275" w:lineRule="auto"/>
        <w:ind w:right="0" w:hanging="425"/>
        <w:rPr>
          <w:sz w:val="22"/>
        </w:rPr>
      </w:pPr>
      <w:r w:rsidRPr="0013706F">
        <w:rPr>
          <w:sz w:val="22"/>
        </w:rPr>
        <w:t xml:space="preserve">Prijímateľ podľa prílohy č. 1 Zmluvy o poskytnutí NFP čl. 8 ods. 1 Všeobecne zmluvných podmienok </w:t>
      </w:r>
      <w:r w:rsidRPr="0013706F">
        <w:rPr>
          <w:i/>
          <w:sz w:val="22"/>
        </w:rPr>
        <w:t>„Prijímateľ je povinný zrealizovať schválený Projekt v súlade so Zmluvou o poskytnutí NFP a ukončiť Realizáciu hlavných aktivít Projektu Riadne a Včas“.</w:t>
      </w:r>
      <w:r w:rsidRPr="0013706F">
        <w:rPr>
          <w:sz w:val="22"/>
        </w:rPr>
        <w:t xml:space="preserve">   </w:t>
      </w:r>
    </w:p>
    <w:p w14:paraId="13DFC618" w14:textId="2B72C2BC" w:rsidR="00085AA1" w:rsidRPr="0013706F" w:rsidRDefault="00131FF0">
      <w:pPr>
        <w:numPr>
          <w:ilvl w:val="0"/>
          <w:numId w:val="1"/>
        </w:numPr>
        <w:ind w:right="0" w:hanging="425"/>
        <w:rPr>
          <w:sz w:val="22"/>
        </w:rPr>
      </w:pPr>
      <w:r w:rsidRPr="0013706F">
        <w:rPr>
          <w:sz w:val="22"/>
        </w:rPr>
        <w:t>S ohľadom na vyššie uvedené je cieľom Usmernenia č. 14</w:t>
      </w:r>
      <w:r w:rsidR="00D4210A" w:rsidRPr="0013706F">
        <w:rPr>
          <w:sz w:val="22"/>
        </w:rPr>
        <w:t xml:space="preserve"> </w:t>
      </w:r>
      <w:r w:rsidRPr="0013706F">
        <w:rPr>
          <w:b/>
          <w:sz w:val="22"/>
        </w:rPr>
        <w:t>stanovenie povinnosti pre prijímateľov IROP, ktorých zmluvy o NFP nadobudli účinnosť do</w:t>
      </w:r>
      <w:r w:rsidRPr="0013706F">
        <w:rPr>
          <w:sz w:val="22"/>
        </w:rPr>
        <w:t xml:space="preserve"> </w:t>
      </w:r>
      <w:r w:rsidRPr="0013706F">
        <w:rPr>
          <w:b/>
          <w:sz w:val="22"/>
        </w:rPr>
        <w:t>31.12.2022</w:t>
      </w:r>
      <w:r w:rsidRPr="0013706F">
        <w:rPr>
          <w:sz w:val="22"/>
        </w:rPr>
        <w:t xml:space="preserve">,  </w:t>
      </w:r>
      <w:r w:rsidRPr="0013706F">
        <w:rPr>
          <w:b/>
          <w:sz w:val="22"/>
        </w:rPr>
        <w:t>predložiť VO na hlavné aktivity projektov na štandardnú/následnú ex-post kontrolu v stanovenom termíne</w:t>
      </w:r>
      <w:r w:rsidR="00DA46E3">
        <w:rPr>
          <w:b/>
          <w:sz w:val="22"/>
        </w:rPr>
        <w:t xml:space="preserve"> (ak nie je uvedené inak)</w:t>
      </w:r>
      <w:r w:rsidRPr="0013706F">
        <w:rPr>
          <w:b/>
          <w:sz w:val="22"/>
        </w:rPr>
        <w:t>:</w:t>
      </w:r>
      <w:r w:rsidRPr="0013706F">
        <w:rPr>
          <w:sz w:val="22"/>
        </w:rPr>
        <w:t xml:space="preserve"> </w:t>
      </w:r>
    </w:p>
    <w:p w14:paraId="0ABF4164" w14:textId="0974F43C" w:rsidR="00085AA1" w:rsidRPr="0013706F" w:rsidRDefault="00131FF0">
      <w:pPr>
        <w:numPr>
          <w:ilvl w:val="1"/>
          <w:numId w:val="1"/>
        </w:numPr>
        <w:ind w:right="0" w:hanging="360"/>
        <w:rPr>
          <w:sz w:val="22"/>
        </w:rPr>
      </w:pPr>
      <w:r w:rsidRPr="0013706F">
        <w:rPr>
          <w:sz w:val="22"/>
        </w:rPr>
        <w:t xml:space="preserve">do </w:t>
      </w:r>
      <w:r w:rsidRPr="0013706F">
        <w:rPr>
          <w:b/>
          <w:sz w:val="22"/>
        </w:rPr>
        <w:t>3</w:t>
      </w:r>
      <w:r w:rsidR="009B1C5B" w:rsidRPr="0013706F">
        <w:rPr>
          <w:b/>
          <w:sz w:val="22"/>
        </w:rPr>
        <w:t>1</w:t>
      </w:r>
      <w:r w:rsidR="0013706F" w:rsidRPr="0013706F">
        <w:rPr>
          <w:b/>
          <w:sz w:val="22"/>
        </w:rPr>
        <w:t>.</w:t>
      </w:r>
      <w:r w:rsidRPr="0013706F">
        <w:rPr>
          <w:b/>
          <w:sz w:val="22"/>
        </w:rPr>
        <w:t>3.2023</w:t>
      </w:r>
      <w:r w:rsidRPr="0013706F">
        <w:rPr>
          <w:sz w:val="22"/>
        </w:rPr>
        <w:t xml:space="preserve"> prijímatelia, ktorí majú/plánujú mať vo verejnom obstarávaní zadefinovanú odkladaciu podmienku  účinnosti Zmluvy o dielo naviazanú na vykonanie kontroly VO, </w:t>
      </w:r>
    </w:p>
    <w:p w14:paraId="663C556B" w14:textId="41C5FFFD" w:rsidR="003420DB" w:rsidRPr="0013706F" w:rsidRDefault="00131FF0">
      <w:pPr>
        <w:numPr>
          <w:ilvl w:val="1"/>
          <w:numId w:val="1"/>
        </w:numPr>
        <w:ind w:right="0" w:hanging="360"/>
        <w:rPr>
          <w:sz w:val="22"/>
        </w:rPr>
      </w:pPr>
      <w:r w:rsidRPr="0013706F">
        <w:rPr>
          <w:sz w:val="22"/>
        </w:rPr>
        <w:t xml:space="preserve">do </w:t>
      </w:r>
      <w:r w:rsidRPr="0013706F">
        <w:rPr>
          <w:b/>
          <w:sz w:val="22"/>
        </w:rPr>
        <w:t xml:space="preserve">31.5.2023 </w:t>
      </w:r>
      <w:r w:rsidRPr="0013706F">
        <w:rPr>
          <w:sz w:val="22"/>
        </w:rPr>
        <w:t>prijímatelia, ktorých účinnosť Zmluvy o dielo nie je podmienené schválením verejného obstarávania RO pre IROP/SO pre IROP VÚC</w:t>
      </w:r>
      <w:r w:rsidR="0013706F" w:rsidRPr="0013706F">
        <w:rPr>
          <w:sz w:val="22"/>
        </w:rPr>
        <w:t>.</w:t>
      </w:r>
    </w:p>
    <w:p w14:paraId="78ED0AA9" w14:textId="77777777" w:rsidR="00085AA1" w:rsidRPr="0013706F" w:rsidRDefault="00131FF0">
      <w:pPr>
        <w:numPr>
          <w:ilvl w:val="0"/>
          <w:numId w:val="1"/>
        </w:numPr>
        <w:spacing w:after="84"/>
        <w:ind w:right="0" w:hanging="425"/>
        <w:rPr>
          <w:sz w:val="22"/>
        </w:rPr>
      </w:pPr>
      <w:r w:rsidRPr="0013706F">
        <w:rPr>
          <w:sz w:val="22"/>
        </w:rPr>
        <w:t xml:space="preserve">Usmernenie č. 14 sa vydáva v súvislosti s ukončením Programového obdobia 2014 - 2020 a to na dobu do zrušenia účinnosti uvedeného Usmernenia č. 14. </w:t>
      </w:r>
    </w:p>
    <w:p w14:paraId="5E0C17DA" w14:textId="76DAE906" w:rsidR="0013706F" w:rsidRDefault="0013706F">
      <w:pPr>
        <w:spacing w:after="160" w:line="259" w:lineRule="auto"/>
        <w:ind w:left="0" w:right="0" w:firstLine="0"/>
        <w:jc w:val="left"/>
        <w:rPr>
          <w:sz w:val="22"/>
        </w:rPr>
      </w:pPr>
      <w:r>
        <w:rPr>
          <w:sz w:val="22"/>
        </w:rPr>
        <w:br w:type="page"/>
      </w:r>
    </w:p>
    <w:p w14:paraId="472A8311" w14:textId="77777777" w:rsidR="00085AA1" w:rsidRPr="0013706F" w:rsidRDefault="00085AA1">
      <w:pPr>
        <w:spacing w:after="280" w:line="259" w:lineRule="auto"/>
        <w:ind w:left="425" w:right="0" w:firstLine="0"/>
        <w:jc w:val="left"/>
        <w:rPr>
          <w:sz w:val="22"/>
        </w:rPr>
      </w:pPr>
    </w:p>
    <w:p w14:paraId="10FBE223" w14:textId="510361A5" w:rsidR="007040CB" w:rsidRPr="0013706F" w:rsidRDefault="00B25197" w:rsidP="00B25197">
      <w:pPr>
        <w:pStyle w:val="Nadpis1"/>
        <w:tabs>
          <w:tab w:val="left" w:pos="567"/>
        </w:tabs>
        <w:ind w:left="-5"/>
      </w:pPr>
      <w:r w:rsidRPr="0013706F">
        <w:t>2.</w:t>
      </w:r>
      <w:r w:rsidRPr="0013706F">
        <w:tab/>
      </w:r>
      <w:r w:rsidR="00131FF0" w:rsidRPr="0013706F">
        <w:t xml:space="preserve">Postup pre zrýchlenie implementácie projektov IROP </w:t>
      </w:r>
    </w:p>
    <w:p w14:paraId="2A1F0752" w14:textId="77777777" w:rsidR="007040CB" w:rsidRPr="0013706F" w:rsidRDefault="007040CB" w:rsidP="007040CB">
      <w:pPr>
        <w:pStyle w:val="Nadpis1"/>
        <w:ind w:left="-5"/>
        <w:rPr>
          <w:sz w:val="22"/>
        </w:rPr>
      </w:pPr>
      <w:r w:rsidRPr="0013706F">
        <w:rPr>
          <w:rFonts w:ascii="Calibri" w:eastAsia="Calibri" w:hAnsi="Calibri" w:cs="Calibri"/>
          <w:noProof/>
          <w:sz w:val="22"/>
        </w:rPr>
        <mc:AlternateContent>
          <mc:Choice Requires="wpg">
            <w:drawing>
              <wp:inline distT="0" distB="0" distL="0" distR="0" wp14:anchorId="7DF68823" wp14:editId="75D1AF4E">
                <wp:extent cx="5762625" cy="11995"/>
                <wp:effectExtent l="0" t="0" r="9525" b="7620"/>
                <wp:docPr id="5" name="Group 4166"/>
                <wp:cNvGraphicFramePr/>
                <a:graphic xmlns:a="http://schemas.openxmlformats.org/drawingml/2006/main">
                  <a:graphicData uri="http://schemas.microsoft.com/office/word/2010/wordprocessingGroup">
                    <wpg:wgp>
                      <wpg:cNvGrpSpPr/>
                      <wpg:grpSpPr>
                        <a:xfrm>
                          <a:off x="0" y="0"/>
                          <a:ext cx="5762625" cy="11995"/>
                          <a:chOff x="0" y="0"/>
                          <a:chExt cx="5796661" cy="12192"/>
                        </a:xfrm>
                      </wpg:grpSpPr>
                      <wps:wsp>
                        <wps:cNvPr id="6" name="Shape 5035"/>
                        <wps:cNvSpPr/>
                        <wps:spPr>
                          <a:xfrm>
                            <a:off x="0" y="0"/>
                            <a:ext cx="5796661" cy="12192"/>
                          </a:xfrm>
                          <a:custGeom>
                            <a:avLst/>
                            <a:gdLst/>
                            <a:ahLst/>
                            <a:cxnLst/>
                            <a:rect l="0" t="0" r="0" b="0"/>
                            <a:pathLst>
                              <a:path w="5796661" h="12192">
                                <a:moveTo>
                                  <a:pt x="0" y="0"/>
                                </a:moveTo>
                                <a:lnTo>
                                  <a:pt x="5796661" y="0"/>
                                </a:lnTo>
                                <a:lnTo>
                                  <a:pt x="5796661" y="12192"/>
                                </a:lnTo>
                                <a:lnTo>
                                  <a:pt x="0" y="12192"/>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inline>
            </w:drawing>
          </mc:Choice>
          <mc:Fallback>
            <w:pict>
              <v:group w14:anchorId="2CEAEF97" id="Group 4166" o:spid="_x0000_s1026" style="width:453.75pt;height:.95pt;mso-position-horizontal-relative:char;mso-position-vertical-relative:line" coordsize="57966,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">
                <v:shape id="Shape 5035" o:spid="_x0000_s1027" style="position:absolute;width:57966;height:121;visibility:visible;mso-wrap-style:square;v-text-anchor:top" coordsize="5796661,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" path="m,l5796661,r,12192l,12192,,e" fillcolor="#4f81bd" stroked="f" strokeweight="0">
                  <v:stroke miterlimit="83231f" joinstyle="miter"/>
                  <v:path arrowok="t" textboxrect="0,0,5796661,12192"/>
                </v:shape>
                <w10:anchorlock/>
              </v:group>
            </w:pict>
          </mc:Fallback>
        </mc:AlternateContent>
      </w:r>
    </w:p>
    <w:p w14:paraId="61E36974" w14:textId="117CE787" w:rsidR="009B1C5B" w:rsidRPr="0013706F" w:rsidRDefault="009B1C5B" w:rsidP="007040CB">
      <w:pPr>
        <w:ind w:left="426" w:hanging="426"/>
        <w:rPr>
          <w:sz w:val="22"/>
        </w:rPr>
      </w:pPr>
      <w:r w:rsidRPr="0013706F">
        <w:rPr>
          <w:sz w:val="22"/>
          <w:u w:color="000000"/>
        </w:rPr>
        <w:t>1.</w:t>
      </w:r>
      <w:r w:rsidRPr="0013706F">
        <w:rPr>
          <w:sz w:val="22"/>
          <w:u w:color="000000"/>
        </w:rPr>
        <w:tab/>
        <w:t xml:space="preserve">Pod pojmom začiatok VO sa </w:t>
      </w:r>
      <w:r w:rsidR="00A401C8" w:rsidRPr="0013706F">
        <w:rPr>
          <w:sz w:val="22"/>
          <w:u w:color="000000"/>
        </w:rPr>
        <w:t xml:space="preserve">v </w:t>
      </w:r>
      <w:r w:rsidRPr="0013706F">
        <w:rPr>
          <w:sz w:val="22"/>
          <w:u w:color="000000"/>
        </w:rPr>
        <w:t xml:space="preserve">zmysle Prílohy č. 1 Zmluvy o poskytnutí NFP čl. 1 Všeobecne zmluvných podmienok rozumie uskutočnenie prvého z nasledovných úkonov:  </w:t>
      </w:r>
    </w:p>
    <w:p w14:paraId="6C516360" w14:textId="77777777" w:rsidR="00085AA1" w:rsidRPr="0013706F" w:rsidRDefault="00131FF0" w:rsidP="0013706F">
      <w:pPr>
        <w:numPr>
          <w:ilvl w:val="0"/>
          <w:numId w:val="2"/>
        </w:numPr>
        <w:ind w:right="0" w:hanging="653"/>
        <w:rPr>
          <w:sz w:val="22"/>
        </w:rPr>
      </w:pPr>
      <w:r w:rsidRPr="0013706F">
        <w:rPr>
          <w:sz w:val="22"/>
        </w:rPr>
        <w:t xml:space="preserve">predloženie dokumentácie k VO na výkon prvej ex -ante kontroly, alebo  </w:t>
      </w:r>
    </w:p>
    <w:p w14:paraId="095E4AB8" w14:textId="77777777" w:rsidR="00085AA1" w:rsidRPr="0013706F" w:rsidRDefault="00131FF0" w:rsidP="0013706F">
      <w:pPr>
        <w:numPr>
          <w:ilvl w:val="0"/>
          <w:numId w:val="2"/>
        </w:numPr>
        <w:ind w:right="0" w:hanging="653"/>
        <w:rPr>
          <w:sz w:val="22"/>
        </w:rPr>
      </w:pPr>
      <w:r w:rsidRPr="0013706F">
        <w:rPr>
          <w:sz w:val="22"/>
        </w:rPr>
        <w:t xml:space="preserve">pri Verejných obstarávaniach, kde nebola vykonaná prvá ex -ante kontrola sa za začatie Verejného obstarávania považuje:  </w:t>
      </w:r>
    </w:p>
    <w:p w14:paraId="01653D9A" w14:textId="77777777" w:rsidR="00085AA1" w:rsidRPr="0013706F" w:rsidRDefault="00131FF0">
      <w:pPr>
        <w:numPr>
          <w:ilvl w:val="1"/>
          <w:numId w:val="2"/>
        </w:numPr>
        <w:spacing w:after="151" w:line="259" w:lineRule="auto"/>
        <w:ind w:left="1635" w:right="0" w:hanging="478"/>
        <w:rPr>
          <w:sz w:val="22"/>
        </w:rPr>
      </w:pPr>
      <w:r w:rsidRPr="0013706F">
        <w:rPr>
          <w:sz w:val="22"/>
        </w:rPr>
        <w:t xml:space="preserve">odoslanie oznámenia o vyhlásení Verejného obstarávania, alebo </w:t>
      </w:r>
    </w:p>
    <w:p w14:paraId="23F8FEBC" w14:textId="77777777" w:rsidR="00085AA1" w:rsidRPr="0013706F" w:rsidRDefault="00131FF0">
      <w:pPr>
        <w:numPr>
          <w:ilvl w:val="1"/>
          <w:numId w:val="2"/>
        </w:numPr>
        <w:ind w:left="1635" w:right="0" w:hanging="478"/>
        <w:rPr>
          <w:sz w:val="22"/>
        </w:rPr>
      </w:pPr>
      <w:r w:rsidRPr="0013706F">
        <w:rPr>
          <w:sz w:val="22"/>
        </w:rPr>
        <w:t xml:space="preserve">odoslanie oznámenia použitého ako výzva na súťaž alebo výzvy na predkladanie ponúk na zverejnenie, alebo  </w:t>
      </w:r>
    </w:p>
    <w:p w14:paraId="22513835" w14:textId="77777777" w:rsidR="00750689" w:rsidRPr="0013706F" w:rsidRDefault="00131FF0" w:rsidP="008A0BAA">
      <w:pPr>
        <w:numPr>
          <w:ilvl w:val="1"/>
          <w:numId w:val="2"/>
        </w:numPr>
        <w:spacing w:after="1" w:line="389" w:lineRule="auto"/>
        <w:ind w:left="1635" w:right="0" w:hanging="478"/>
        <w:rPr>
          <w:sz w:val="22"/>
        </w:rPr>
      </w:pPr>
      <w:r w:rsidRPr="0013706F">
        <w:rPr>
          <w:sz w:val="22"/>
        </w:rPr>
        <w:t>spustenie procesu zadávania zákazky v rámci</w:t>
      </w:r>
      <w:r w:rsidR="00750689" w:rsidRPr="0013706F">
        <w:rPr>
          <w:sz w:val="22"/>
        </w:rPr>
        <w:t xml:space="preserve"> elektronického trhoviska alebo</w:t>
      </w:r>
    </w:p>
    <w:p w14:paraId="20E61A4B" w14:textId="77777777" w:rsidR="00085AA1" w:rsidRPr="0013706F" w:rsidRDefault="00131FF0" w:rsidP="008A0BAA">
      <w:pPr>
        <w:numPr>
          <w:ilvl w:val="1"/>
          <w:numId w:val="2"/>
        </w:numPr>
        <w:spacing w:after="1" w:line="389" w:lineRule="auto"/>
        <w:ind w:left="1635" w:right="0" w:hanging="478"/>
        <w:rPr>
          <w:sz w:val="22"/>
        </w:rPr>
      </w:pPr>
      <w:r w:rsidRPr="0013706F">
        <w:rPr>
          <w:sz w:val="22"/>
        </w:rPr>
        <w:t xml:space="preserve">odoslanie výzvy na predkladanie ponúk vybraným záujemcom </w:t>
      </w:r>
    </w:p>
    <w:p w14:paraId="368B6096" w14:textId="77777777" w:rsidR="00085AA1" w:rsidRPr="0013706F" w:rsidRDefault="00131FF0">
      <w:pPr>
        <w:numPr>
          <w:ilvl w:val="0"/>
          <w:numId w:val="3"/>
        </w:numPr>
        <w:spacing w:after="155"/>
        <w:ind w:right="0" w:hanging="358"/>
        <w:rPr>
          <w:sz w:val="22"/>
        </w:rPr>
      </w:pPr>
      <w:r w:rsidRPr="0013706F">
        <w:rPr>
          <w:sz w:val="22"/>
        </w:rPr>
        <w:t>Povinnosti prijímateľa pri zadávaní zákaziek na dodanie tovaru, poskytnutie služieb, uskutočnenie stavebných prác tretím subjektom (dodávateľom/zhotoviteľom) a pri predkladaní dokumentácie z VO na finančnú kontrolu na RO pre IROP/SO pre IROP VÚC a odporúčania na problémové oblasti pri VO definuje metodický dokument Jednotná príručka pre žiadateľov/prijímateľov k procesu a kontrole verejného obstarávania/obstarávania</w:t>
      </w:r>
      <w:r w:rsidRPr="0013706F">
        <w:rPr>
          <w:sz w:val="22"/>
          <w:vertAlign w:val="superscript"/>
        </w:rPr>
        <w:footnoteReference w:id="1"/>
      </w:r>
      <w:r w:rsidRPr="0013706F">
        <w:rPr>
          <w:sz w:val="22"/>
        </w:rPr>
        <w:t xml:space="preserve">.  </w:t>
      </w:r>
    </w:p>
    <w:p w14:paraId="1C053891" w14:textId="649BAE5C" w:rsidR="00085AA1" w:rsidRPr="0013706F" w:rsidRDefault="00131FF0">
      <w:pPr>
        <w:numPr>
          <w:ilvl w:val="0"/>
          <w:numId w:val="3"/>
        </w:numPr>
        <w:ind w:right="0" w:hanging="358"/>
        <w:rPr>
          <w:sz w:val="22"/>
        </w:rPr>
      </w:pPr>
      <w:r w:rsidRPr="0013706F">
        <w:rPr>
          <w:sz w:val="22"/>
        </w:rPr>
        <w:t xml:space="preserve">Prijímateľ je povinný začať proces VO na hlavné aktivity projektu tak, aby bol splnený bod č. 5 úvodného ustanovenia, čo preukáže splnením podmienky v zmysle bodu 2) tejto kapitoly, zaslaním informácie RO pre IROP/SO pre IROP VÚC elektronicky prostredníctvom ITMS2014+ a zároveň emailom príslušnému projektovému manažérovi. </w:t>
      </w:r>
      <w:r w:rsidRPr="0013706F">
        <w:rPr>
          <w:b/>
          <w:sz w:val="22"/>
          <w:u w:color="000000"/>
        </w:rPr>
        <w:t>V prípade nezaslania informácie v stanovenom termíne, bude mať RO</w:t>
      </w:r>
      <w:r w:rsidRPr="0013706F">
        <w:rPr>
          <w:b/>
          <w:sz w:val="22"/>
        </w:rPr>
        <w:t xml:space="preserve"> </w:t>
      </w:r>
      <w:r w:rsidRPr="0013706F">
        <w:rPr>
          <w:b/>
          <w:sz w:val="22"/>
          <w:u w:color="000000"/>
        </w:rPr>
        <w:t xml:space="preserve">pre IROP/SO pre IROP za to, že zo strany prijímateľa </w:t>
      </w:r>
      <w:r w:rsidR="008C179A" w:rsidRPr="0013706F">
        <w:rPr>
          <w:b/>
          <w:sz w:val="22"/>
          <w:u w:color="000000"/>
        </w:rPr>
        <w:t xml:space="preserve">nebol </w:t>
      </w:r>
      <w:r w:rsidRPr="0013706F">
        <w:rPr>
          <w:b/>
          <w:sz w:val="22"/>
          <w:u w:color="000000"/>
        </w:rPr>
        <w:t>splnený termín na</w:t>
      </w:r>
      <w:r w:rsidRPr="0013706F">
        <w:rPr>
          <w:b/>
          <w:sz w:val="22"/>
        </w:rPr>
        <w:t xml:space="preserve"> </w:t>
      </w:r>
      <w:r w:rsidRPr="0013706F">
        <w:rPr>
          <w:b/>
          <w:sz w:val="22"/>
          <w:u w:color="000000"/>
        </w:rPr>
        <w:t>začatie VO.</w:t>
      </w:r>
      <w:r w:rsidRPr="0013706F">
        <w:rPr>
          <w:b/>
          <w:sz w:val="22"/>
        </w:rPr>
        <w:t xml:space="preserve">  </w:t>
      </w:r>
    </w:p>
    <w:p w14:paraId="0F57DB36" w14:textId="77777777" w:rsidR="00085AA1" w:rsidRPr="0013706F" w:rsidRDefault="00131FF0">
      <w:pPr>
        <w:numPr>
          <w:ilvl w:val="0"/>
          <w:numId w:val="3"/>
        </w:numPr>
        <w:ind w:right="0" w:hanging="358"/>
        <w:rPr>
          <w:sz w:val="22"/>
        </w:rPr>
      </w:pPr>
      <w:r w:rsidRPr="0013706F">
        <w:rPr>
          <w:sz w:val="22"/>
        </w:rPr>
        <w:t xml:space="preserve">V prípade, ak sa v rámci projektu realizujú viaceré VO na hlavné aktivity, za relevantné v zmysle Usmernenia č. 14, je považované VO s najväčším podielom celkovo oprávnených výdavkov v zmysle Zmluvy o poskytnutí NFP na projekte.  </w:t>
      </w:r>
    </w:p>
    <w:p w14:paraId="38815380" w14:textId="04DA3218" w:rsidR="00085AA1" w:rsidRPr="0013706F" w:rsidRDefault="00131FF0">
      <w:pPr>
        <w:numPr>
          <w:ilvl w:val="0"/>
          <w:numId w:val="3"/>
        </w:numPr>
        <w:spacing w:after="0"/>
        <w:ind w:right="0" w:hanging="358"/>
        <w:rPr>
          <w:sz w:val="22"/>
        </w:rPr>
      </w:pPr>
      <w:r w:rsidRPr="0013706F">
        <w:rPr>
          <w:sz w:val="22"/>
        </w:rPr>
        <w:t xml:space="preserve">Ak prijímateľ nesplní podmienku č. 5  predmetného Usmernenia RO pre IROP č. 14, RO pre IROP a SO pre IROP VÚC  má právo postupovať v súlade so zmluvou o NFP, Príloha č. 1 Všeobecné zmluvné podmienky, čl. 9, Ukončenie Zmluvy, predovšetkým ods. 4 písm. b) bodu č. </w:t>
      </w:r>
      <w:r w:rsidR="00C733FF" w:rsidRPr="0013706F">
        <w:rPr>
          <w:sz w:val="22"/>
        </w:rPr>
        <w:t xml:space="preserve">i </w:t>
      </w:r>
      <w:r w:rsidRPr="0013706F">
        <w:rPr>
          <w:i/>
          <w:sz w:val="22"/>
        </w:rPr>
        <w:t xml:space="preserve">„vznik takých okolností na strane Prijímateľa, v dôsledku ktorých bude zmarené dosiahnutie účelu Zmluvy o poskytnutí NFP a/alebo cieľa Projektu a súčasne nepôjde o OVZ“. </w:t>
      </w:r>
    </w:p>
    <w:p w14:paraId="41C087E1" w14:textId="77777777" w:rsidR="00B25197" w:rsidRPr="0013706F" w:rsidRDefault="00B25197" w:rsidP="00B25197">
      <w:pPr>
        <w:spacing w:after="0"/>
        <w:ind w:left="720" w:right="0" w:firstLine="0"/>
        <w:rPr>
          <w:sz w:val="22"/>
        </w:rPr>
      </w:pPr>
    </w:p>
    <w:tbl>
      <w:tblPr>
        <w:tblStyle w:val="Mriekatabuky"/>
        <w:tblW w:w="0" w:type="auto"/>
        <w:shd w:val="clear" w:color="auto" w:fill="FF0000"/>
        <w:tblLook w:val="04A0" w:firstRow="1" w:lastRow="0" w:firstColumn="1" w:lastColumn="0" w:noHBand="0" w:noVBand="1"/>
      </w:tblPr>
      <w:tblGrid>
        <w:gridCol w:w="9065"/>
      </w:tblGrid>
      <w:tr w:rsidR="000E3575" w:rsidRPr="0013706F" w14:paraId="7577CF0C" w14:textId="77777777" w:rsidTr="00425F42">
        <w:tc>
          <w:tcPr>
            <w:tcW w:w="9065" w:type="dxa"/>
            <w:shd w:val="clear" w:color="auto" w:fill="FFFF00"/>
          </w:tcPr>
          <w:p w14:paraId="076D20AF" w14:textId="77777777" w:rsidR="007A77F5" w:rsidRDefault="000E3575" w:rsidP="006935E3">
            <w:pPr>
              <w:ind w:left="0" w:right="0" w:firstLine="0"/>
              <w:rPr>
                <w:sz w:val="22"/>
              </w:rPr>
            </w:pPr>
            <w:r w:rsidRPr="0013706F">
              <w:rPr>
                <w:sz w:val="22"/>
              </w:rPr>
              <w:t xml:space="preserve">Upozornenie pre prijímateľov: </w:t>
            </w:r>
          </w:p>
          <w:p w14:paraId="7CA588A3" w14:textId="109A3843" w:rsidR="000E3575" w:rsidRPr="0013706F" w:rsidRDefault="000E3575" w:rsidP="006935E3">
            <w:pPr>
              <w:ind w:left="0" w:right="0" w:firstLine="0"/>
              <w:rPr>
                <w:sz w:val="22"/>
              </w:rPr>
            </w:pPr>
            <w:r w:rsidRPr="0013706F">
              <w:rPr>
                <w:sz w:val="22"/>
              </w:rPr>
              <w:t>Vzhľadom na blížiaci sa koniec oprávneností výdavkov, RO pre IROP odporúča vyhlasovať VO bez odkladacej podmienky účinnosti Zmluvy ako výsledku verejného obstarávania naviazanej na vykonanie kontroly VO zo strany RO  pre IROP/ SO pre IROP. V prípade už vyhlásených VO, môžu prijímatelia predmetné ustanovenia uvedeným spôsobom upraviť do uplynutia lehoty na predkladanie ponúk za podmienky, že  Prijímateľ dostatočne predĺži lehotu na predkladanie ponúk.</w:t>
            </w:r>
          </w:p>
        </w:tc>
      </w:tr>
    </w:tbl>
    <w:p w14:paraId="14E47BD3" w14:textId="18F74D27" w:rsidR="00085AA1" w:rsidRPr="00B25197" w:rsidRDefault="00085AA1">
      <w:pPr>
        <w:spacing w:after="0" w:line="259" w:lineRule="auto"/>
        <w:ind w:left="0" w:right="0" w:firstLine="0"/>
        <w:jc w:val="left"/>
        <w:rPr>
          <w:rFonts w:ascii="Calibri" w:eastAsia="Calibri" w:hAnsi="Calibri" w:cs="Calibri"/>
          <w:sz w:val="22"/>
        </w:rPr>
      </w:pPr>
    </w:p>
    <w:p w14:paraId="67042310" w14:textId="6E8D2436" w:rsidR="00B25197" w:rsidRDefault="00861496" w:rsidP="00861496">
      <w:pPr>
        <w:pStyle w:val="Nadpis1"/>
        <w:tabs>
          <w:tab w:val="left" w:pos="567"/>
        </w:tabs>
        <w:ind w:left="-5"/>
      </w:pPr>
      <w:r>
        <w:t>3.</w:t>
      </w:r>
      <w:r>
        <w:tab/>
      </w:r>
      <w:r w:rsidR="00B25197">
        <w:t xml:space="preserve">Postup pre zrýchlenie implementácie </w:t>
      </w:r>
      <w:r w:rsidR="00F928B0">
        <w:t xml:space="preserve">projektov </w:t>
      </w:r>
      <w:r w:rsidR="007D4985">
        <w:t xml:space="preserve">Prioritnej osi  5 </w:t>
      </w:r>
    </w:p>
    <w:p w14:paraId="04A70FE9" w14:textId="77777777" w:rsidR="00AD57B4" w:rsidRPr="007040CB" w:rsidRDefault="00AD57B4" w:rsidP="00AD57B4">
      <w:pPr>
        <w:pStyle w:val="Nadpis1"/>
        <w:ind w:left="-5"/>
      </w:pPr>
      <w:r>
        <w:rPr>
          <w:rFonts w:ascii="Calibri" w:eastAsia="Calibri" w:hAnsi="Calibri" w:cs="Calibri"/>
          <w:noProof/>
          <w:sz w:val="22"/>
        </w:rPr>
        <mc:AlternateContent>
          <mc:Choice Requires="wpg">
            <w:drawing>
              <wp:inline distT="0" distB="0" distL="0" distR="0" wp14:anchorId="1819FFF7" wp14:editId="387D618D">
                <wp:extent cx="5762625" cy="11995"/>
                <wp:effectExtent l="0" t="0" r="9525" b="7620"/>
                <wp:docPr id="2" name="Group 4166"/>
                <wp:cNvGraphicFramePr/>
                <a:graphic xmlns:a="http://schemas.openxmlformats.org/drawingml/2006/main">
                  <a:graphicData uri="http://schemas.microsoft.com/office/word/2010/wordprocessingGroup">
                    <wpg:wgp>
                      <wpg:cNvGrpSpPr/>
                      <wpg:grpSpPr>
                        <a:xfrm>
                          <a:off x="0" y="0"/>
                          <a:ext cx="5762625" cy="11995"/>
                          <a:chOff x="0" y="0"/>
                          <a:chExt cx="5796661" cy="12192"/>
                        </a:xfrm>
                      </wpg:grpSpPr>
                      <wps:wsp>
                        <wps:cNvPr id="9" name="Shape 5035"/>
                        <wps:cNvSpPr/>
                        <wps:spPr>
                          <a:xfrm>
                            <a:off x="0" y="0"/>
                            <a:ext cx="5796661" cy="12192"/>
                          </a:xfrm>
                          <a:custGeom>
                            <a:avLst/>
                            <a:gdLst/>
                            <a:ahLst/>
                            <a:cxnLst/>
                            <a:rect l="0" t="0" r="0" b="0"/>
                            <a:pathLst>
                              <a:path w="5796661" h="12192">
                                <a:moveTo>
                                  <a:pt x="0" y="0"/>
                                </a:moveTo>
                                <a:lnTo>
                                  <a:pt x="5796661" y="0"/>
                                </a:lnTo>
                                <a:lnTo>
                                  <a:pt x="5796661" y="12192"/>
                                </a:lnTo>
                                <a:lnTo>
                                  <a:pt x="0" y="12192"/>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inline>
            </w:drawing>
          </mc:Choice>
          <mc:Fallback>
            <w:pict>
              <v:group w14:anchorId="72282854" id="Group 4166" o:spid="_x0000_s1026" style="width:453.75pt;height:.95pt;mso-position-horizontal-relative:char;mso-position-vertical-relative:line" coordsize="57966,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">
                <v:shape id="Shape 5035" o:spid="_x0000_s1027" style="position:absolute;width:57966;height:121;visibility:visible;mso-wrap-style:square;v-text-anchor:top" coordsize="5796661,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" path="m,l5796661,r,12192l,12192,,e" fillcolor="#4f81bd" stroked="f" strokeweight="0">
                  <v:stroke miterlimit="83231f" joinstyle="miter"/>
                  <v:path arrowok="t" textboxrect="0,0,5796661,12192"/>
                </v:shape>
                <w10:anchorlock/>
              </v:group>
            </w:pict>
          </mc:Fallback>
        </mc:AlternateContent>
      </w:r>
    </w:p>
    <w:p w14:paraId="24C20E7B" w14:textId="77777777" w:rsidR="00B25197" w:rsidRPr="0013706F" w:rsidRDefault="00B25197" w:rsidP="00B25197">
      <w:pPr>
        <w:rPr>
          <w:sz w:val="22"/>
        </w:rPr>
      </w:pPr>
    </w:p>
    <w:p w14:paraId="22D3E0AE" w14:textId="1D22E6EE" w:rsidR="00955AB4" w:rsidRPr="0013706F" w:rsidRDefault="00EC492A" w:rsidP="00955AB4">
      <w:pPr>
        <w:numPr>
          <w:ilvl w:val="0"/>
          <w:numId w:val="4"/>
        </w:numPr>
        <w:spacing w:after="84"/>
        <w:ind w:right="0"/>
        <w:rPr>
          <w:sz w:val="22"/>
          <w:szCs w:val="24"/>
        </w:rPr>
      </w:pPr>
      <w:r w:rsidRPr="0013706F">
        <w:rPr>
          <w:sz w:val="22"/>
          <w:szCs w:val="24"/>
        </w:rPr>
        <w:t xml:space="preserve">Miestne akčné skupiny (ďalej ako „MAS“) sú oprávnené </w:t>
      </w:r>
      <w:r w:rsidR="00955AB4" w:rsidRPr="0013706F">
        <w:rPr>
          <w:sz w:val="22"/>
          <w:szCs w:val="24"/>
        </w:rPr>
        <w:t>až</w:t>
      </w:r>
      <w:r w:rsidR="00955AB4" w:rsidRPr="0013706F">
        <w:rPr>
          <w:b/>
          <w:sz w:val="22"/>
          <w:szCs w:val="24"/>
        </w:rPr>
        <w:t xml:space="preserve"> do termínu 30.6.2023</w:t>
      </w:r>
      <w:r w:rsidR="00425F42" w:rsidRPr="003C1CD2">
        <w:rPr>
          <w:rStyle w:val="Odkaznapoznmkupodiarou"/>
          <w:szCs w:val="24"/>
        </w:rPr>
        <w:footnoteReference w:id="2"/>
      </w:r>
      <w:r w:rsidR="00955AB4" w:rsidRPr="003C1CD2">
        <w:rPr>
          <w:szCs w:val="24"/>
        </w:rPr>
        <w:t xml:space="preserve"> </w:t>
      </w:r>
      <w:r w:rsidR="00955AB4" w:rsidRPr="0013706F">
        <w:rPr>
          <w:b/>
          <w:sz w:val="22"/>
          <w:szCs w:val="24"/>
        </w:rPr>
        <w:t xml:space="preserve">predkladať žiadosti na výkon </w:t>
      </w:r>
      <w:r w:rsidRPr="0013706F">
        <w:rPr>
          <w:b/>
          <w:sz w:val="22"/>
          <w:szCs w:val="24"/>
        </w:rPr>
        <w:t xml:space="preserve">ex-post </w:t>
      </w:r>
      <w:r w:rsidR="00955AB4" w:rsidRPr="0013706F">
        <w:rPr>
          <w:b/>
          <w:sz w:val="22"/>
          <w:szCs w:val="24"/>
        </w:rPr>
        <w:t xml:space="preserve">kontroly </w:t>
      </w:r>
      <w:r w:rsidR="00955AB4" w:rsidRPr="0013706F">
        <w:rPr>
          <w:b/>
          <w:sz w:val="22"/>
        </w:rPr>
        <w:t xml:space="preserve">verejných obstarávaní </w:t>
      </w:r>
      <w:r w:rsidR="00955AB4" w:rsidRPr="0013706F">
        <w:rPr>
          <w:b/>
          <w:sz w:val="22"/>
          <w:szCs w:val="24"/>
        </w:rPr>
        <w:t>cez Všeobecnú komunikáciu (VKV) alebo ako súčasť agregovanej žiadosti o platbu</w:t>
      </w:r>
      <w:r w:rsidR="00955AB4" w:rsidRPr="0013706F">
        <w:rPr>
          <w:sz w:val="22"/>
          <w:szCs w:val="24"/>
        </w:rPr>
        <w:t>.</w:t>
      </w:r>
    </w:p>
    <w:p w14:paraId="4B463623" w14:textId="7CCD78D1" w:rsidR="00366E24" w:rsidRPr="0013706F" w:rsidRDefault="00EC492A" w:rsidP="00366E24">
      <w:pPr>
        <w:numPr>
          <w:ilvl w:val="0"/>
          <w:numId w:val="4"/>
        </w:numPr>
        <w:spacing w:after="84"/>
        <w:ind w:right="0"/>
        <w:rPr>
          <w:sz w:val="22"/>
          <w:szCs w:val="24"/>
        </w:rPr>
      </w:pPr>
      <w:r w:rsidRPr="0013706F">
        <w:rPr>
          <w:sz w:val="22"/>
          <w:szCs w:val="24"/>
        </w:rPr>
        <w:t xml:space="preserve">MAS </w:t>
      </w:r>
      <w:r w:rsidR="00B25197" w:rsidRPr="0013706F">
        <w:rPr>
          <w:sz w:val="22"/>
          <w:szCs w:val="24"/>
        </w:rPr>
        <w:t xml:space="preserve">sú </w:t>
      </w:r>
      <w:r w:rsidR="00955AB4" w:rsidRPr="0013706F">
        <w:rPr>
          <w:b/>
          <w:sz w:val="22"/>
          <w:szCs w:val="24"/>
        </w:rPr>
        <w:t xml:space="preserve">od 1.7.2023 </w:t>
      </w:r>
      <w:r w:rsidR="00B25197" w:rsidRPr="0013706F">
        <w:rPr>
          <w:b/>
          <w:sz w:val="22"/>
          <w:szCs w:val="24"/>
        </w:rPr>
        <w:t>povinné</w:t>
      </w:r>
      <w:r w:rsidR="00B25197" w:rsidRPr="0013706F">
        <w:rPr>
          <w:sz w:val="22"/>
          <w:szCs w:val="24"/>
        </w:rPr>
        <w:t xml:space="preserve"> </w:t>
      </w:r>
      <w:r w:rsidR="00B25197" w:rsidRPr="0013706F">
        <w:rPr>
          <w:b/>
          <w:sz w:val="22"/>
          <w:szCs w:val="24"/>
        </w:rPr>
        <w:t xml:space="preserve">predložiť </w:t>
      </w:r>
      <w:r w:rsidRPr="0013706F">
        <w:rPr>
          <w:b/>
          <w:sz w:val="22"/>
          <w:szCs w:val="24"/>
        </w:rPr>
        <w:t xml:space="preserve">na RO pre IROP </w:t>
      </w:r>
      <w:r w:rsidR="00AD57B4" w:rsidRPr="0013706F">
        <w:rPr>
          <w:b/>
          <w:sz w:val="22"/>
          <w:szCs w:val="24"/>
        </w:rPr>
        <w:t>ž</w:t>
      </w:r>
      <w:r w:rsidR="00AD57B4" w:rsidRPr="0013706F">
        <w:rPr>
          <w:b/>
          <w:sz w:val="22"/>
        </w:rPr>
        <w:t xml:space="preserve">iadosti o vykonanie kontroly </w:t>
      </w:r>
      <w:r w:rsidR="00852642" w:rsidRPr="0013706F">
        <w:rPr>
          <w:b/>
          <w:sz w:val="22"/>
        </w:rPr>
        <w:t xml:space="preserve">verejných obstarávaní </w:t>
      </w:r>
      <w:r w:rsidR="00B25197" w:rsidRPr="0013706F">
        <w:rPr>
          <w:b/>
          <w:sz w:val="22"/>
          <w:szCs w:val="24"/>
        </w:rPr>
        <w:t xml:space="preserve">na ex-post kontrolu </w:t>
      </w:r>
      <w:r w:rsidR="00955AB4" w:rsidRPr="0013706F">
        <w:rPr>
          <w:b/>
          <w:sz w:val="22"/>
          <w:szCs w:val="24"/>
        </w:rPr>
        <w:t>výlučne ako súčasť agregovanej žiadosti o</w:t>
      </w:r>
      <w:r w:rsidRPr="0013706F">
        <w:rPr>
          <w:b/>
          <w:sz w:val="22"/>
          <w:szCs w:val="24"/>
        </w:rPr>
        <w:t> </w:t>
      </w:r>
      <w:r w:rsidR="00955AB4" w:rsidRPr="0013706F">
        <w:rPr>
          <w:b/>
          <w:sz w:val="22"/>
          <w:szCs w:val="24"/>
        </w:rPr>
        <w:t>platbu</w:t>
      </w:r>
      <w:r w:rsidRPr="0013706F">
        <w:rPr>
          <w:sz w:val="22"/>
          <w:szCs w:val="24"/>
        </w:rPr>
        <w:t xml:space="preserve">, </w:t>
      </w:r>
      <w:r w:rsidRPr="0013706F">
        <w:rPr>
          <w:b/>
          <w:sz w:val="22"/>
          <w:szCs w:val="24"/>
        </w:rPr>
        <w:t>avšak najneskôr</w:t>
      </w:r>
      <w:r w:rsidRPr="0013706F">
        <w:rPr>
          <w:sz w:val="22"/>
          <w:szCs w:val="24"/>
        </w:rPr>
        <w:t xml:space="preserve"> </w:t>
      </w:r>
      <w:r w:rsidRPr="0013706F">
        <w:rPr>
          <w:b/>
          <w:sz w:val="22"/>
          <w:szCs w:val="24"/>
        </w:rPr>
        <w:t>do 30.9.2023</w:t>
      </w:r>
      <w:r w:rsidR="00425F42" w:rsidRPr="0013706F">
        <w:rPr>
          <w:sz w:val="22"/>
          <w:szCs w:val="24"/>
        </w:rPr>
        <w:t>*</w:t>
      </w:r>
      <w:r w:rsidRPr="0013706F">
        <w:rPr>
          <w:b/>
          <w:sz w:val="22"/>
          <w:szCs w:val="24"/>
        </w:rPr>
        <w:t>.</w:t>
      </w:r>
    </w:p>
    <w:p w14:paraId="4F1A2557" w14:textId="4B0B3A31" w:rsidR="00B25197" w:rsidRPr="0013706F" w:rsidRDefault="00B25197" w:rsidP="00B25197">
      <w:pPr>
        <w:numPr>
          <w:ilvl w:val="0"/>
          <w:numId w:val="4"/>
        </w:numPr>
        <w:spacing w:after="84"/>
        <w:ind w:right="0"/>
        <w:rPr>
          <w:sz w:val="22"/>
          <w:szCs w:val="24"/>
        </w:rPr>
      </w:pPr>
      <w:r w:rsidRPr="0013706F">
        <w:rPr>
          <w:sz w:val="22"/>
          <w:szCs w:val="24"/>
        </w:rPr>
        <w:t>RO pre IROP vyzýva MAS, ako zmluvného partnera na dodržiavanie Zmluvy o NFP, konkrétne bodu 5.3 časť b) (iii), odsek 5. Osobitné dojednania, „</w:t>
      </w:r>
      <w:r w:rsidRPr="0013706F">
        <w:rPr>
          <w:i/>
          <w:sz w:val="22"/>
          <w:szCs w:val="24"/>
        </w:rPr>
        <w:t>MAS je povinná na základe požiadavky Poskytovateľa poskytnúť všetky Poskytovateľom požadované informácie vo vzťahu k poskytovaniu príspevkov Užívateľom spôsobom a v lehotách požadovaných Poskytovateľom.</w:t>
      </w:r>
      <w:r w:rsidRPr="0013706F">
        <w:rPr>
          <w:sz w:val="22"/>
          <w:szCs w:val="24"/>
        </w:rPr>
        <w:t>“ RO pre IROP upozorňuje, že je ako poskytovateľ povinný v zmysle predmetnej Zmluvy o poskytnutí NFP poskytnúť usmernenie týkajúce sa postupu pri implementácií stratégie CLLD na základe písomnej požiadavky adresovanej na Poskytovateľa, avšak len zmluvnému partnerovi, t. j.  len MAS.</w:t>
      </w:r>
    </w:p>
    <w:p w14:paraId="39176561" w14:textId="3D448656" w:rsidR="00B25197" w:rsidRPr="0013706F" w:rsidRDefault="00B25197" w:rsidP="00B25197">
      <w:pPr>
        <w:numPr>
          <w:ilvl w:val="0"/>
          <w:numId w:val="4"/>
        </w:numPr>
        <w:spacing w:after="84"/>
        <w:ind w:right="0"/>
        <w:rPr>
          <w:sz w:val="22"/>
          <w:szCs w:val="24"/>
        </w:rPr>
      </w:pPr>
      <w:r w:rsidRPr="0013706F">
        <w:rPr>
          <w:sz w:val="22"/>
          <w:szCs w:val="24"/>
        </w:rPr>
        <w:t>RO pre IROP stanovuje pre MAS,</w:t>
      </w:r>
      <w:r w:rsidRPr="0013706F">
        <w:rPr>
          <w:b/>
          <w:sz w:val="22"/>
          <w:szCs w:val="24"/>
        </w:rPr>
        <w:t xml:space="preserve"> </w:t>
      </w:r>
      <w:r w:rsidRPr="0013706F">
        <w:rPr>
          <w:sz w:val="22"/>
          <w:szCs w:val="24"/>
        </w:rPr>
        <w:t xml:space="preserve">ktorých </w:t>
      </w:r>
      <w:r w:rsidRPr="0013706F">
        <w:rPr>
          <w:b/>
          <w:sz w:val="22"/>
          <w:szCs w:val="24"/>
        </w:rPr>
        <w:t>projekty</w:t>
      </w:r>
      <w:r w:rsidRPr="0013706F">
        <w:rPr>
          <w:sz w:val="22"/>
          <w:szCs w:val="24"/>
        </w:rPr>
        <w:t xml:space="preserve"> </w:t>
      </w:r>
      <w:r w:rsidRPr="0013706F">
        <w:rPr>
          <w:b/>
          <w:sz w:val="22"/>
          <w:szCs w:val="24"/>
        </w:rPr>
        <w:t>implementácie stratégie MAS</w:t>
      </w:r>
      <w:r w:rsidRPr="0013706F">
        <w:rPr>
          <w:sz w:val="22"/>
          <w:szCs w:val="24"/>
        </w:rPr>
        <w:t xml:space="preserve"> boli identifikované ako rizikové</w:t>
      </w:r>
      <w:bookmarkStart w:id="0" w:name="_GoBack"/>
      <w:bookmarkEnd w:id="0"/>
      <w:r w:rsidRPr="0013706F">
        <w:rPr>
          <w:sz w:val="22"/>
          <w:szCs w:val="24"/>
        </w:rPr>
        <w:t xml:space="preserve"> pre nedostatočný pokrok implementácie projektov z dôvodu, že MAS nepredložili žiaden protokol o výbere Žiadosti o poskytnutie príspevku, </w:t>
      </w:r>
      <w:r w:rsidRPr="0013706F">
        <w:rPr>
          <w:b/>
          <w:sz w:val="22"/>
          <w:szCs w:val="24"/>
        </w:rPr>
        <w:t xml:space="preserve">termín predloženia protokolov o výbere Žiadosti o poskytnutie príspevku do </w:t>
      </w:r>
      <w:r w:rsidRPr="00FF64AC">
        <w:rPr>
          <w:b/>
          <w:color w:val="auto"/>
          <w:sz w:val="22"/>
          <w:szCs w:val="24"/>
        </w:rPr>
        <w:t xml:space="preserve">31.5.2023. </w:t>
      </w:r>
      <w:r w:rsidRPr="00FF64AC">
        <w:rPr>
          <w:color w:val="auto"/>
          <w:sz w:val="22"/>
          <w:szCs w:val="24"/>
        </w:rPr>
        <w:t xml:space="preserve"> </w:t>
      </w:r>
    </w:p>
    <w:p w14:paraId="51990DDC" w14:textId="5746A082" w:rsidR="00B25197" w:rsidRDefault="00B25197" w:rsidP="00B25197">
      <w:pPr>
        <w:numPr>
          <w:ilvl w:val="0"/>
          <w:numId w:val="4"/>
        </w:numPr>
        <w:spacing w:after="84"/>
        <w:ind w:right="0"/>
        <w:rPr>
          <w:sz w:val="22"/>
          <w:szCs w:val="24"/>
        </w:rPr>
      </w:pPr>
      <w:r w:rsidRPr="0013706F">
        <w:rPr>
          <w:sz w:val="22"/>
          <w:szCs w:val="24"/>
        </w:rPr>
        <w:t xml:space="preserve">RO pre IROP stanovuje </w:t>
      </w:r>
      <w:r w:rsidRPr="0013706F">
        <w:rPr>
          <w:b/>
          <w:sz w:val="22"/>
          <w:szCs w:val="24"/>
        </w:rPr>
        <w:t>pre MAS, aby v rámci projektov na financovanie prevádzkových nákladov MAS (CHOD MAS) predložili všetky žiadosti o zmenu zmluvy</w:t>
      </w:r>
      <w:r w:rsidRPr="0013706F">
        <w:rPr>
          <w:sz w:val="22"/>
          <w:szCs w:val="24"/>
        </w:rPr>
        <w:t xml:space="preserve">, ktoré sa týkajú presunov položiek v podrobnom rozpočte projektu, najneskôr </w:t>
      </w:r>
      <w:r w:rsidRPr="00FF64AC">
        <w:rPr>
          <w:b/>
          <w:color w:val="auto"/>
          <w:sz w:val="22"/>
          <w:szCs w:val="24"/>
        </w:rPr>
        <w:t xml:space="preserve">do </w:t>
      </w:r>
      <w:r w:rsidR="007D0544" w:rsidRPr="00FF64AC">
        <w:rPr>
          <w:b/>
          <w:color w:val="auto"/>
          <w:sz w:val="22"/>
          <w:szCs w:val="24"/>
        </w:rPr>
        <w:t>31.5</w:t>
      </w:r>
      <w:r w:rsidRPr="00FF64AC">
        <w:rPr>
          <w:b/>
          <w:color w:val="auto"/>
          <w:sz w:val="22"/>
          <w:szCs w:val="24"/>
        </w:rPr>
        <w:t>.2023</w:t>
      </w:r>
      <w:r w:rsidRPr="00544FCF">
        <w:rPr>
          <w:color w:val="FF0000"/>
          <w:sz w:val="22"/>
          <w:szCs w:val="24"/>
        </w:rPr>
        <w:t>.</w:t>
      </w:r>
    </w:p>
    <w:p w14:paraId="4B886E66" w14:textId="77777777" w:rsidR="007A77F5" w:rsidRPr="0013706F" w:rsidRDefault="007A77F5" w:rsidP="007A77F5">
      <w:pPr>
        <w:spacing w:after="84"/>
        <w:ind w:left="720" w:right="0" w:firstLine="0"/>
        <w:rPr>
          <w:sz w:val="22"/>
          <w:szCs w:val="24"/>
        </w:rPr>
      </w:pPr>
    </w:p>
    <w:p w14:paraId="2E8F3F06" w14:textId="77777777" w:rsidR="007A77F5" w:rsidRDefault="00425F42" w:rsidP="00425F42">
      <w:pPr>
        <w:pBdr>
          <w:top w:val="single" w:sz="4" w:space="1" w:color="auto"/>
          <w:left w:val="single" w:sz="4" w:space="4" w:color="auto"/>
          <w:bottom w:val="single" w:sz="4" w:space="1" w:color="auto"/>
          <w:right w:val="single" w:sz="4" w:space="4" w:color="auto"/>
        </w:pBdr>
        <w:shd w:val="clear" w:color="auto" w:fill="FFFF00"/>
        <w:ind w:left="0" w:right="0" w:firstLine="0"/>
        <w:rPr>
          <w:sz w:val="22"/>
        </w:rPr>
      </w:pPr>
      <w:r w:rsidRPr="0013706F">
        <w:rPr>
          <w:sz w:val="22"/>
        </w:rPr>
        <w:t>Upozornenie</w:t>
      </w:r>
      <w:r w:rsidR="0013706F" w:rsidRPr="0013706F">
        <w:rPr>
          <w:sz w:val="22"/>
        </w:rPr>
        <w:t xml:space="preserve"> pre užívateľov MAS</w:t>
      </w:r>
      <w:r w:rsidRPr="0013706F">
        <w:rPr>
          <w:sz w:val="22"/>
        </w:rPr>
        <w:t xml:space="preserve">: </w:t>
      </w:r>
    </w:p>
    <w:p w14:paraId="1EC7B393" w14:textId="0D847BD4" w:rsidR="00B25197" w:rsidRPr="0013706F" w:rsidRDefault="00425F42" w:rsidP="00425F42">
      <w:pPr>
        <w:pBdr>
          <w:top w:val="single" w:sz="4" w:space="1" w:color="auto"/>
          <w:left w:val="single" w:sz="4" w:space="4" w:color="auto"/>
          <w:bottom w:val="single" w:sz="4" w:space="1" w:color="auto"/>
          <w:right w:val="single" w:sz="4" w:space="4" w:color="auto"/>
        </w:pBdr>
        <w:shd w:val="clear" w:color="auto" w:fill="FFFF00"/>
        <w:ind w:left="0" w:right="0" w:firstLine="0"/>
        <w:rPr>
          <w:sz w:val="22"/>
        </w:rPr>
      </w:pPr>
      <w:r w:rsidRPr="0013706F">
        <w:rPr>
          <w:sz w:val="22"/>
        </w:rPr>
        <w:t xml:space="preserve">Vzhľadom na blížiaci sa koniec oprávneností výdavkov, RO pre IROP odporúča vyhlasovať VO bez odkladacej podmienky účinnosti Zmluvy ako výsledku verejného obstarávania naviazanej na vykonanie kontroly VO zo strany RO  pre IROP/ SO pre IROP. V prípade už vyhlásených VO, </w:t>
      </w:r>
      <w:r w:rsidR="0013706F" w:rsidRPr="0013706F">
        <w:rPr>
          <w:sz w:val="22"/>
        </w:rPr>
        <w:t>možno</w:t>
      </w:r>
      <w:r w:rsidRPr="0013706F">
        <w:rPr>
          <w:sz w:val="22"/>
        </w:rPr>
        <w:t xml:space="preserve"> predmetné ustanovenia uvedeným spôsobom upraviť do uplynutia lehoty na predk</w:t>
      </w:r>
      <w:r w:rsidR="0013706F" w:rsidRPr="0013706F">
        <w:rPr>
          <w:sz w:val="22"/>
        </w:rPr>
        <w:t>ladanie ponúk za podmienky, že bude dostatočne predĺžená</w:t>
      </w:r>
      <w:r w:rsidRPr="0013706F">
        <w:rPr>
          <w:sz w:val="22"/>
        </w:rPr>
        <w:t xml:space="preserve"> lehot</w:t>
      </w:r>
      <w:r w:rsidR="0013706F" w:rsidRPr="0013706F">
        <w:rPr>
          <w:sz w:val="22"/>
        </w:rPr>
        <w:t>a</w:t>
      </w:r>
      <w:r w:rsidRPr="0013706F">
        <w:rPr>
          <w:sz w:val="22"/>
        </w:rPr>
        <w:t xml:space="preserve"> na predkladanie ponúk.</w:t>
      </w:r>
    </w:p>
    <w:p w14:paraId="5698D555" w14:textId="33E8DBBE" w:rsidR="00425F42" w:rsidRDefault="00425F42" w:rsidP="00425F42">
      <w:pPr>
        <w:pBdr>
          <w:top w:val="single" w:sz="4" w:space="1" w:color="auto"/>
          <w:left w:val="single" w:sz="4" w:space="4" w:color="auto"/>
          <w:bottom w:val="single" w:sz="4" w:space="1" w:color="auto"/>
          <w:right w:val="single" w:sz="4" w:space="4" w:color="auto"/>
        </w:pBdr>
        <w:shd w:val="clear" w:color="auto" w:fill="FFFF00"/>
        <w:ind w:left="0" w:right="0" w:firstLine="0"/>
        <w:rPr>
          <w:sz w:val="22"/>
        </w:rPr>
      </w:pPr>
      <w:r w:rsidRPr="0013706F">
        <w:rPr>
          <w:sz w:val="22"/>
        </w:rPr>
        <w:t>RO pre IROP odporúča oboznámiť sa so zverejneným dokumentom Zoznam najčastejších ne</w:t>
      </w:r>
      <w:r w:rsidR="0013706F" w:rsidRPr="0013706F">
        <w:rPr>
          <w:sz w:val="22"/>
        </w:rPr>
        <w:t>dostatkov v procese kontroly VO:</w:t>
      </w:r>
    </w:p>
    <w:p w14:paraId="48DF66A4" w14:textId="3415A404" w:rsidR="00425F42" w:rsidRDefault="00FF64AC" w:rsidP="007A77F5">
      <w:pPr>
        <w:pBdr>
          <w:top w:val="single" w:sz="4" w:space="1" w:color="auto"/>
          <w:left w:val="single" w:sz="4" w:space="4" w:color="auto"/>
          <w:bottom w:val="single" w:sz="4" w:space="1" w:color="auto"/>
          <w:right w:val="single" w:sz="4" w:space="4" w:color="auto"/>
        </w:pBdr>
        <w:shd w:val="clear" w:color="auto" w:fill="FFFF00"/>
        <w:ind w:left="0" w:right="0" w:firstLine="0"/>
        <w:rPr>
          <w:sz w:val="22"/>
        </w:rPr>
      </w:pPr>
      <w:hyperlink r:id="rId8" w:history="1">
        <w:r w:rsidR="007A77F5" w:rsidRPr="00FE5333">
          <w:rPr>
            <w:rStyle w:val="Hypertextovprepojenie"/>
            <w:sz w:val="22"/>
          </w:rPr>
          <w:t>https://www.mirri.gov.sk/mpsr/irop-programove-obdobie-2014-2020/najcastejsie-porusenia-zistene-pri-kontrole-vo/index.html</w:t>
        </w:r>
      </w:hyperlink>
    </w:p>
    <w:p w14:paraId="3D41F9E1" w14:textId="77777777" w:rsidR="007A77F5" w:rsidRPr="007A77F5" w:rsidRDefault="007A77F5" w:rsidP="007A77F5">
      <w:pPr>
        <w:pBdr>
          <w:top w:val="single" w:sz="4" w:space="1" w:color="auto"/>
          <w:left w:val="single" w:sz="4" w:space="4" w:color="auto"/>
          <w:bottom w:val="single" w:sz="4" w:space="1" w:color="auto"/>
          <w:right w:val="single" w:sz="4" w:space="4" w:color="auto"/>
        </w:pBdr>
        <w:shd w:val="clear" w:color="auto" w:fill="FFFF00"/>
        <w:ind w:left="0" w:right="0" w:firstLine="0"/>
        <w:rPr>
          <w:sz w:val="10"/>
        </w:rPr>
      </w:pPr>
    </w:p>
    <w:sectPr w:rsidR="007A77F5" w:rsidRPr="007A77F5" w:rsidSect="0013706F">
      <w:headerReference w:type="even" r:id="rId9"/>
      <w:headerReference w:type="default" r:id="rId10"/>
      <w:footerReference w:type="even" r:id="rId11"/>
      <w:footerReference w:type="default" r:id="rId12"/>
      <w:headerReference w:type="first" r:id="rId13"/>
      <w:footerReference w:type="first" r:id="rId14"/>
      <w:footnotePr>
        <w:numFmt w:val="chicago"/>
        <w:numRestart w:val="eachPage"/>
      </w:footnotePr>
      <w:pgSz w:w="11906" w:h="16838"/>
      <w:pgMar w:top="1548" w:right="1412" w:bottom="851" w:left="1419" w:header="538"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075EFC" w14:textId="77777777" w:rsidR="00442A46" w:rsidRDefault="00442A46">
      <w:pPr>
        <w:spacing w:after="0" w:line="240" w:lineRule="auto"/>
      </w:pPr>
      <w:r>
        <w:separator/>
      </w:r>
    </w:p>
  </w:endnote>
  <w:endnote w:type="continuationSeparator" w:id="0">
    <w:p w14:paraId="1E803B38" w14:textId="77777777" w:rsidR="00442A46" w:rsidRDefault="00442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E66515" w14:textId="77777777" w:rsidR="00085AA1" w:rsidRDefault="00131FF0">
    <w:pPr>
      <w:spacing w:after="0" w:line="259" w:lineRule="auto"/>
      <w:ind w:left="0" w:right="2"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5EC0BF27" w14:textId="77777777" w:rsidR="00085AA1" w:rsidRDefault="00131FF0">
    <w:pPr>
      <w:spacing w:after="0" w:line="259" w:lineRule="auto"/>
      <w:ind w:left="43" w:right="0" w:firstLine="0"/>
      <w:jc w:val="center"/>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D8C5A9" w14:textId="203BD50A" w:rsidR="00085AA1" w:rsidRDefault="00131FF0">
    <w:pPr>
      <w:spacing w:after="0" w:line="259" w:lineRule="auto"/>
      <w:ind w:left="0" w:right="2" w:firstLine="0"/>
      <w:jc w:val="right"/>
    </w:pPr>
    <w:r>
      <w:fldChar w:fldCharType="begin"/>
    </w:r>
    <w:r>
      <w:instrText xml:space="preserve"> PAGE   \* MERGEFORMAT </w:instrText>
    </w:r>
    <w:r>
      <w:fldChar w:fldCharType="separate"/>
    </w:r>
    <w:r w:rsidR="00FF64AC" w:rsidRPr="00FF64AC">
      <w:rPr>
        <w:rFonts w:ascii="Calibri" w:eastAsia="Calibri" w:hAnsi="Calibri" w:cs="Calibri"/>
        <w:noProof/>
        <w:sz w:val="22"/>
      </w:rPr>
      <w:t>3</w:t>
    </w:r>
    <w:r>
      <w:rPr>
        <w:rFonts w:ascii="Calibri" w:eastAsia="Calibri" w:hAnsi="Calibri" w:cs="Calibri"/>
        <w:sz w:val="22"/>
      </w:rPr>
      <w:fldChar w:fldCharType="end"/>
    </w:r>
    <w:r>
      <w:rPr>
        <w:rFonts w:ascii="Calibri" w:eastAsia="Calibri" w:hAnsi="Calibri" w:cs="Calibri"/>
        <w:sz w:val="22"/>
      </w:rPr>
      <w:t xml:space="preserve"> </w:t>
    </w:r>
  </w:p>
  <w:p w14:paraId="5323D5AF" w14:textId="77777777" w:rsidR="00085AA1" w:rsidRDefault="00131FF0">
    <w:pPr>
      <w:spacing w:after="0" w:line="259" w:lineRule="auto"/>
      <w:ind w:left="43" w:right="0" w:firstLine="0"/>
      <w:jc w:val="center"/>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341442" w14:textId="77777777" w:rsidR="00085AA1" w:rsidRDefault="00131FF0">
    <w:pPr>
      <w:spacing w:after="0" w:line="259" w:lineRule="auto"/>
      <w:ind w:left="0" w:right="2"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22F9D024" w14:textId="77777777" w:rsidR="00085AA1" w:rsidRDefault="00131FF0">
    <w:pPr>
      <w:spacing w:after="0" w:line="259" w:lineRule="auto"/>
      <w:ind w:left="43" w:right="0" w:firstLine="0"/>
      <w:jc w:val="center"/>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0C0A53" w14:textId="77777777" w:rsidR="00442A46" w:rsidRDefault="00442A46">
      <w:pPr>
        <w:spacing w:after="0" w:line="271" w:lineRule="auto"/>
        <w:ind w:left="720" w:right="0" w:hanging="358"/>
        <w:jc w:val="left"/>
      </w:pPr>
      <w:r>
        <w:separator/>
      </w:r>
    </w:p>
  </w:footnote>
  <w:footnote w:type="continuationSeparator" w:id="0">
    <w:p w14:paraId="55E4A6C0" w14:textId="77777777" w:rsidR="00442A46" w:rsidRDefault="00442A46">
      <w:pPr>
        <w:spacing w:after="0" w:line="271" w:lineRule="auto"/>
        <w:ind w:left="720" w:right="0" w:hanging="358"/>
        <w:jc w:val="left"/>
      </w:pPr>
      <w:r>
        <w:continuationSeparator/>
      </w:r>
    </w:p>
  </w:footnote>
  <w:footnote w:id="1">
    <w:p w14:paraId="0B68439F" w14:textId="77777777" w:rsidR="00085AA1" w:rsidRDefault="00131FF0">
      <w:pPr>
        <w:pStyle w:val="footnotedescription"/>
        <w:spacing w:line="245" w:lineRule="auto"/>
        <w:ind w:left="0" w:firstLine="0"/>
      </w:pPr>
      <w:r w:rsidRPr="0013706F">
        <w:rPr>
          <w:rStyle w:val="footnotemark"/>
          <w:u w:val="none"/>
        </w:rPr>
        <w:footnoteRef/>
      </w:r>
      <w:r w:rsidRPr="0013706F">
        <w:rPr>
          <w:u w:val="none"/>
        </w:rPr>
        <w:t xml:space="preserve"> </w:t>
      </w:r>
      <w:r>
        <w:rPr>
          <w:color w:val="000000"/>
          <w:u w:val="none" w:color="000000"/>
        </w:rPr>
        <w:t xml:space="preserve">Príručka je zverejnená na webovom sídle </w:t>
      </w:r>
      <w:hyperlink r:id="rId1">
        <w:r>
          <w:t>https://www.mirri.gov.sk/mpsr/irop</w:t>
        </w:r>
      </w:hyperlink>
      <w:hyperlink r:id="rId2">
        <w:r>
          <w:t>-</w:t>
        </w:r>
      </w:hyperlink>
      <w:hyperlink r:id="rId3">
        <w:r>
          <w:t>programove</w:t>
        </w:r>
      </w:hyperlink>
      <w:hyperlink r:id="rId4">
        <w:r>
          <w:t>-</w:t>
        </w:r>
      </w:hyperlink>
      <w:hyperlink r:id="rId5">
        <w:r>
          <w:t>obdobie</w:t>
        </w:r>
      </w:hyperlink>
      <w:hyperlink r:id="rId6">
        <w:r>
          <w:t>-</w:t>
        </w:r>
      </w:hyperlink>
      <w:hyperlink r:id="rId7">
        <w:r>
          <w:t>2014</w:t>
        </w:r>
      </w:hyperlink>
      <w:hyperlink r:id="rId8"/>
      <w:hyperlink r:id="rId9">
        <w:r>
          <w:t>2020/programove</w:t>
        </w:r>
      </w:hyperlink>
      <w:hyperlink r:id="rId10">
        <w:r>
          <w:t>-</w:t>
        </w:r>
      </w:hyperlink>
      <w:hyperlink r:id="rId11">
        <w:r>
          <w:t>dokumenty</w:t>
        </w:r>
      </w:hyperlink>
      <w:hyperlink r:id="rId12">
        <w:r>
          <w:t>-</w:t>
        </w:r>
      </w:hyperlink>
      <w:hyperlink r:id="rId13">
        <w:r>
          <w:t>irop/prirucka</w:t>
        </w:r>
      </w:hyperlink>
      <w:hyperlink r:id="rId14">
        <w:r>
          <w:t>-</w:t>
        </w:r>
      </w:hyperlink>
      <w:hyperlink r:id="rId15">
        <w:r>
          <w:t>k</w:t>
        </w:r>
      </w:hyperlink>
      <w:hyperlink r:id="rId16">
        <w:r>
          <w:t>-</w:t>
        </w:r>
      </w:hyperlink>
      <w:hyperlink r:id="rId17">
        <w:r>
          <w:t>procesu</w:t>
        </w:r>
      </w:hyperlink>
      <w:hyperlink r:id="rId18">
        <w:r>
          <w:t>-</w:t>
        </w:r>
      </w:hyperlink>
      <w:hyperlink r:id="rId19">
        <w:r>
          <w:t>verejneho</w:t>
        </w:r>
      </w:hyperlink>
      <w:hyperlink r:id="rId20">
        <w:r>
          <w:t>-</w:t>
        </w:r>
      </w:hyperlink>
      <w:hyperlink r:id="rId21">
        <w:r>
          <w:t>obstaravania/index.html</w:t>
        </w:r>
      </w:hyperlink>
      <w:hyperlink r:id="rId22">
        <w:r>
          <w:rPr>
            <w:color w:val="000000"/>
            <w:u w:val="none" w:color="000000"/>
          </w:rPr>
          <w:t xml:space="preserve"> </w:t>
        </w:r>
      </w:hyperlink>
      <w:r>
        <w:rPr>
          <w:color w:val="000000"/>
          <w:u w:val="none" w:color="000000"/>
        </w:rPr>
        <w:t xml:space="preserve"> </w:t>
      </w:r>
    </w:p>
  </w:footnote>
  <w:footnote w:id="2">
    <w:p w14:paraId="25567E7A" w14:textId="35E2B416" w:rsidR="00425F42" w:rsidRDefault="00425F42" w:rsidP="007A77F5">
      <w:pPr>
        <w:pStyle w:val="Textpoznmkypodiarou"/>
        <w:ind w:hanging="510"/>
      </w:pPr>
      <w:r>
        <w:rPr>
          <w:rStyle w:val="Odkaznapoznmkupodiarou"/>
        </w:rPr>
        <w:footnoteRef/>
      </w:r>
      <w:r>
        <w:t xml:space="preserve">  Stanovené termíny boli </w:t>
      </w:r>
      <w:r w:rsidR="00311C36">
        <w:t xml:space="preserve">zo strany RO pre IROP </w:t>
      </w:r>
      <w:r>
        <w:t>odkomunikované a odsúhlasené so zástupcami  NS MAS a ZMOS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7242AC" w14:textId="77777777" w:rsidR="00085AA1" w:rsidRDefault="00131FF0">
    <w:pPr>
      <w:spacing w:after="0" w:line="259" w:lineRule="auto"/>
      <w:ind w:left="1106" w:right="0" w:firstLine="0"/>
      <w:jc w:val="left"/>
    </w:pPr>
    <w:r>
      <w:rPr>
        <w:noProof/>
      </w:rPr>
      <w:drawing>
        <wp:anchor distT="0" distB="0" distL="114300" distR="114300" simplePos="0" relativeHeight="251658240" behindDoc="0" locked="0" layoutInCell="1" allowOverlap="0" wp14:anchorId="1A8C4E8C" wp14:editId="13AE181F">
          <wp:simplePos x="0" y="0"/>
          <wp:positionH relativeFrom="page">
            <wp:posOffset>1046988</wp:posOffset>
          </wp:positionH>
          <wp:positionV relativeFrom="page">
            <wp:posOffset>341375</wp:posOffset>
          </wp:positionV>
          <wp:extent cx="559308" cy="470916"/>
          <wp:effectExtent l="0" t="0" r="0" b="0"/>
          <wp:wrapSquare wrapText="bothSides"/>
          <wp:docPr id="54" name="Picture 17"/>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
                  <a:stretch>
                    <a:fillRect/>
                  </a:stretch>
                </pic:blipFill>
                <pic:spPr>
                  <a:xfrm>
                    <a:off x="0" y="0"/>
                    <a:ext cx="559308" cy="470916"/>
                  </a:xfrm>
                  <a:prstGeom prst="rect">
                    <a:avLst/>
                  </a:prstGeom>
                </pic:spPr>
              </pic:pic>
            </a:graphicData>
          </a:graphic>
        </wp:anchor>
      </w:drawing>
    </w:r>
    <w:r>
      <w:rPr>
        <w:noProof/>
      </w:rPr>
      <w:drawing>
        <wp:anchor distT="0" distB="0" distL="114300" distR="114300" simplePos="0" relativeHeight="251659264" behindDoc="0" locked="0" layoutInCell="1" allowOverlap="0" wp14:anchorId="18E006C6" wp14:editId="6570A588">
          <wp:simplePos x="0" y="0"/>
          <wp:positionH relativeFrom="page">
            <wp:posOffset>5419344</wp:posOffset>
          </wp:positionH>
          <wp:positionV relativeFrom="page">
            <wp:posOffset>344424</wp:posOffset>
          </wp:positionV>
          <wp:extent cx="1638300" cy="460248"/>
          <wp:effectExtent l="0" t="0" r="0" b="0"/>
          <wp:wrapSquare wrapText="bothSides"/>
          <wp:docPr id="55" name="Picture 19"/>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2"/>
                  <a:stretch>
                    <a:fillRect/>
                  </a:stretch>
                </pic:blipFill>
                <pic:spPr>
                  <a:xfrm>
                    <a:off x="0" y="0"/>
                    <a:ext cx="1638300" cy="460248"/>
                  </a:xfrm>
                  <a:prstGeom prst="rect">
                    <a:avLst/>
                  </a:prstGeom>
                </pic:spPr>
              </pic:pic>
            </a:graphicData>
          </a:graphic>
        </wp:anchor>
      </w:drawing>
    </w:r>
    <w:r>
      <w:rPr>
        <w:rFonts w:ascii="Calibri" w:eastAsia="Calibri" w:hAnsi="Calibri" w:cs="Calibri"/>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A1022A" w14:textId="77777777" w:rsidR="00085AA1" w:rsidRDefault="00EF050C">
    <w:pPr>
      <w:spacing w:after="0" w:line="259" w:lineRule="auto"/>
      <w:ind w:left="1106" w:right="0" w:firstLine="0"/>
      <w:jc w:val="left"/>
    </w:pPr>
    <w:r>
      <w:rPr>
        <w:noProof/>
      </w:rPr>
      <w:drawing>
        <wp:anchor distT="0" distB="0" distL="114300" distR="114300" simplePos="0" relativeHeight="251664384" behindDoc="0" locked="0" layoutInCell="1" allowOverlap="1" wp14:anchorId="2D8B36D0" wp14:editId="50C28C53">
          <wp:simplePos x="0" y="0"/>
          <wp:positionH relativeFrom="margin">
            <wp:align>right</wp:align>
          </wp:positionH>
          <wp:positionV relativeFrom="paragraph">
            <wp:posOffset>-85090</wp:posOffset>
          </wp:positionV>
          <wp:extent cx="1656080" cy="441325"/>
          <wp:effectExtent l="0" t="0" r="1270" b="0"/>
          <wp:wrapSquare wrapText="bothSides"/>
          <wp:docPr id="56" name="Obrázok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6080" cy="441325"/>
                  </a:xfrm>
                  <a:prstGeom prst="rect">
                    <a:avLst/>
                  </a:prstGeom>
                  <a:noFill/>
                </pic:spPr>
              </pic:pic>
            </a:graphicData>
          </a:graphic>
        </wp:anchor>
      </w:drawing>
    </w:r>
    <w:r>
      <w:rPr>
        <w:noProof/>
      </w:rPr>
      <w:drawing>
        <wp:anchor distT="0" distB="0" distL="114300" distR="114300" simplePos="0" relativeHeight="251665408" behindDoc="0" locked="0" layoutInCell="1" allowOverlap="1" wp14:anchorId="528E1FEC" wp14:editId="316B7D6C">
          <wp:simplePos x="0" y="0"/>
          <wp:positionH relativeFrom="margin">
            <wp:posOffset>2404110</wp:posOffset>
          </wp:positionH>
          <wp:positionV relativeFrom="paragraph">
            <wp:posOffset>-151130</wp:posOffset>
          </wp:positionV>
          <wp:extent cx="800100" cy="742950"/>
          <wp:effectExtent l="0" t="0" r="0" b="0"/>
          <wp:wrapSquare wrapText="bothSides"/>
          <wp:docPr id="57" name="Obrázok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74295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0" wp14:anchorId="03B7662A" wp14:editId="2DD70923">
          <wp:simplePos x="0" y="0"/>
          <wp:positionH relativeFrom="page">
            <wp:posOffset>1162050</wp:posOffset>
          </wp:positionH>
          <wp:positionV relativeFrom="topMargin">
            <wp:posOffset>208915</wp:posOffset>
          </wp:positionV>
          <wp:extent cx="742950" cy="714375"/>
          <wp:effectExtent l="0" t="0" r="0" b="9525"/>
          <wp:wrapSquare wrapText="bothSides"/>
          <wp:docPr id="58" name="Picture 17"/>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3"/>
                  <a:stretch>
                    <a:fillRect/>
                  </a:stretch>
                </pic:blipFill>
                <pic:spPr>
                  <a:xfrm>
                    <a:off x="0" y="0"/>
                    <a:ext cx="742950" cy="714375"/>
                  </a:xfrm>
                  <a:prstGeom prst="rect">
                    <a:avLst/>
                  </a:prstGeom>
                </pic:spPr>
              </pic:pic>
            </a:graphicData>
          </a:graphic>
          <wp14:sizeRelH relativeFrom="margin">
            <wp14:pctWidth>0</wp14:pctWidth>
          </wp14:sizeRelH>
          <wp14:sizeRelV relativeFrom="margin">
            <wp14:pctHeight>0</wp14:pctHeight>
          </wp14:sizeRelV>
        </wp:anchor>
      </w:drawing>
    </w:r>
    <w:r w:rsidR="00131FF0">
      <w:rPr>
        <w:rFonts w:ascii="Calibri" w:eastAsia="Calibri" w:hAnsi="Calibri" w:cs="Calibri"/>
        <w:sz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32ADC2" w14:textId="77777777" w:rsidR="00085AA1" w:rsidRDefault="00131FF0">
    <w:pPr>
      <w:spacing w:after="0" w:line="259" w:lineRule="auto"/>
      <w:ind w:left="1106" w:right="0" w:firstLine="0"/>
      <w:jc w:val="left"/>
    </w:pPr>
    <w:r>
      <w:rPr>
        <w:noProof/>
      </w:rPr>
      <w:drawing>
        <wp:anchor distT="0" distB="0" distL="114300" distR="114300" simplePos="0" relativeHeight="251662336" behindDoc="0" locked="0" layoutInCell="1" allowOverlap="0" wp14:anchorId="2D86602E" wp14:editId="17247DBC">
          <wp:simplePos x="0" y="0"/>
          <wp:positionH relativeFrom="page">
            <wp:posOffset>1046988</wp:posOffset>
          </wp:positionH>
          <wp:positionV relativeFrom="page">
            <wp:posOffset>341375</wp:posOffset>
          </wp:positionV>
          <wp:extent cx="559308" cy="470916"/>
          <wp:effectExtent l="0" t="0" r="0" b="0"/>
          <wp:wrapSquare wrapText="bothSides"/>
          <wp:docPr id="59" name="Picture 17"/>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
                  <a:stretch>
                    <a:fillRect/>
                  </a:stretch>
                </pic:blipFill>
                <pic:spPr>
                  <a:xfrm>
                    <a:off x="0" y="0"/>
                    <a:ext cx="559308" cy="470916"/>
                  </a:xfrm>
                  <a:prstGeom prst="rect">
                    <a:avLst/>
                  </a:prstGeom>
                </pic:spPr>
              </pic:pic>
            </a:graphicData>
          </a:graphic>
        </wp:anchor>
      </w:drawing>
    </w:r>
    <w:r>
      <w:rPr>
        <w:noProof/>
      </w:rPr>
      <w:drawing>
        <wp:anchor distT="0" distB="0" distL="114300" distR="114300" simplePos="0" relativeHeight="251663360" behindDoc="0" locked="0" layoutInCell="1" allowOverlap="0" wp14:anchorId="6DF85189" wp14:editId="6A5CF678">
          <wp:simplePos x="0" y="0"/>
          <wp:positionH relativeFrom="page">
            <wp:posOffset>5419344</wp:posOffset>
          </wp:positionH>
          <wp:positionV relativeFrom="page">
            <wp:posOffset>344424</wp:posOffset>
          </wp:positionV>
          <wp:extent cx="1638300" cy="460248"/>
          <wp:effectExtent l="0" t="0" r="0" b="0"/>
          <wp:wrapSquare wrapText="bothSides"/>
          <wp:docPr id="60" name="Picture 19"/>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2"/>
                  <a:stretch>
                    <a:fillRect/>
                  </a:stretch>
                </pic:blipFill>
                <pic:spPr>
                  <a:xfrm>
                    <a:off x="0" y="0"/>
                    <a:ext cx="1638300" cy="460248"/>
                  </a:xfrm>
                  <a:prstGeom prst="rect">
                    <a:avLst/>
                  </a:prstGeom>
                </pic:spPr>
              </pic:pic>
            </a:graphicData>
          </a:graphic>
        </wp:anchor>
      </w:drawing>
    </w:r>
    <w:r>
      <w:rPr>
        <w:rFonts w:ascii="Calibri" w:eastAsia="Calibri" w:hAnsi="Calibri" w:cs="Calibri"/>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9624D6"/>
    <w:multiLevelType w:val="hybridMultilevel"/>
    <w:tmpl w:val="E222BFBA"/>
    <w:lvl w:ilvl="0" w:tplc="BF966DAC">
      <w:start w:val="2"/>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A2CCE74">
      <w:start w:val="1"/>
      <w:numFmt w:val="lowerLetter"/>
      <w:lvlText w:val="%2"/>
      <w:lvlJc w:val="left"/>
      <w:pPr>
        <w:ind w:left="14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7DC5C92">
      <w:start w:val="1"/>
      <w:numFmt w:val="lowerRoman"/>
      <w:lvlText w:val="%3"/>
      <w:lvlJc w:val="left"/>
      <w:pPr>
        <w:ind w:left="21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4CEBF12">
      <w:start w:val="1"/>
      <w:numFmt w:val="decimal"/>
      <w:lvlText w:val="%4"/>
      <w:lvlJc w:val="left"/>
      <w:pPr>
        <w:ind w:left="28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5A6749C">
      <w:start w:val="1"/>
      <w:numFmt w:val="lowerLetter"/>
      <w:lvlText w:val="%5"/>
      <w:lvlJc w:val="left"/>
      <w:pPr>
        <w:ind w:left="36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B48CE70">
      <w:start w:val="1"/>
      <w:numFmt w:val="lowerRoman"/>
      <w:lvlText w:val="%6"/>
      <w:lvlJc w:val="left"/>
      <w:pPr>
        <w:ind w:left="43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A5C9A7E">
      <w:start w:val="1"/>
      <w:numFmt w:val="decimal"/>
      <w:lvlText w:val="%7"/>
      <w:lvlJc w:val="left"/>
      <w:pPr>
        <w:ind w:left="50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FCCF0AA">
      <w:start w:val="1"/>
      <w:numFmt w:val="lowerLetter"/>
      <w:lvlText w:val="%8"/>
      <w:lvlJc w:val="left"/>
      <w:pPr>
        <w:ind w:left="57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B1AC9A4">
      <w:start w:val="1"/>
      <w:numFmt w:val="lowerRoman"/>
      <w:lvlText w:val="%9"/>
      <w:lvlJc w:val="left"/>
      <w:pPr>
        <w:ind w:left="64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40422AA"/>
    <w:multiLevelType w:val="hybridMultilevel"/>
    <w:tmpl w:val="09D69842"/>
    <w:lvl w:ilvl="0" w:tplc="AFDC302E">
      <w:start w:val="3"/>
      <w:numFmt w:val="decimal"/>
      <w:lvlText w:val="%1."/>
      <w:lvlJc w:val="left"/>
      <w:pPr>
        <w:ind w:left="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8A27D2E">
      <w:start w:val="1"/>
      <w:numFmt w:val="bullet"/>
      <w:lvlText w:val="-"/>
      <w:lvlJc w:val="left"/>
      <w:pPr>
        <w:ind w:left="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FE6D714">
      <w:start w:val="1"/>
      <w:numFmt w:val="bullet"/>
      <w:lvlText w:val="▪"/>
      <w:lvlJc w:val="left"/>
      <w:pPr>
        <w:ind w:left="1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53C436A">
      <w:start w:val="1"/>
      <w:numFmt w:val="bullet"/>
      <w:lvlText w:val="•"/>
      <w:lvlJc w:val="left"/>
      <w:pPr>
        <w:ind w:left="2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43CB014">
      <w:start w:val="1"/>
      <w:numFmt w:val="bullet"/>
      <w:lvlText w:val="o"/>
      <w:lvlJc w:val="left"/>
      <w:pPr>
        <w:ind w:left="29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2A05CA4">
      <w:start w:val="1"/>
      <w:numFmt w:val="bullet"/>
      <w:lvlText w:val="▪"/>
      <w:lvlJc w:val="left"/>
      <w:pPr>
        <w:ind w:left="36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5A45858">
      <w:start w:val="1"/>
      <w:numFmt w:val="bullet"/>
      <w:lvlText w:val="•"/>
      <w:lvlJc w:val="left"/>
      <w:pPr>
        <w:ind w:left="43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D6DFDE">
      <w:start w:val="1"/>
      <w:numFmt w:val="bullet"/>
      <w:lvlText w:val="o"/>
      <w:lvlJc w:val="left"/>
      <w:pPr>
        <w:ind w:left="5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B96902A">
      <w:start w:val="1"/>
      <w:numFmt w:val="bullet"/>
      <w:lvlText w:val="▪"/>
      <w:lvlJc w:val="left"/>
      <w:pPr>
        <w:ind w:left="5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61E7271D"/>
    <w:multiLevelType w:val="hybridMultilevel"/>
    <w:tmpl w:val="04BE556E"/>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7ED91BFF"/>
    <w:multiLevelType w:val="hybridMultilevel"/>
    <w:tmpl w:val="99F6F7AC"/>
    <w:lvl w:ilvl="0" w:tplc="19089D18">
      <w:start w:val="1"/>
      <w:numFmt w:val="lowerLetter"/>
      <w:lvlText w:val="%1)"/>
      <w:lvlJc w:val="left"/>
      <w:pPr>
        <w:ind w:left="107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70EB9E8">
      <w:start w:val="1"/>
      <w:numFmt w:val="lowerRoman"/>
      <w:lvlText w:val="%2."/>
      <w:lvlJc w:val="left"/>
      <w:pPr>
        <w:ind w:left="16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CF021D8">
      <w:start w:val="1"/>
      <w:numFmt w:val="lowerRoman"/>
      <w:lvlText w:val="%3"/>
      <w:lvlJc w:val="left"/>
      <w:pPr>
        <w:ind w:left="23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5E20D02">
      <w:start w:val="1"/>
      <w:numFmt w:val="decimal"/>
      <w:lvlText w:val="%4"/>
      <w:lvlJc w:val="left"/>
      <w:pPr>
        <w:ind w:left="30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9AC5FD4">
      <w:start w:val="1"/>
      <w:numFmt w:val="lowerLetter"/>
      <w:lvlText w:val="%5"/>
      <w:lvlJc w:val="left"/>
      <w:pPr>
        <w:ind w:left="37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9DE22BA">
      <w:start w:val="1"/>
      <w:numFmt w:val="lowerRoman"/>
      <w:lvlText w:val="%6"/>
      <w:lvlJc w:val="left"/>
      <w:pPr>
        <w:ind w:left="44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B8EB43C">
      <w:start w:val="1"/>
      <w:numFmt w:val="decimal"/>
      <w:lvlText w:val="%7"/>
      <w:lvlJc w:val="left"/>
      <w:pPr>
        <w:ind w:left="51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DB8ABEE">
      <w:start w:val="1"/>
      <w:numFmt w:val="lowerLetter"/>
      <w:lvlText w:val="%8"/>
      <w:lvlJc w:val="left"/>
      <w:pPr>
        <w:ind w:left="59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D8C912A">
      <w:start w:val="1"/>
      <w:numFmt w:val="lowerRoman"/>
      <w:lvlText w:val="%9"/>
      <w:lvlJc w:val="left"/>
      <w:pPr>
        <w:ind w:left="66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8193"/>
  </w:hdrShapeDefaults>
  <w:footnotePr>
    <w:numFmt w:val="chicago"/>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AA1"/>
    <w:rsid w:val="000124B6"/>
    <w:rsid w:val="0002527D"/>
    <w:rsid w:val="00040D56"/>
    <w:rsid w:val="00062C1A"/>
    <w:rsid w:val="00085AA1"/>
    <w:rsid w:val="000A2F9E"/>
    <w:rsid w:val="000E3575"/>
    <w:rsid w:val="000E61BD"/>
    <w:rsid w:val="001114BA"/>
    <w:rsid w:val="001168A4"/>
    <w:rsid w:val="00131FF0"/>
    <w:rsid w:val="0013706F"/>
    <w:rsid w:val="0018065F"/>
    <w:rsid w:val="00182603"/>
    <w:rsid w:val="00195DC6"/>
    <w:rsid w:val="001B52D1"/>
    <w:rsid w:val="001D0EB8"/>
    <w:rsid w:val="002000AC"/>
    <w:rsid w:val="00280648"/>
    <w:rsid w:val="00291510"/>
    <w:rsid w:val="002B66CC"/>
    <w:rsid w:val="00311C36"/>
    <w:rsid w:val="003258B5"/>
    <w:rsid w:val="003420DB"/>
    <w:rsid w:val="00346600"/>
    <w:rsid w:val="0036351B"/>
    <w:rsid w:val="00365245"/>
    <w:rsid w:val="00366E24"/>
    <w:rsid w:val="003A4F8F"/>
    <w:rsid w:val="003C1CD2"/>
    <w:rsid w:val="003F0E55"/>
    <w:rsid w:val="003F49F6"/>
    <w:rsid w:val="004137CF"/>
    <w:rsid w:val="00425F42"/>
    <w:rsid w:val="00442A46"/>
    <w:rsid w:val="004834F2"/>
    <w:rsid w:val="004913D1"/>
    <w:rsid w:val="004B1244"/>
    <w:rsid w:val="004C3E1F"/>
    <w:rsid w:val="00544FCF"/>
    <w:rsid w:val="00545647"/>
    <w:rsid w:val="00577337"/>
    <w:rsid w:val="005977D2"/>
    <w:rsid w:val="005A30C8"/>
    <w:rsid w:val="005C53B9"/>
    <w:rsid w:val="00641B3B"/>
    <w:rsid w:val="006A5F7E"/>
    <w:rsid w:val="006D02B5"/>
    <w:rsid w:val="007040CB"/>
    <w:rsid w:val="00704411"/>
    <w:rsid w:val="00717B2B"/>
    <w:rsid w:val="00750689"/>
    <w:rsid w:val="007A77F5"/>
    <w:rsid w:val="007D0544"/>
    <w:rsid w:val="007D4985"/>
    <w:rsid w:val="007E2BE0"/>
    <w:rsid w:val="00852642"/>
    <w:rsid w:val="00861496"/>
    <w:rsid w:val="00876C3A"/>
    <w:rsid w:val="00892650"/>
    <w:rsid w:val="008B104E"/>
    <w:rsid w:val="008C179A"/>
    <w:rsid w:val="0093181E"/>
    <w:rsid w:val="00955AB4"/>
    <w:rsid w:val="00956692"/>
    <w:rsid w:val="00987B38"/>
    <w:rsid w:val="009A216B"/>
    <w:rsid w:val="009B1C5B"/>
    <w:rsid w:val="009F3DF3"/>
    <w:rsid w:val="00A401C8"/>
    <w:rsid w:val="00AD57B4"/>
    <w:rsid w:val="00B1101D"/>
    <w:rsid w:val="00B25197"/>
    <w:rsid w:val="00B25C8C"/>
    <w:rsid w:val="00B909A9"/>
    <w:rsid w:val="00BB7ED9"/>
    <w:rsid w:val="00BC6A76"/>
    <w:rsid w:val="00BC71EB"/>
    <w:rsid w:val="00BF3EAD"/>
    <w:rsid w:val="00C2252A"/>
    <w:rsid w:val="00C53320"/>
    <w:rsid w:val="00C733FF"/>
    <w:rsid w:val="00CF252C"/>
    <w:rsid w:val="00D179BB"/>
    <w:rsid w:val="00D4210A"/>
    <w:rsid w:val="00DA46E3"/>
    <w:rsid w:val="00DB25D6"/>
    <w:rsid w:val="00DE669D"/>
    <w:rsid w:val="00DF0160"/>
    <w:rsid w:val="00EC492A"/>
    <w:rsid w:val="00EF050C"/>
    <w:rsid w:val="00EF6099"/>
    <w:rsid w:val="00F213E7"/>
    <w:rsid w:val="00F928B0"/>
    <w:rsid w:val="00FD207F"/>
    <w:rsid w:val="00FF64A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845A091"/>
  <w15:docId w15:val="{91B1639B-CFED-4D5B-AB13-013A0E720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119" w:line="269" w:lineRule="auto"/>
      <w:ind w:left="368" w:right="1" w:hanging="368"/>
      <w:jc w:val="both"/>
    </w:pPr>
    <w:rPr>
      <w:rFonts w:ascii="Times New Roman" w:eastAsia="Times New Roman" w:hAnsi="Times New Roman" w:cs="Times New Roman"/>
      <w:color w:val="000000"/>
      <w:sz w:val="24"/>
    </w:rPr>
  </w:style>
  <w:style w:type="paragraph" w:styleId="Nadpis1">
    <w:name w:val="heading 1"/>
    <w:next w:val="Normlny"/>
    <w:link w:val="Nadpis1Char"/>
    <w:uiPriority w:val="9"/>
    <w:unhideWhenUsed/>
    <w:qFormat/>
    <w:pPr>
      <w:keepNext/>
      <w:keepLines/>
      <w:spacing w:after="3" w:line="265" w:lineRule="auto"/>
      <w:ind w:left="10" w:hanging="10"/>
      <w:outlineLvl w:val="0"/>
    </w:pPr>
    <w:rPr>
      <w:rFonts w:ascii="Times New Roman" w:eastAsia="Times New Roman" w:hAnsi="Times New Roman" w:cs="Times New Roman"/>
      <w:b/>
      <w:color w:val="365F91"/>
      <w:sz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Pr>
      <w:rFonts w:ascii="Times New Roman" w:eastAsia="Times New Roman" w:hAnsi="Times New Roman" w:cs="Times New Roman"/>
      <w:b/>
      <w:color w:val="365F91"/>
      <w:sz w:val="28"/>
    </w:rPr>
  </w:style>
  <w:style w:type="paragraph" w:customStyle="1" w:styleId="footnotedescription">
    <w:name w:val="footnote description"/>
    <w:next w:val="Normlny"/>
    <w:link w:val="footnotedescriptionChar"/>
    <w:hidden/>
    <w:pPr>
      <w:spacing w:after="0" w:line="258" w:lineRule="auto"/>
      <w:ind w:left="360" w:hanging="179"/>
    </w:pPr>
    <w:rPr>
      <w:rFonts w:ascii="Times New Roman" w:eastAsia="Times New Roman" w:hAnsi="Times New Roman" w:cs="Times New Roman"/>
      <w:color w:val="0000FF"/>
      <w:sz w:val="20"/>
      <w:u w:val="single" w:color="0000FF"/>
    </w:rPr>
  </w:style>
  <w:style w:type="character" w:customStyle="1" w:styleId="footnotedescriptionChar">
    <w:name w:val="footnote description Char"/>
    <w:link w:val="footnotedescription"/>
    <w:rPr>
      <w:rFonts w:ascii="Times New Roman" w:eastAsia="Times New Roman" w:hAnsi="Times New Roman" w:cs="Times New Roman"/>
      <w:color w:val="0000FF"/>
      <w:sz w:val="20"/>
      <w:u w:val="single" w:color="0000FF"/>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xtbubliny">
    <w:name w:val="Balloon Text"/>
    <w:basedOn w:val="Normlny"/>
    <w:link w:val="TextbublinyChar"/>
    <w:uiPriority w:val="99"/>
    <w:semiHidden/>
    <w:unhideWhenUsed/>
    <w:rsid w:val="00F213E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F213E7"/>
    <w:rPr>
      <w:rFonts w:ascii="Segoe UI" w:eastAsia="Times New Roman" w:hAnsi="Segoe UI" w:cs="Segoe UI"/>
      <w:color w:val="000000"/>
      <w:sz w:val="18"/>
      <w:szCs w:val="18"/>
    </w:rPr>
  </w:style>
  <w:style w:type="character" w:styleId="Odkaznakomentr">
    <w:name w:val="annotation reference"/>
    <w:basedOn w:val="Predvolenpsmoodseku"/>
    <w:uiPriority w:val="99"/>
    <w:semiHidden/>
    <w:unhideWhenUsed/>
    <w:rsid w:val="004834F2"/>
    <w:rPr>
      <w:sz w:val="16"/>
      <w:szCs w:val="16"/>
    </w:rPr>
  </w:style>
  <w:style w:type="paragraph" w:styleId="Textkomentra">
    <w:name w:val="annotation text"/>
    <w:basedOn w:val="Normlny"/>
    <w:link w:val="TextkomentraChar"/>
    <w:uiPriority w:val="99"/>
    <w:semiHidden/>
    <w:unhideWhenUsed/>
    <w:rsid w:val="004834F2"/>
    <w:pPr>
      <w:spacing w:line="240" w:lineRule="auto"/>
    </w:pPr>
    <w:rPr>
      <w:sz w:val="20"/>
      <w:szCs w:val="20"/>
    </w:rPr>
  </w:style>
  <w:style w:type="character" w:customStyle="1" w:styleId="TextkomentraChar">
    <w:name w:val="Text komentára Char"/>
    <w:basedOn w:val="Predvolenpsmoodseku"/>
    <w:link w:val="Textkomentra"/>
    <w:uiPriority w:val="99"/>
    <w:semiHidden/>
    <w:rsid w:val="004834F2"/>
    <w:rPr>
      <w:rFonts w:ascii="Times New Roman" w:eastAsia="Times New Roman" w:hAnsi="Times New Roman" w:cs="Times New Roman"/>
      <w:color w:val="000000"/>
      <w:sz w:val="20"/>
      <w:szCs w:val="20"/>
    </w:rPr>
  </w:style>
  <w:style w:type="paragraph" w:styleId="Predmetkomentra">
    <w:name w:val="annotation subject"/>
    <w:basedOn w:val="Textkomentra"/>
    <w:next w:val="Textkomentra"/>
    <w:link w:val="PredmetkomentraChar"/>
    <w:uiPriority w:val="99"/>
    <w:semiHidden/>
    <w:unhideWhenUsed/>
    <w:rsid w:val="004834F2"/>
    <w:rPr>
      <w:b/>
      <w:bCs/>
    </w:rPr>
  </w:style>
  <w:style w:type="character" w:customStyle="1" w:styleId="PredmetkomentraChar">
    <w:name w:val="Predmet komentára Char"/>
    <w:basedOn w:val="TextkomentraChar"/>
    <w:link w:val="Predmetkomentra"/>
    <w:uiPriority w:val="99"/>
    <w:semiHidden/>
    <w:rsid w:val="004834F2"/>
    <w:rPr>
      <w:rFonts w:ascii="Times New Roman" w:eastAsia="Times New Roman" w:hAnsi="Times New Roman" w:cs="Times New Roman"/>
      <w:b/>
      <w:bCs/>
      <w:color w:val="000000"/>
      <w:sz w:val="20"/>
      <w:szCs w:val="20"/>
    </w:rPr>
  </w:style>
  <w:style w:type="paragraph" w:styleId="Odsekzoznamu">
    <w:name w:val="List Paragraph"/>
    <w:basedOn w:val="Normlny"/>
    <w:uiPriority w:val="34"/>
    <w:qFormat/>
    <w:rsid w:val="00EF6099"/>
    <w:pPr>
      <w:ind w:left="720"/>
      <w:contextualSpacing/>
    </w:pPr>
  </w:style>
  <w:style w:type="table" w:styleId="Mriekatabuky">
    <w:name w:val="Table Grid"/>
    <w:basedOn w:val="Normlnatabuka"/>
    <w:uiPriority w:val="39"/>
    <w:rsid w:val="000E35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uiPriority w:val="99"/>
    <w:semiHidden/>
    <w:unhideWhenUsed/>
    <w:rsid w:val="00425F42"/>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425F42"/>
    <w:rPr>
      <w:rFonts w:ascii="Times New Roman" w:eastAsia="Times New Roman" w:hAnsi="Times New Roman" w:cs="Times New Roman"/>
      <w:color w:val="000000"/>
      <w:sz w:val="20"/>
      <w:szCs w:val="20"/>
    </w:rPr>
  </w:style>
  <w:style w:type="character" w:styleId="Odkaznapoznmkupodiarou">
    <w:name w:val="footnote reference"/>
    <w:basedOn w:val="Predvolenpsmoodseku"/>
    <w:uiPriority w:val="99"/>
    <w:semiHidden/>
    <w:unhideWhenUsed/>
    <w:rsid w:val="00425F42"/>
    <w:rPr>
      <w:vertAlign w:val="superscript"/>
    </w:rPr>
  </w:style>
  <w:style w:type="character" w:styleId="Hypertextovprepojenie">
    <w:name w:val="Hyperlink"/>
    <w:basedOn w:val="Predvolenpsmoodseku"/>
    <w:uiPriority w:val="99"/>
    <w:unhideWhenUsed/>
    <w:rsid w:val="007A77F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778879">
      <w:bodyDiv w:val="1"/>
      <w:marLeft w:val="0"/>
      <w:marRight w:val="0"/>
      <w:marTop w:val="0"/>
      <w:marBottom w:val="0"/>
      <w:divBdr>
        <w:top w:val="none" w:sz="0" w:space="0" w:color="auto"/>
        <w:left w:val="none" w:sz="0" w:space="0" w:color="auto"/>
        <w:bottom w:val="none" w:sz="0" w:space="0" w:color="auto"/>
        <w:right w:val="none" w:sz="0" w:space="0" w:color="auto"/>
      </w:divBdr>
    </w:div>
    <w:div w:id="1036738777">
      <w:bodyDiv w:val="1"/>
      <w:marLeft w:val="0"/>
      <w:marRight w:val="0"/>
      <w:marTop w:val="0"/>
      <w:marBottom w:val="0"/>
      <w:divBdr>
        <w:top w:val="none" w:sz="0" w:space="0" w:color="auto"/>
        <w:left w:val="none" w:sz="0" w:space="0" w:color="auto"/>
        <w:bottom w:val="none" w:sz="0" w:space="0" w:color="auto"/>
        <w:right w:val="none" w:sz="0" w:space="0" w:color="auto"/>
      </w:divBdr>
    </w:div>
    <w:div w:id="1531988817">
      <w:bodyDiv w:val="1"/>
      <w:marLeft w:val="0"/>
      <w:marRight w:val="0"/>
      <w:marTop w:val="0"/>
      <w:marBottom w:val="0"/>
      <w:divBdr>
        <w:top w:val="none" w:sz="0" w:space="0" w:color="auto"/>
        <w:left w:val="none" w:sz="0" w:space="0" w:color="auto"/>
        <w:bottom w:val="none" w:sz="0" w:space="0" w:color="auto"/>
        <w:right w:val="none" w:sz="0" w:space="0" w:color="auto"/>
      </w:divBdr>
    </w:div>
    <w:div w:id="17202812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rri.gov.sk/mpsr/irop-programove-obdobie-2014-2020/najcastejsie-porusenia-zistene-pri-kontrole-vo/index.htm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s://www.mirri.gov.sk/mpsr/irop-programove-obdobie-2014-2020/programove-dokumenty-irop/prirucka-k-procesu-verejneho-obstaravania/index.html" TargetMode="External"/><Relationship Id="rId13" Type="http://schemas.openxmlformats.org/officeDocument/2006/relationships/hyperlink" Target="https://www.mirri.gov.sk/mpsr/irop-programove-obdobie-2014-2020/programove-dokumenty-irop/prirucka-k-procesu-verejneho-obstaravania/index.html" TargetMode="External"/><Relationship Id="rId18" Type="http://schemas.openxmlformats.org/officeDocument/2006/relationships/hyperlink" Target="https://www.mirri.gov.sk/mpsr/irop-programove-obdobie-2014-2020/programove-dokumenty-irop/prirucka-k-procesu-verejneho-obstaravania/index.html" TargetMode="External"/><Relationship Id="rId3" Type="http://schemas.openxmlformats.org/officeDocument/2006/relationships/hyperlink" Target="https://www.mirri.gov.sk/mpsr/irop-programove-obdobie-2014-2020/programove-dokumenty-irop/prirucka-k-procesu-verejneho-obstaravania/index.html" TargetMode="External"/><Relationship Id="rId21" Type="http://schemas.openxmlformats.org/officeDocument/2006/relationships/hyperlink" Target="https://www.mirri.gov.sk/mpsr/irop-programove-obdobie-2014-2020/programove-dokumenty-irop/prirucka-k-procesu-verejneho-obstaravania/index.html" TargetMode="External"/><Relationship Id="rId7" Type="http://schemas.openxmlformats.org/officeDocument/2006/relationships/hyperlink" Target="https://www.mirri.gov.sk/mpsr/irop-programove-obdobie-2014-2020/programove-dokumenty-irop/prirucka-k-procesu-verejneho-obstaravania/index.html" TargetMode="External"/><Relationship Id="rId12" Type="http://schemas.openxmlformats.org/officeDocument/2006/relationships/hyperlink" Target="https://www.mirri.gov.sk/mpsr/irop-programove-obdobie-2014-2020/programove-dokumenty-irop/prirucka-k-procesu-verejneho-obstaravania/index.html" TargetMode="External"/><Relationship Id="rId17" Type="http://schemas.openxmlformats.org/officeDocument/2006/relationships/hyperlink" Target="https://www.mirri.gov.sk/mpsr/irop-programove-obdobie-2014-2020/programove-dokumenty-irop/prirucka-k-procesu-verejneho-obstaravania/index.html" TargetMode="External"/><Relationship Id="rId2" Type="http://schemas.openxmlformats.org/officeDocument/2006/relationships/hyperlink" Target="https://www.mirri.gov.sk/mpsr/irop-programove-obdobie-2014-2020/programove-dokumenty-irop/prirucka-k-procesu-verejneho-obstaravania/index.html" TargetMode="External"/><Relationship Id="rId16" Type="http://schemas.openxmlformats.org/officeDocument/2006/relationships/hyperlink" Target="https://www.mirri.gov.sk/mpsr/irop-programove-obdobie-2014-2020/programove-dokumenty-irop/prirucka-k-procesu-verejneho-obstaravania/index.html" TargetMode="External"/><Relationship Id="rId20" Type="http://schemas.openxmlformats.org/officeDocument/2006/relationships/hyperlink" Target="https://www.mirri.gov.sk/mpsr/irop-programove-obdobie-2014-2020/programove-dokumenty-irop/prirucka-k-procesu-verejneho-obstaravania/index.html" TargetMode="External"/><Relationship Id="rId1" Type="http://schemas.openxmlformats.org/officeDocument/2006/relationships/hyperlink" Target="https://www.mirri.gov.sk/mpsr/irop-programove-obdobie-2014-2020/programove-dokumenty-irop/prirucka-k-procesu-verejneho-obstaravania/index.html" TargetMode="External"/><Relationship Id="rId6" Type="http://schemas.openxmlformats.org/officeDocument/2006/relationships/hyperlink" Target="https://www.mirri.gov.sk/mpsr/irop-programove-obdobie-2014-2020/programove-dokumenty-irop/prirucka-k-procesu-verejneho-obstaravania/index.html" TargetMode="External"/><Relationship Id="rId11" Type="http://schemas.openxmlformats.org/officeDocument/2006/relationships/hyperlink" Target="https://www.mirri.gov.sk/mpsr/irop-programove-obdobie-2014-2020/programove-dokumenty-irop/prirucka-k-procesu-verejneho-obstaravania/index.html" TargetMode="External"/><Relationship Id="rId5" Type="http://schemas.openxmlformats.org/officeDocument/2006/relationships/hyperlink" Target="https://www.mirri.gov.sk/mpsr/irop-programove-obdobie-2014-2020/programove-dokumenty-irop/prirucka-k-procesu-verejneho-obstaravania/index.html" TargetMode="External"/><Relationship Id="rId15" Type="http://schemas.openxmlformats.org/officeDocument/2006/relationships/hyperlink" Target="https://www.mirri.gov.sk/mpsr/irop-programove-obdobie-2014-2020/programove-dokumenty-irop/prirucka-k-procesu-verejneho-obstaravania/index.html" TargetMode="External"/><Relationship Id="rId10" Type="http://schemas.openxmlformats.org/officeDocument/2006/relationships/hyperlink" Target="https://www.mirri.gov.sk/mpsr/irop-programove-obdobie-2014-2020/programove-dokumenty-irop/prirucka-k-procesu-verejneho-obstaravania/index.html" TargetMode="External"/><Relationship Id="rId19" Type="http://schemas.openxmlformats.org/officeDocument/2006/relationships/hyperlink" Target="https://www.mirri.gov.sk/mpsr/irop-programove-obdobie-2014-2020/programove-dokumenty-irop/prirucka-k-procesu-verejneho-obstaravania/index.html" TargetMode="External"/><Relationship Id="rId4" Type="http://schemas.openxmlformats.org/officeDocument/2006/relationships/hyperlink" Target="https://www.mirri.gov.sk/mpsr/irop-programove-obdobie-2014-2020/programove-dokumenty-irop/prirucka-k-procesu-verejneho-obstaravania/index.html" TargetMode="External"/><Relationship Id="rId9" Type="http://schemas.openxmlformats.org/officeDocument/2006/relationships/hyperlink" Target="https://www.mirri.gov.sk/mpsr/irop-programove-obdobie-2014-2020/programove-dokumenty-irop/prirucka-k-procesu-verejneho-obstaravania/index.html" TargetMode="External"/><Relationship Id="rId14" Type="http://schemas.openxmlformats.org/officeDocument/2006/relationships/hyperlink" Target="https://www.mirri.gov.sk/mpsr/irop-programove-obdobie-2014-2020/programove-dokumenty-irop/prirucka-k-procesu-verejneho-obstaravania/index.html" TargetMode="External"/><Relationship Id="rId22" Type="http://schemas.openxmlformats.org/officeDocument/2006/relationships/hyperlink" Target="https://www.mirri.gov.sk/mpsr/irop-programove-obdobie-2014-2020/programove-dokumenty-irop/prirucka-k-procesu-verejneho-obstaravania/index.htm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4.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D623B5-B800-4150-9A71-547A7A1AD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1301</Words>
  <Characters>7417</Characters>
  <Application>Microsoft Office Word</Application>
  <DocSecurity>0</DocSecurity>
  <Lines>61</Lines>
  <Paragraphs>17</Paragraphs>
  <ScaleCrop>false</ScaleCrop>
  <HeadingPairs>
    <vt:vector size="2" baseType="variant">
      <vt:variant>
        <vt:lpstr>Názov</vt:lpstr>
      </vt:variant>
      <vt:variant>
        <vt:i4>1</vt:i4>
      </vt:variant>
    </vt:vector>
  </HeadingPairs>
  <TitlesOfParts>
    <vt:vector size="1" baseType="lpstr">
      <vt:lpstr/>
    </vt:vector>
  </TitlesOfParts>
  <Company>MIRRI</Company>
  <LinksUpToDate>false</LinksUpToDate>
  <CharactersWithSpaces>8701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Sabol, Peter</dc:creator>
  <cp:keywords/>
  <cp:lastModifiedBy>OM1</cp:lastModifiedBy>
  <cp:revision>4</cp:revision>
  <cp:lastPrinted>2023-05-03T11:46:00Z</cp:lastPrinted>
  <dcterms:created xsi:type="dcterms:W3CDTF">2023-05-02T11:29:00Z</dcterms:created>
  <dcterms:modified xsi:type="dcterms:W3CDTF">2023-05-04T07:29:00Z</dcterms:modified>
</cp:coreProperties>
</file>