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21" w:rsidRDefault="00027121" w:rsidP="00A714D0">
      <w:pPr>
        <w:jc w:val="center"/>
        <w:rPr>
          <w:b/>
        </w:rPr>
      </w:pPr>
    </w:p>
    <w:p w:rsidR="00027121" w:rsidRDefault="00027121" w:rsidP="00A714D0">
      <w:pPr>
        <w:jc w:val="center"/>
        <w:rPr>
          <w:b/>
        </w:rPr>
      </w:pPr>
    </w:p>
    <w:p w:rsidR="00027121" w:rsidRPr="00027121" w:rsidRDefault="00027121" w:rsidP="00027121">
      <w:pPr>
        <w:spacing w:after="120"/>
        <w:jc w:val="center"/>
        <w:rPr>
          <w:rFonts w:eastAsia="Calibri" w:cstheme="minorHAnsi"/>
          <w:color w:val="0070C0"/>
          <w:sz w:val="28"/>
          <w:szCs w:val="28"/>
        </w:rPr>
      </w:pPr>
      <w:r w:rsidRPr="00027121">
        <w:rPr>
          <w:rFonts w:eastAsia="Calibri" w:cstheme="minorHAnsi"/>
          <w:b/>
          <w:color w:val="0070C0"/>
          <w:sz w:val="28"/>
          <w:szCs w:val="28"/>
        </w:rPr>
        <w:t>Integrovaný regionálny operačný program 2014</w:t>
      </w:r>
      <w:r w:rsidR="00F926C2">
        <w:rPr>
          <w:rFonts w:eastAsia="Calibri" w:cstheme="minorHAnsi"/>
          <w:b/>
          <w:color w:val="0070C0"/>
          <w:sz w:val="28"/>
          <w:szCs w:val="28"/>
        </w:rPr>
        <w:t xml:space="preserve"> </w:t>
      </w:r>
      <w:r w:rsidRPr="00027121">
        <w:rPr>
          <w:rFonts w:eastAsia="Calibri" w:cstheme="minorHAnsi"/>
          <w:b/>
          <w:color w:val="0070C0"/>
          <w:sz w:val="28"/>
          <w:szCs w:val="28"/>
        </w:rPr>
        <w:t>-2020</w:t>
      </w:r>
    </w:p>
    <w:p w:rsidR="00027121" w:rsidRPr="00027121" w:rsidRDefault="00027121" w:rsidP="00027121">
      <w:pPr>
        <w:pStyle w:val="BodyText1"/>
        <w:jc w:val="center"/>
        <w:rPr>
          <w:rFonts w:asciiTheme="minorHAnsi" w:hAnsiTheme="minorHAnsi" w:cstheme="minorHAnsi"/>
          <w:b/>
          <w:color w:val="0070C0"/>
          <w:sz w:val="60"/>
          <w:szCs w:val="60"/>
          <w:lang w:val="sk-SK"/>
        </w:rPr>
      </w:pPr>
    </w:p>
    <w:p w:rsidR="00027121" w:rsidRPr="00027121" w:rsidRDefault="00027121" w:rsidP="00027121">
      <w:pPr>
        <w:jc w:val="center"/>
        <w:rPr>
          <w:rFonts w:cstheme="minorHAnsi"/>
          <w:b/>
          <w:color w:val="0070C0"/>
          <w:sz w:val="28"/>
          <w:szCs w:val="28"/>
        </w:rPr>
      </w:pPr>
      <w:r w:rsidRPr="00027121">
        <w:rPr>
          <w:rFonts w:cstheme="minorHAnsi"/>
          <w:b/>
          <w:color w:val="0070C0"/>
          <w:sz w:val="60"/>
          <w:szCs w:val="60"/>
        </w:rPr>
        <w:tab/>
      </w:r>
      <w:r w:rsidR="00707209">
        <w:rPr>
          <w:rFonts w:cstheme="minorHAnsi"/>
          <w:b/>
          <w:color w:val="0070C0"/>
          <w:sz w:val="28"/>
          <w:szCs w:val="28"/>
        </w:rPr>
        <w:t>Usmernenie RO pre IROP č. 15</w:t>
      </w:r>
      <w:r>
        <w:rPr>
          <w:rFonts w:cstheme="minorHAnsi"/>
          <w:b/>
          <w:color w:val="0070C0"/>
          <w:sz w:val="28"/>
          <w:szCs w:val="28"/>
        </w:rPr>
        <w:t xml:space="preserve"> </w:t>
      </w:r>
      <w:r w:rsidRPr="00027121">
        <w:rPr>
          <w:rFonts w:cstheme="minorHAnsi"/>
          <w:b/>
          <w:color w:val="0070C0"/>
          <w:sz w:val="28"/>
          <w:szCs w:val="28"/>
        </w:rPr>
        <w:t>k</w:t>
      </w:r>
      <w:r w:rsidR="006C1F23">
        <w:rPr>
          <w:rFonts w:cstheme="minorHAnsi"/>
          <w:b/>
          <w:color w:val="0070C0"/>
          <w:sz w:val="28"/>
          <w:szCs w:val="28"/>
        </w:rPr>
        <w:t> poskytnutiu dodatočného príspevku</w:t>
      </w:r>
      <w:r w:rsidR="0002063C">
        <w:rPr>
          <w:rFonts w:cstheme="minorHAnsi"/>
          <w:b/>
          <w:color w:val="0070C0"/>
          <w:sz w:val="28"/>
          <w:szCs w:val="28"/>
        </w:rPr>
        <w:t xml:space="preserve"> pre prioritné osi 1,</w:t>
      </w:r>
      <w:r w:rsidR="002B32EE">
        <w:rPr>
          <w:rFonts w:cstheme="minorHAnsi"/>
          <w:b/>
          <w:color w:val="0070C0"/>
          <w:sz w:val="28"/>
          <w:szCs w:val="28"/>
        </w:rPr>
        <w:t xml:space="preserve"> </w:t>
      </w:r>
      <w:r w:rsidR="0002063C">
        <w:rPr>
          <w:rFonts w:cstheme="minorHAnsi"/>
          <w:b/>
          <w:color w:val="0070C0"/>
          <w:sz w:val="28"/>
          <w:szCs w:val="28"/>
        </w:rPr>
        <w:t>2,</w:t>
      </w:r>
      <w:r w:rsidR="002B32EE">
        <w:rPr>
          <w:rFonts w:cstheme="minorHAnsi"/>
          <w:b/>
          <w:color w:val="0070C0"/>
          <w:sz w:val="28"/>
          <w:szCs w:val="28"/>
        </w:rPr>
        <w:t xml:space="preserve"> </w:t>
      </w:r>
      <w:r w:rsidR="0002063C">
        <w:rPr>
          <w:rFonts w:cstheme="minorHAnsi"/>
          <w:b/>
          <w:color w:val="0070C0"/>
          <w:sz w:val="28"/>
          <w:szCs w:val="28"/>
        </w:rPr>
        <w:t>4,</w:t>
      </w:r>
      <w:r w:rsidR="002B32EE">
        <w:rPr>
          <w:rFonts w:cstheme="minorHAnsi"/>
          <w:b/>
          <w:color w:val="0070C0"/>
          <w:sz w:val="28"/>
          <w:szCs w:val="28"/>
        </w:rPr>
        <w:t xml:space="preserve"> </w:t>
      </w:r>
      <w:r w:rsidR="0002063C">
        <w:rPr>
          <w:rFonts w:cstheme="minorHAnsi"/>
          <w:b/>
          <w:color w:val="0070C0"/>
          <w:sz w:val="28"/>
          <w:szCs w:val="28"/>
        </w:rPr>
        <w:t>7</w:t>
      </w:r>
    </w:p>
    <w:p w:rsidR="00027121" w:rsidRPr="00027121" w:rsidRDefault="00027121" w:rsidP="00027121">
      <w:pPr>
        <w:tabs>
          <w:tab w:val="left" w:pos="3901"/>
        </w:tabs>
        <w:rPr>
          <w:rFonts w:cstheme="minorHAnsi"/>
          <w:color w:val="8496B0" w:themeColor="text2" w:themeTint="99"/>
        </w:rPr>
      </w:pPr>
      <w:r w:rsidRPr="00027121">
        <w:rPr>
          <w:rFonts w:cstheme="minorHAnsi"/>
        </w:rPr>
        <w:tab/>
      </w:r>
    </w:p>
    <w:p w:rsidR="00027121" w:rsidRDefault="00027121" w:rsidP="00027121">
      <w:pPr>
        <w:rPr>
          <w:rFonts w:cstheme="minorHAnsi"/>
        </w:rPr>
      </w:pPr>
    </w:p>
    <w:p w:rsidR="007021A9" w:rsidRDefault="007021A9" w:rsidP="00027121">
      <w:pPr>
        <w:rPr>
          <w:rFonts w:cstheme="minorHAnsi"/>
        </w:rPr>
      </w:pPr>
    </w:p>
    <w:p w:rsidR="007021A9" w:rsidRDefault="007021A9" w:rsidP="00027121">
      <w:pPr>
        <w:rPr>
          <w:rFonts w:cstheme="minorHAnsi"/>
        </w:rPr>
      </w:pPr>
    </w:p>
    <w:p w:rsidR="007021A9" w:rsidRPr="00027121" w:rsidRDefault="007021A9" w:rsidP="00027121">
      <w:pPr>
        <w:rPr>
          <w:rFonts w:cstheme="minorHAnsi"/>
        </w:rPr>
      </w:pPr>
    </w:p>
    <w:p w:rsidR="00027121" w:rsidRPr="00027121" w:rsidRDefault="00027121" w:rsidP="00027121">
      <w:pPr>
        <w:rPr>
          <w:rFonts w:cstheme="minorHAnsi"/>
        </w:rPr>
      </w:pPr>
    </w:p>
    <w:tbl>
      <w:tblPr>
        <w:tblW w:w="0" w:type="auto"/>
        <w:tblInd w:w="81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43"/>
        <w:gridCol w:w="5812"/>
      </w:tblGrid>
      <w:tr w:rsidR="00027121" w:rsidRPr="00027121" w:rsidTr="00B74F65">
        <w:tc>
          <w:tcPr>
            <w:tcW w:w="1843" w:type="dxa"/>
            <w:shd w:val="clear" w:color="auto" w:fill="F2F2F2"/>
          </w:tcPr>
          <w:p w:rsidR="00027121" w:rsidRPr="00027121" w:rsidRDefault="00027121" w:rsidP="00B74F65">
            <w:pPr>
              <w:tabs>
                <w:tab w:val="left" w:pos="1877"/>
              </w:tabs>
              <w:rPr>
                <w:rFonts w:cstheme="minorHAnsi"/>
              </w:rPr>
            </w:pPr>
            <w:r w:rsidRPr="00027121">
              <w:rPr>
                <w:rFonts w:cstheme="minorHAnsi"/>
              </w:rPr>
              <w:t>Verzia:</w:t>
            </w:r>
          </w:p>
          <w:p w:rsidR="00027121" w:rsidRPr="00027121" w:rsidRDefault="00027121" w:rsidP="00B74F65">
            <w:pPr>
              <w:tabs>
                <w:tab w:val="left" w:pos="1877"/>
              </w:tabs>
              <w:rPr>
                <w:rFonts w:cstheme="minorHAnsi"/>
              </w:rPr>
            </w:pPr>
            <w:r w:rsidRPr="00027121">
              <w:rPr>
                <w:rFonts w:cstheme="minorHAnsi"/>
              </w:rPr>
              <w:t>Počet príloh:</w:t>
            </w:r>
          </w:p>
        </w:tc>
        <w:tc>
          <w:tcPr>
            <w:tcW w:w="5812" w:type="dxa"/>
            <w:shd w:val="clear" w:color="auto" w:fill="F2F2F2"/>
          </w:tcPr>
          <w:p w:rsidR="00027121" w:rsidRPr="00027121" w:rsidRDefault="00734A85" w:rsidP="00B74F65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9F3E87">
              <w:rPr>
                <w:rFonts w:cstheme="minorHAnsi"/>
              </w:rPr>
              <w:t>3</w:t>
            </w:r>
          </w:p>
          <w:p w:rsidR="00027121" w:rsidRPr="00027121" w:rsidRDefault="0002063C" w:rsidP="00B74F6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027121" w:rsidRPr="00027121" w:rsidRDefault="00027121" w:rsidP="00B74F65">
            <w:pPr>
              <w:rPr>
                <w:rFonts w:cstheme="minorHAnsi"/>
              </w:rPr>
            </w:pPr>
          </w:p>
        </w:tc>
      </w:tr>
      <w:tr w:rsidR="00027121" w:rsidRPr="00027121" w:rsidTr="00B74F65">
        <w:tc>
          <w:tcPr>
            <w:tcW w:w="1843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Určené pre:</w:t>
            </w:r>
          </w:p>
        </w:tc>
        <w:tc>
          <w:tcPr>
            <w:tcW w:w="5812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Prijímate</w:t>
            </w:r>
            <w:r w:rsidR="000A7B05">
              <w:rPr>
                <w:rFonts w:cstheme="minorHAnsi"/>
              </w:rPr>
              <w:t>ľov, Sprostredkovateľské orgány</w:t>
            </w:r>
            <w:r w:rsidR="00F0443F">
              <w:rPr>
                <w:rFonts w:cstheme="minorHAnsi"/>
              </w:rPr>
              <w:t xml:space="preserve"> </w:t>
            </w:r>
            <w:r w:rsidR="00E94C92">
              <w:rPr>
                <w:rFonts w:cstheme="minorHAnsi"/>
              </w:rPr>
              <w:t xml:space="preserve">pre IROP </w:t>
            </w:r>
            <w:r w:rsidRPr="00027121">
              <w:rPr>
                <w:rFonts w:cstheme="minorHAnsi"/>
              </w:rPr>
              <w:t>a Riadiaci orgán pre IROP</w:t>
            </w:r>
          </w:p>
        </w:tc>
      </w:tr>
      <w:tr w:rsidR="00027121" w:rsidRPr="00027121" w:rsidTr="00B74F65">
        <w:tc>
          <w:tcPr>
            <w:tcW w:w="1843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Dátum účinnosti:</w:t>
            </w:r>
          </w:p>
        </w:tc>
        <w:tc>
          <w:tcPr>
            <w:tcW w:w="5812" w:type="dxa"/>
            <w:shd w:val="clear" w:color="auto" w:fill="F2F2F2"/>
          </w:tcPr>
          <w:p w:rsidR="00027121" w:rsidRPr="00027121" w:rsidRDefault="009B1FB2" w:rsidP="00B74F65">
            <w:pPr>
              <w:rPr>
                <w:rFonts w:cstheme="minorHAnsi"/>
              </w:rPr>
            </w:pPr>
            <w:r>
              <w:rPr>
                <w:rFonts w:cstheme="minorHAnsi"/>
              </w:rPr>
              <w:t>17.07.2023</w:t>
            </w:r>
          </w:p>
        </w:tc>
      </w:tr>
      <w:tr w:rsidR="00027121" w:rsidRPr="00027121" w:rsidTr="00B74F65">
        <w:tc>
          <w:tcPr>
            <w:tcW w:w="1843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Dátum vydania:</w:t>
            </w:r>
          </w:p>
        </w:tc>
        <w:tc>
          <w:tcPr>
            <w:tcW w:w="5812" w:type="dxa"/>
            <w:shd w:val="clear" w:color="auto" w:fill="F2F2F2"/>
          </w:tcPr>
          <w:p w:rsidR="00027121" w:rsidRPr="00027121" w:rsidRDefault="009B1FB2" w:rsidP="00B74F65">
            <w:pPr>
              <w:rPr>
                <w:rFonts w:cstheme="minorHAnsi"/>
              </w:rPr>
            </w:pPr>
            <w:r>
              <w:rPr>
                <w:rFonts w:cstheme="minorHAnsi"/>
              </w:rPr>
              <w:t>17.07.2023</w:t>
            </w:r>
          </w:p>
        </w:tc>
      </w:tr>
      <w:tr w:rsidR="00027121" w:rsidRPr="00027121" w:rsidTr="00B74F65">
        <w:tc>
          <w:tcPr>
            <w:tcW w:w="1843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Schválil:</w:t>
            </w:r>
          </w:p>
        </w:tc>
        <w:tc>
          <w:tcPr>
            <w:tcW w:w="5812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Ing. Albert Németh</w:t>
            </w:r>
          </w:p>
          <w:p w:rsidR="00027121" w:rsidRPr="00027121" w:rsidRDefault="00027121" w:rsidP="00B74F65">
            <w:pPr>
              <w:rPr>
                <w:rFonts w:cstheme="minorHAnsi"/>
              </w:rPr>
            </w:pPr>
            <w:r w:rsidRPr="00027121">
              <w:rPr>
                <w:rFonts w:cstheme="minorHAnsi"/>
              </w:rPr>
              <w:t>generálny riaditeľ sekcie IROP</w:t>
            </w:r>
          </w:p>
        </w:tc>
      </w:tr>
      <w:tr w:rsidR="00027121" w:rsidRPr="00027121" w:rsidTr="00B74F65">
        <w:tc>
          <w:tcPr>
            <w:tcW w:w="1843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</w:p>
        </w:tc>
        <w:tc>
          <w:tcPr>
            <w:tcW w:w="5812" w:type="dxa"/>
            <w:shd w:val="clear" w:color="auto" w:fill="F2F2F2"/>
          </w:tcPr>
          <w:p w:rsidR="00027121" w:rsidRPr="00027121" w:rsidRDefault="00027121" w:rsidP="00B74F65">
            <w:pPr>
              <w:rPr>
                <w:rFonts w:cstheme="minorHAnsi"/>
              </w:rPr>
            </w:pPr>
          </w:p>
        </w:tc>
      </w:tr>
    </w:tbl>
    <w:p w:rsidR="00027121" w:rsidRPr="00027121" w:rsidRDefault="00027121" w:rsidP="00027121">
      <w:pPr>
        <w:rPr>
          <w:rFonts w:cstheme="minorHAnsi"/>
        </w:rPr>
      </w:pPr>
    </w:p>
    <w:p w:rsidR="00027121" w:rsidRDefault="00027121" w:rsidP="00A714D0">
      <w:pPr>
        <w:jc w:val="center"/>
        <w:rPr>
          <w:b/>
        </w:rPr>
      </w:pPr>
    </w:p>
    <w:p w:rsidR="00AC358F" w:rsidRDefault="00AC358F" w:rsidP="00775128">
      <w:pPr>
        <w:shd w:val="clear" w:color="auto" w:fill="FFFFFF"/>
        <w:spacing w:before="225" w:after="0" w:line="240" w:lineRule="auto"/>
        <w:jc w:val="both"/>
        <w:outlineLvl w:val="0"/>
      </w:pPr>
    </w:p>
    <w:p w:rsidR="00312B22" w:rsidRDefault="00312B22" w:rsidP="00733B6F">
      <w:pPr>
        <w:pStyle w:val="Nadpis2"/>
      </w:pPr>
    </w:p>
    <w:p w:rsidR="00CE6212" w:rsidRDefault="00CE6212"/>
    <w:p w:rsidR="00CE6212" w:rsidRDefault="00CE6212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82897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E6212" w:rsidRDefault="00CE6212">
          <w:pPr>
            <w:pStyle w:val="Hlavikaobsahu"/>
          </w:pPr>
          <w:r>
            <w:t>Obsah</w:t>
          </w:r>
        </w:p>
        <w:p w:rsidR="00450945" w:rsidRDefault="00CE6212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108288" w:history="1">
            <w:r w:rsidR="00450945" w:rsidRPr="00CC485E">
              <w:rPr>
                <w:rStyle w:val="Hypertextovprepojenie"/>
                <w:noProof/>
              </w:rPr>
              <w:t>1.</w:t>
            </w:r>
            <w:r w:rsidR="00450945">
              <w:rPr>
                <w:rFonts w:cstheme="minorBidi"/>
                <w:noProof/>
              </w:rPr>
              <w:tab/>
            </w:r>
            <w:r w:rsidR="00450945" w:rsidRPr="00CC485E">
              <w:rPr>
                <w:rStyle w:val="Hypertextovprepojenie"/>
                <w:noProof/>
              </w:rPr>
              <w:t>Úvod</w:t>
            </w:r>
            <w:r w:rsidR="00450945">
              <w:rPr>
                <w:noProof/>
                <w:webHidden/>
              </w:rPr>
              <w:tab/>
            </w:r>
            <w:r w:rsidR="00450945">
              <w:rPr>
                <w:noProof/>
                <w:webHidden/>
              </w:rPr>
              <w:fldChar w:fldCharType="begin"/>
            </w:r>
            <w:r w:rsidR="00450945">
              <w:rPr>
                <w:noProof/>
                <w:webHidden/>
              </w:rPr>
              <w:instrText xml:space="preserve"> PAGEREF _Toc137108288 \h </w:instrText>
            </w:r>
            <w:r w:rsidR="00450945">
              <w:rPr>
                <w:noProof/>
                <w:webHidden/>
              </w:rPr>
            </w:r>
            <w:r w:rsidR="00450945">
              <w:rPr>
                <w:noProof/>
                <w:webHidden/>
              </w:rPr>
              <w:fldChar w:fldCharType="separate"/>
            </w:r>
            <w:r w:rsidR="00450945">
              <w:rPr>
                <w:noProof/>
                <w:webHidden/>
              </w:rPr>
              <w:t>3</w:t>
            </w:r>
            <w:r w:rsidR="00450945">
              <w:rPr>
                <w:noProof/>
                <w:webHidden/>
              </w:rPr>
              <w:fldChar w:fldCharType="end"/>
            </w:r>
          </w:hyperlink>
        </w:p>
        <w:p w:rsidR="00450945" w:rsidRDefault="00354A4D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37108289" w:history="1">
            <w:r w:rsidR="00450945" w:rsidRPr="00CC485E">
              <w:rPr>
                <w:rStyle w:val="Hypertextovprepojenie"/>
                <w:noProof/>
              </w:rPr>
              <w:t>2.</w:t>
            </w:r>
            <w:r w:rsidR="00450945">
              <w:rPr>
                <w:rFonts w:cstheme="minorBidi"/>
                <w:noProof/>
              </w:rPr>
              <w:tab/>
            </w:r>
            <w:r w:rsidR="00450945" w:rsidRPr="00CC485E">
              <w:rPr>
                <w:rStyle w:val="Hypertextovprepojenie"/>
                <w:noProof/>
              </w:rPr>
              <w:t>Postup výberu hodnotiacich kôl výziev pre poskytnutie dodatočného príspevku</w:t>
            </w:r>
            <w:r w:rsidR="00450945">
              <w:rPr>
                <w:noProof/>
                <w:webHidden/>
              </w:rPr>
              <w:tab/>
            </w:r>
            <w:r w:rsidR="00450945">
              <w:rPr>
                <w:noProof/>
                <w:webHidden/>
              </w:rPr>
              <w:fldChar w:fldCharType="begin"/>
            </w:r>
            <w:r w:rsidR="00450945">
              <w:rPr>
                <w:noProof/>
                <w:webHidden/>
              </w:rPr>
              <w:instrText xml:space="preserve"> PAGEREF _Toc137108289 \h </w:instrText>
            </w:r>
            <w:r w:rsidR="00450945">
              <w:rPr>
                <w:noProof/>
                <w:webHidden/>
              </w:rPr>
            </w:r>
            <w:r w:rsidR="00450945">
              <w:rPr>
                <w:noProof/>
                <w:webHidden/>
              </w:rPr>
              <w:fldChar w:fldCharType="separate"/>
            </w:r>
            <w:r w:rsidR="00450945">
              <w:rPr>
                <w:noProof/>
                <w:webHidden/>
              </w:rPr>
              <w:t>4</w:t>
            </w:r>
            <w:r w:rsidR="00450945">
              <w:rPr>
                <w:noProof/>
                <w:webHidden/>
              </w:rPr>
              <w:fldChar w:fldCharType="end"/>
            </w:r>
          </w:hyperlink>
        </w:p>
        <w:p w:rsidR="00450945" w:rsidRDefault="00354A4D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37108290" w:history="1">
            <w:r w:rsidR="00450945" w:rsidRPr="00CC485E">
              <w:rPr>
                <w:rStyle w:val="Hypertextovprepojenie"/>
                <w:noProof/>
              </w:rPr>
              <w:t>3.</w:t>
            </w:r>
            <w:r w:rsidR="00450945">
              <w:rPr>
                <w:rFonts w:cstheme="minorBidi"/>
                <w:noProof/>
              </w:rPr>
              <w:tab/>
            </w:r>
            <w:r w:rsidR="00450945" w:rsidRPr="00CC485E">
              <w:rPr>
                <w:rStyle w:val="Hypertextovprepojenie"/>
                <w:noProof/>
              </w:rPr>
              <w:t>Postup prípravy zmeny Zmluvy o poskytnutí NFP k poskytnutiu dodatočného príspevku</w:t>
            </w:r>
            <w:r w:rsidR="00450945">
              <w:rPr>
                <w:noProof/>
                <w:webHidden/>
              </w:rPr>
              <w:tab/>
            </w:r>
            <w:r w:rsidR="00450945">
              <w:rPr>
                <w:noProof/>
                <w:webHidden/>
              </w:rPr>
              <w:fldChar w:fldCharType="begin"/>
            </w:r>
            <w:r w:rsidR="00450945">
              <w:rPr>
                <w:noProof/>
                <w:webHidden/>
              </w:rPr>
              <w:instrText xml:space="preserve"> PAGEREF _Toc137108290 \h </w:instrText>
            </w:r>
            <w:r w:rsidR="00450945">
              <w:rPr>
                <w:noProof/>
                <w:webHidden/>
              </w:rPr>
            </w:r>
            <w:r w:rsidR="00450945">
              <w:rPr>
                <w:noProof/>
                <w:webHidden/>
              </w:rPr>
              <w:fldChar w:fldCharType="separate"/>
            </w:r>
            <w:r w:rsidR="00450945">
              <w:rPr>
                <w:noProof/>
                <w:webHidden/>
              </w:rPr>
              <w:t>7</w:t>
            </w:r>
            <w:r w:rsidR="00450945">
              <w:rPr>
                <w:noProof/>
                <w:webHidden/>
              </w:rPr>
              <w:fldChar w:fldCharType="end"/>
            </w:r>
          </w:hyperlink>
        </w:p>
        <w:p w:rsidR="00450945" w:rsidRDefault="00354A4D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37108291" w:history="1">
            <w:r w:rsidR="00450945" w:rsidRPr="00CC485E">
              <w:rPr>
                <w:rStyle w:val="Hypertextovprepojenie"/>
                <w:noProof/>
              </w:rPr>
              <w:t>4.</w:t>
            </w:r>
            <w:r w:rsidR="00450945">
              <w:rPr>
                <w:rFonts w:cstheme="minorBidi"/>
                <w:noProof/>
              </w:rPr>
              <w:tab/>
            </w:r>
            <w:r w:rsidR="00450945" w:rsidRPr="00CC485E">
              <w:rPr>
                <w:rStyle w:val="Hypertextovprepojenie"/>
                <w:noProof/>
              </w:rPr>
              <w:t>Kontrola dodatkov k zmluve o dielo</w:t>
            </w:r>
            <w:r w:rsidR="00450945">
              <w:rPr>
                <w:noProof/>
                <w:webHidden/>
              </w:rPr>
              <w:tab/>
            </w:r>
            <w:r w:rsidR="00450945">
              <w:rPr>
                <w:noProof/>
                <w:webHidden/>
              </w:rPr>
              <w:fldChar w:fldCharType="begin"/>
            </w:r>
            <w:r w:rsidR="00450945">
              <w:rPr>
                <w:noProof/>
                <w:webHidden/>
              </w:rPr>
              <w:instrText xml:space="preserve"> PAGEREF _Toc137108291 \h </w:instrText>
            </w:r>
            <w:r w:rsidR="00450945">
              <w:rPr>
                <w:noProof/>
                <w:webHidden/>
              </w:rPr>
            </w:r>
            <w:r w:rsidR="00450945">
              <w:rPr>
                <w:noProof/>
                <w:webHidden/>
              </w:rPr>
              <w:fldChar w:fldCharType="separate"/>
            </w:r>
            <w:r w:rsidR="00450945">
              <w:rPr>
                <w:noProof/>
                <w:webHidden/>
              </w:rPr>
              <w:t>10</w:t>
            </w:r>
            <w:r w:rsidR="00450945">
              <w:rPr>
                <w:noProof/>
                <w:webHidden/>
              </w:rPr>
              <w:fldChar w:fldCharType="end"/>
            </w:r>
          </w:hyperlink>
        </w:p>
        <w:p w:rsidR="00450945" w:rsidRDefault="00354A4D">
          <w:pPr>
            <w:pStyle w:val="Obsah2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37108292" w:history="1">
            <w:r w:rsidR="00450945" w:rsidRPr="00CC485E">
              <w:rPr>
                <w:rStyle w:val="Hypertextovprepojenie"/>
                <w:noProof/>
              </w:rPr>
              <w:t>5.</w:t>
            </w:r>
            <w:r w:rsidR="00450945">
              <w:rPr>
                <w:rFonts w:cstheme="minorBidi"/>
                <w:noProof/>
              </w:rPr>
              <w:tab/>
            </w:r>
            <w:r w:rsidR="00450945" w:rsidRPr="00CC485E">
              <w:rPr>
                <w:rStyle w:val="Hypertextovprepojenie"/>
                <w:noProof/>
              </w:rPr>
              <w:t>Prílohy</w:t>
            </w:r>
            <w:r w:rsidR="00450945">
              <w:rPr>
                <w:noProof/>
                <w:webHidden/>
              </w:rPr>
              <w:tab/>
            </w:r>
            <w:r w:rsidR="00450945">
              <w:rPr>
                <w:noProof/>
                <w:webHidden/>
              </w:rPr>
              <w:fldChar w:fldCharType="begin"/>
            </w:r>
            <w:r w:rsidR="00450945">
              <w:rPr>
                <w:noProof/>
                <w:webHidden/>
              </w:rPr>
              <w:instrText xml:space="preserve"> PAGEREF _Toc137108292 \h </w:instrText>
            </w:r>
            <w:r w:rsidR="00450945">
              <w:rPr>
                <w:noProof/>
                <w:webHidden/>
              </w:rPr>
            </w:r>
            <w:r w:rsidR="00450945">
              <w:rPr>
                <w:noProof/>
                <w:webHidden/>
              </w:rPr>
              <w:fldChar w:fldCharType="separate"/>
            </w:r>
            <w:r w:rsidR="00450945">
              <w:rPr>
                <w:noProof/>
                <w:webHidden/>
              </w:rPr>
              <w:t>12</w:t>
            </w:r>
            <w:r w:rsidR="00450945">
              <w:rPr>
                <w:noProof/>
                <w:webHidden/>
              </w:rPr>
              <w:fldChar w:fldCharType="end"/>
            </w:r>
          </w:hyperlink>
        </w:p>
        <w:p w:rsidR="00CE6212" w:rsidRDefault="00CE6212" w:rsidP="002F1309">
          <w:pPr>
            <w:pStyle w:val="Obsah2"/>
            <w:tabs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CE6212" w:rsidRPr="002F1309" w:rsidRDefault="00354A4D" w:rsidP="00BB1B3D">
          <w:pPr>
            <w:rPr>
              <w:lang w:eastAsia="sk-SK"/>
            </w:rPr>
          </w:pPr>
        </w:p>
      </w:sdtContent>
    </w:sdt>
    <w:p w:rsidR="00CE6212" w:rsidRDefault="00CE6212">
      <w:r>
        <w:br w:type="page"/>
      </w:r>
    </w:p>
    <w:p w:rsidR="00312B22" w:rsidRPr="009D66DF" w:rsidRDefault="00312B22" w:rsidP="002F1309"/>
    <w:p w:rsidR="00027121" w:rsidRPr="002F1309" w:rsidRDefault="00027121" w:rsidP="002F1309">
      <w:pPr>
        <w:pStyle w:val="Nadpis2"/>
        <w:numPr>
          <w:ilvl w:val="0"/>
          <w:numId w:val="28"/>
        </w:numPr>
        <w:ind w:left="426" w:hanging="426"/>
        <w:rPr>
          <w:sz w:val="32"/>
          <w:szCs w:val="32"/>
        </w:rPr>
      </w:pPr>
      <w:bookmarkStart w:id="0" w:name="_Toc137108288"/>
      <w:r w:rsidRPr="002F1309">
        <w:rPr>
          <w:sz w:val="32"/>
          <w:szCs w:val="32"/>
        </w:rPr>
        <w:t>Úvod</w:t>
      </w:r>
      <w:bookmarkEnd w:id="0"/>
    </w:p>
    <w:p w:rsidR="00CE6212" w:rsidRDefault="00CE6212" w:rsidP="00733B6F">
      <w:pPr>
        <w:jc w:val="both"/>
      </w:pPr>
    </w:p>
    <w:p w:rsidR="005739B1" w:rsidRPr="005739B1" w:rsidRDefault="005739B1" w:rsidP="002F1309">
      <w:pPr>
        <w:spacing w:line="276" w:lineRule="auto"/>
        <w:jc w:val="both"/>
      </w:pPr>
      <w:r>
        <w:t>V</w:t>
      </w:r>
      <w:r w:rsidR="00CE6212">
        <w:t> </w:t>
      </w:r>
      <w:r w:rsidRPr="005739B1">
        <w:t xml:space="preserve">nadväznosti na aktuálnu situáciu spôsobenú pandémiou COVID-19 a prebiehajúci vojnový konflikt na Ukrajine, ktoré majú významný vplyv na navyšovanie cien tovarov, problémy s dodávkami rôznych tovarov, nedostatok pracovných síl a pod., boli v rámci novely zákona č. 292/2014 Z. z. o príspevku poskytovanom z európskych štrukturálnych a investičných fondov a o zmene a doplnení niektorých zákonov v znení neskorších predpisov (ďalej len „zákon o príspevku z EŠIF“) doplnené osobitné ustanovenia k poskytovaniu dodatočného príspevku </w:t>
      </w:r>
      <w:proofErr w:type="spellStart"/>
      <w:r w:rsidRPr="005739B1">
        <w:t>zazmluvnených</w:t>
      </w:r>
      <w:proofErr w:type="spellEnd"/>
      <w:r w:rsidRPr="005739B1">
        <w:t xml:space="preserve"> projektov v zmysle zachovania plynulosti čerpania finančných prostriedkov a presmerovania finančných prostriedkov na projekty podporujúce ciele Integrovaného regionálneho operačného programu. </w:t>
      </w:r>
    </w:p>
    <w:p w:rsidR="005739B1" w:rsidRPr="005739B1" w:rsidRDefault="005739B1" w:rsidP="002F1309">
      <w:pPr>
        <w:spacing w:line="276" w:lineRule="auto"/>
        <w:jc w:val="both"/>
      </w:pPr>
      <w:r w:rsidRPr="005739B1">
        <w:t xml:space="preserve">Prijatím mechanizmu poskytnutia dodatočného príspevku sa na tejto úrovni vytvára možnosť reakcie na zvýšenie vstupov vo vzťahu k výdavkom projektov, ktoré by inak nebolo možné zrealizovať v schválenom rozsahu, t. j. nebolo by možné dosiahnuť ciele, ktoré boli projektom pridelené pri ich schválení a ktoré sú vyjadrené v uzavretej Zmluve o poskytnutí NFP. K poskytnutiu dodatočného príspevku dochádza v etape realizácie projektu, preto sa vždy viaže na existujúci projekt, ktorý sa realizuje podľa Zmluvy o poskytnutí nenávratného finančného príspevku (ďalej aj ako „NFP“) a je komplementárny (dodatočný) k už </w:t>
      </w:r>
      <w:proofErr w:type="spellStart"/>
      <w:r w:rsidRPr="005739B1">
        <w:t>zazmluvnenému</w:t>
      </w:r>
      <w:proofErr w:type="spellEnd"/>
      <w:r w:rsidRPr="005739B1">
        <w:t xml:space="preserve"> nenávratnému finančnému príspevku.</w:t>
      </w:r>
    </w:p>
    <w:p w:rsidR="004A464F" w:rsidRPr="007F1AF6" w:rsidRDefault="004A464F" w:rsidP="002F1309">
      <w:pPr>
        <w:pStyle w:val="BodyText1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</w:pPr>
      <w:bookmarkStart w:id="1" w:name="_Toc110497618"/>
      <w:bookmarkStart w:id="2" w:name="_Toc110498103"/>
      <w:bookmarkStart w:id="3" w:name="_Toc111030860"/>
      <w:bookmarkStart w:id="4" w:name="_Toc111034667"/>
      <w:bookmarkStart w:id="5" w:name="_Toc111035218"/>
      <w:bookmarkStart w:id="6" w:name="_Toc111035288"/>
      <w:bookmarkStart w:id="7" w:name="_Toc111035356"/>
      <w:bookmarkStart w:id="8" w:name="_Toc111101024"/>
      <w:bookmarkStart w:id="9" w:name="_Toc111101157"/>
      <w:r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Podmienky uplatnenia do</w:t>
      </w:r>
      <w:r w:rsidR="00047C36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datočného príspevku vyplývajú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zo </w:t>
      </w:r>
      <w:r w:rsidR="00E07C8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zákona č.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198/2022 </w:t>
      </w:r>
      <w:proofErr w:type="spellStart"/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Z.z</w:t>
      </w:r>
      <w:proofErr w:type="spellEnd"/>
      <w:r w:rsidR="00207342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.</w:t>
      </w:r>
      <w:r w:rsidR="00E07C8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,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ktorým sa mení a dopĺňa zákon</w:t>
      </w:r>
      <w:r w:rsidR="001E6018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č. 292/2014 Z. z. o príspevku poskytovanom z európskych štrukturálnych a investičných fondov a o zmene a doplnení niektorých zákonov v znení neskorších predpisov</w:t>
      </w:r>
      <w:r w:rsidR="00B107BC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,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z </w:t>
      </w:r>
      <w:r w:rsidR="00B0727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§</w:t>
      </w:r>
      <w:r w:rsidR="00FB3E04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3 ods</w:t>
      </w:r>
      <w:r w:rsidR="00CB4C57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.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FB3E04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1</w:t>
      </w:r>
      <w:r w:rsidR="00B0727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FB3E04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písm. </w:t>
      </w:r>
      <w:r w:rsidR="00B0727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a) 2</w:t>
      </w:r>
      <w:r w:rsidR="00CB4C57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a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B0727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§</w:t>
      </w:r>
      <w:r w:rsidR="00FB3E04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CC777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25a Osobitné ustanovenia k poskytnutiu dodatočného príspevku</w:t>
      </w:r>
      <w:r w:rsidR="00CB4C57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, </w:t>
      </w:r>
      <w:r w:rsidR="00B107BC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zo </w:t>
      </w:r>
      <w:r w:rsidR="00CB4C57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Systému finančného riadenia štrukturálnych fondov, Kohézneho fondu a Európskeho námorného a rybárskeho fondu na programové obdobie 2014 – 202</w:t>
      </w:r>
      <w:r w:rsidR="00B0727F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0</w:t>
      </w:r>
      <w:r w:rsidR="00071110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, </w:t>
      </w:r>
      <w:r w:rsidR="00B107BC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z </w:t>
      </w:r>
      <w:r w:rsidR="00225882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Usmernenia č. 1/2022-U k finančnému riadeniu mechanizmu poskytnutia dodatočného príspevku</w:t>
      </w:r>
      <w:r w:rsidR="004205E8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,</w:t>
      </w:r>
      <w:r w:rsidR="00B107BC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 z </w:t>
      </w:r>
      <w:r w:rsidR="00071110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Metodického výkladu</w:t>
      </w:r>
      <w:r w:rsidR="007166C6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CKO</w:t>
      </w:r>
      <w:r w:rsidR="00071110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  <w:r w:rsidR="00FB3E04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č. 11 </w:t>
      </w:r>
      <w:r w:rsidR="00071110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k zákonu č. 198/2022 Z. z., ktorým sa mení a dopĺňa zákon č. 292/2014 Z. z. o príspevku poskytovanom z európskych štrukturálnych a investičných fondov a o zmene a doplnení niektorých zákonov v znení neskorších predpisov</w:t>
      </w:r>
      <w:r w:rsidR="00FB3E04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a zákona</w:t>
      </w:r>
      <w:r w:rsidR="00C831DA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č. 343/2015 Z. z. o verejnom obstarávaní a o zmene a doplnení niektorých zákonov v znení neskorších predpisov</w:t>
      </w:r>
      <w:r w:rsidR="00866785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(ďalej aj ako „zákon o VO“)</w:t>
      </w:r>
      <w:r w:rsidR="00C831DA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. </w:t>
      </w:r>
      <w:r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Aby bolo možné poskytnúť dodatočný príspevok pre prijímateľa musia byť splnené zákonné požiadavky</w:t>
      </w:r>
      <w:r w:rsidR="008D4A60"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>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7F1AF6">
        <w:rPr>
          <w:rFonts w:asciiTheme="minorHAnsi" w:eastAsiaTheme="minorHAnsi" w:hAnsiTheme="minorHAnsi" w:cstheme="minorBidi"/>
          <w:color w:val="auto"/>
          <w:sz w:val="22"/>
          <w:szCs w:val="22"/>
          <w:lang w:val="sk-SK"/>
        </w:rPr>
        <w:t xml:space="preserve"> </w:t>
      </w:r>
    </w:p>
    <w:p w:rsidR="004A464F" w:rsidRDefault="00FB3E04">
      <w:pPr>
        <w:pStyle w:val="Odsekzoznamu"/>
        <w:numPr>
          <w:ilvl w:val="0"/>
          <w:numId w:val="13"/>
        </w:numPr>
        <w:spacing w:line="276" w:lineRule="auto"/>
        <w:ind w:left="426" w:hanging="426"/>
        <w:jc w:val="both"/>
      </w:pPr>
      <w:r>
        <w:rPr>
          <w:b/>
        </w:rPr>
        <w:t>RO</w:t>
      </w:r>
      <w:r w:rsidR="004A464F" w:rsidRPr="000E5C18">
        <w:rPr>
          <w:b/>
        </w:rPr>
        <w:t xml:space="preserve"> disponuje finančnými prostriedkami</w:t>
      </w:r>
      <w:r w:rsidR="004A464F">
        <w:t xml:space="preserve"> určenými na poskytnutie dodatočného príspevku,</w:t>
      </w:r>
    </w:p>
    <w:p w:rsidR="004A464F" w:rsidRDefault="004A464F">
      <w:pPr>
        <w:pStyle w:val="Odsekzoznamu"/>
        <w:numPr>
          <w:ilvl w:val="0"/>
          <w:numId w:val="13"/>
        </w:numPr>
        <w:spacing w:line="276" w:lineRule="auto"/>
        <w:ind w:left="426" w:hanging="426"/>
        <w:jc w:val="both"/>
      </w:pPr>
      <w:r w:rsidRPr="000E5C18">
        <w:rPr>
          <w:b/>
        </w:rPr>
        <w:t>zvýšia</w:t>
      </w:r>
      <w:r w:rsidR="00917257">
        <w:rPr>
          <w:b/>
        </w:rPr>
        <w:t xml:space="preserve"> sa</w:t>
      </w:r>
      <w:r w:rsidRPr="000E5C18">
        <w:rPr>
          <w:b/>
        </w:rPr>
        <w:t xml:space="preserve"> celkové oprávnené výdavky</w:t>
      </w:r>
      <w:r>
        <w:t xml:space="preserve"> projektu</w:t>
      </w:r>
      <w:r w:rsidR="00917257">
        <w:t>,</w:t>
      </w:r>
      <w:r>
        <w:t xml:space="preserve"> týkajúce sa hlavných aktivít projektu a bez úhrady ktorých </w:t>
      </w:r>
      <w:r w:rsidRPr="000E5C18">
        <w:rPr>
          <w:b/>
        </w:rPr>
        <w:t>by nebolo možné dosiahnuť ciele projektu</w:t>
      </w:r>
      <w:r w:rsidR="00917257">
        <w:t xml:space="preserve"> podľa zmluvy,</w:t>
      </w:r>
    </w:p>
    <w:p w:rsidR="001D4D4C" w:rsidRPr="00D86DAB" w:rsidRDefault="004A464F" w:rsidP="002F1309">
      <w:pPr>
        <w:pStyle w:val="Odsekzoznamu"/>
        <w:numPr>
          <w:ilvl w:val="0"/>
          <w:numId w:val="13"/>
        </w:numPr>
        <w:spacing w:line="276" w:lineRule="auto"/>
        <w:ind w:left="426" w:hanging="426"/>
        <w:jc w:val="both"/>
        <w:rPr>
          <w:lang w:eastAsia="sk-SK"/>
        </w:rPr>
      </w:pPr>
      <w:r>
        <w:t xml:space="preserve">sú </w:t>
      </w:r>
      <w:r w:rsidRPr="008D4A60">
        <w:rPr>
          <w:b/>
        </w:rPr>
        <w:t>splnené podmienky podľa osobitného predpisu</w:t>
      </w:r>
      <w:r w:rsidR="000E5C18">
        <w:rPr>
          <w:rStyle w:val="Odkaznapoznmkupodiarou"/>
        </w:rPr>
        <w:footnoteReference w:id="1"/>
      </w:r>
      <w:r>
        <w:t>.</w:t>
      </w:r>
    </w:p>
    <w:p w:rsidR="00405A1E" w:rsidRPr="0002063C" w:rsidRDefault="001D4D4C">
      <w:pPr>
        <w:spacing w:line="276" w:lineRule="auto"/>
        <w:jc w:val="both"/>
      </w:pPr>
      <w:r w:rsidRPr="0002063C">
        <w:rPr>
          <w:iCs/>
        </w:rPr>
        <w:t>V zmysle tohto ustanovenia</w:t>
      </w:r>
      <w:r w:rsidR="00B107BC" w:rsidRPr="0002063C">
        <w:rPr>
          <w:iCs/>
        </w:rPr>
        <w:t>,</w:t>
      </w:r>
      <w:r w:rsidRPr="0002063C">
        <w:rPr>
          <w:iCs/>
        </w:rPr>
        <w:t xml:space="preserve"> SR pri vybraných prioritných osiach OP využíva 100 % financovanie z prostriedkov EÚ v rámci 7. a 8. účtovného roka. Využitím tohto mechanizmu vzniká prebytok </w:t>
      </w:r>
      <w:r w:rsidRPr="0002063C">
        <w:rPr>
          <w:iCs/>
        </w:rPr>
        <w:lastRenderedPageBreak/>
        <w:t xml:space="preserve">prostriedkov EÚ, keďže EK prepláca </w:t>
      </w:r>
      <w:proofErr w:type="spellStart"/>
      <w:r w:rsidRPr="0002063C">
        <w:rPr>
          <w:iCs/>
        </w:rPr>
        <w:t>ŽoP</w:t>
      </w:r>
      <w:proofErr w:type="spellEnd"/>
      <w:r w:rsidRPr="0002063C">
        <w:rPr>
          <w:iCs/>
        </w:rPr>
        <w:t xml:space="preserve"> aj za prostriedky štátneho rozpočtu a vlastné zdroje prijímateľov (ďalej len „prebytok“).</w:t>
      </w:r>
    </w:p>
    <w:p w:rsidR="00405A1E" w:rsidRPr="0002063C" w:rsidRDefault="00795085">
      <w:pPr>
        <w:spacing w:line="276" w:lineRule="auto"/>
        <w:jc w:val="both"/>
      </w:pPr>
      <w:r w:rsidRPr="0002063C">
        <w:rPr>
          <w:iCs/>
        </w:rPr>
        <w:t>Použitie dodatočného príspevku je podmienené rozhodnutím RO</w:t>
      </w:r>
      <w:r w:rsidR="008A22D2" w:rsidRPr="0002063C">
        <w:rPr>
          <w:iCs/>
        </w:rPr>
        <w:t xml:space="preserve"> pre IROP</w:t>
      </w:r>
      <w:r w:rsidRPr="0002063C">
        <w:rPr>
          <w:iCs/>
        </w:rPr>
        <w:t xml:space="preserve"> o znížení celkovej alokácie </w:t>
      </w:r>
      <w:r w:rsidR="008A22D2" w:rsidRPr="0002063C">
        <w:rPr>
          <w:iCs/>
        </w:rPr>
        <w:t xml:space="preserve">Integrovaného regionálneho </w:t>
      </w:r>
      <w:r w:rsidRPr="0002063C">
        <w:rPr>
          <w:iCs/>
        </w:rPr>
        <w:t>operačného programu na národnej úrovni o výšku prebytku.</w:t>
      </w:r>
    </w:p>
    <w:p w:rsidR="00D264CA" w:rsidRDefault="0002063C" w:rsidP="002F1309">
      <w:pPr>
        <w:pStyle w:val="BodyText1"/>
        <w:spacing w:line="276" w:lineRule="auto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Usmernenie</w:t>
      </w:r>
      <w:r w:rsidRPr="0002063C">
        <w:rPr>
          <w:rFonts w:ascii="Calibri" w:hAnsi="Calibri" w:cs="Arial"/>
          <w:sz w:val="22"/>
          <w:szCs w:val="22"/>
          <w:lang w:val="sk-SK"/>
        </w:rPr>
        <w:t xml:space="preserve"> sa </w:t>
      </w:r>
      <w:r w:rsidRPr="0002063C">
        <w:rPr>
          <w:rFonts w:ascii="Calibri" w:hAnsi="Calibri" w:cs="Arial"/>
          <w:b/>
          <w:sz w:val="22"/>
          <w:szCs w:val="22"/>
          <w:lang w:val="sk-SK"/>
        </w:rPr>
        <w:t>nevzťahuje</w:t>
      </w:r>
      <w:r w:rsidRPr="0002063C">
        <w:rPr>
          <w:rFonts w:ascii="Calibri" w:hAnsi="Calibri" w:cs="Arial"/>
          <w:sz w:val="22"/>
          <w:szCs w:val="22"/>
          <w:lang w:val="sk-SK"/>
        </w:rPr>
        <w:t xml:space="preserve"> na ŽoNFP v rámci prioritnej osi 2 Ľahší prístup k efektívnym a kvalitnejším verejným službám (špecifický cieľ 2.1.2, 2.1.3 a 2.1.4), prioritnej osi č. 3 Mobilizácia kreatívneho potenciálu v regiónoch , prioritnej osi č. 5 Miestny rozvoj vedený komunitou a prioritnej osi 7 REACT-EÚ </w:t>
      </w:r>
      <w:r w:rsidR="00090618">
        <w:rPr>
          <w:rFonts w:ascii="Calibri" w:hAnsi="Calibri" w:cs="Arial"/>
          <w:sz w:val="22"/>
          <w:szCs w:val="22"/>
          <w:lang w:val="sk-SK"/>
        </w:rPr>
        <w:t xml:space="preserve">- </w:t>
      </w:r>
      <w:r w:rsidRPr="0002063C">
        <w:rPr>
          <w:rFonts w:ascii="Calibri" w:hAnsi="Calibri" w:cs="Arial"/>
          <w:sz w:val="22"/>
          <w:szCs w:val="22"/>
          <w:lang w:val="sk-SK"/>
        </w:rPr>
        <w:t>špecifický cieľ 7.7</w:t>
      </w:r>
      <w:r w:rsidR="00D264CA">
        <w:rPr>
          <w:rFonts w:ascii="Calibri" w:hAnsi="Calibri" w:cs="Arial"/>
          <w:sz w:val="22"/>
          <w:szCs w:val="22"/>
          <w:lang w:val="sk-SK"/>
        </w:rPr>
        <w:t>.</w:t>
      </w:r>
    </w:p>
    <w:p w:rsidR="0002063C" w:rsidRPr="0002063C" w:rsidRDefault="00D264CA" w:rsidP="002F1309">
      <w:pPr>
        <w:pStyle w:val="BodyText1"/>
        <w:spacing w:line="276" w:lineRule="auto"/>
        <w:jc w:val="both"/>
        <w:rPr>
          <w:rFonts w:ascii="Calibri" w:eastAsia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sz w:val="22"/>
          <w:szCs w:val="22"/>
          <w:lang w:val="sk-SK"/>
        </w:rPr>
        <w:t>P</w:t>
      </w:r>
      <w:r w:rsidR="0002063C" w:rsidRPr="0002063C">
        <w:rPr>
          <w:rFonts w:ascii="Calibri" w:hAnsi="Calibri" w:cs="Arial"/>
          <w:sz w:val="22"/>
          <w:szCs w:val="22"/>
          <w:lang w:val="sk-SK"/>
        </w:rPr>
        <w:t xml:space="preserve">ostupy mechanizmu poskytnutia dodatočného príspevku budú stanovené v osobitných dokumentoch RO pre IROP, resp. SO pre IROP MK SR a SO pre IROP MZ SR. </w:t>
      </w:r>
    </w:p>
    <w:p w:rsidR="00775128" w:rsidRPr="00A714D0" w:rsidRDefault="0093339E">
      <w:pPr>
        <w:spacing w:line="276" w:lineRule="auto"/>
        <w:jc w:val="both"/>
      </w:pPr>
      <w:r w:rsidRPr="0002063C">
        <w:t xml:space="preserve">Právny nárok na poskytnutie dodatočného príspevku vzniká nadobudnutím účinnosti </w:t>
      </w:r>
      <w:r w:rsidR="008A22D2" w:rsidRPr="0002063C">
        <w:t xml:space="preserve">Dodatku k </w:t>
      </w:r>
      <w:r w:rsidRPr="0002063C">
        <w:t>zmen</w:t>
      </w:r>
      <w:r w:rsidR="008A22D2" w:rsidRPr="0002063C">
        <w:t>e</w:t>
      </w:r>
      <w:r w:rsidRPr="0002063C">
        <w:t xml:space="preserve"> zmluvy o</w:t>
      </w:r>
      <w:r w:rsidR="008A22D2" w:rsidRPr="0002063C">
        <w:t xml:space="preserve"> poskytnutí </w:t>
      </w:r>
      <w:r w:rsidRPr="0002063C">
        <w:t>NFP.</w:t>
      </w:r>
    </w:p>
    <w:p w:rsidR="00A714D0" w:rsidRPr="002F1309" w:rsidRDefault="00943803" w:rsidP="002F1309">
      <w:pPr>
        <w:pStyle w:val="Nadpis2"/>
        <w:numPr>
          <w:ilvl w:val="0"/>
          <w:numId w:val="28"/>
        </w:numPr>
        <w:spacing w:line="276" w:lineRule="auto"/>
        <w:ind w:left="426" w:hanging="426"/>
        <w:jc w:val="both"/>
        <w:rPr>
          <w:sz w:val="32"/>
          <w:szCs w:val="32"/>
        </w:rPr>
      </w:pPr>
      <w:bookmarkStart w:id="10" w:name="_Toc137108289"/>
      <w:r w:rsidRPr="002F1309">
        <w:rPr>
          <w:sz w:val="32"/>
          <w:szCs w:val="32"/>
        </w:rPr>
        <w:t xml:space="preserve">Postup </w:t>
      </w:r>
      <w:r w:rsidR="0093339E" w:rsidRPr="002F1309">
        <w:rPr>
          <w:sz w:val="32"/>
          <w:szCs w:val="32"/>
        </w:rPr>
        <w:t xml:space="preserve">výberu </w:t>
      </w:r>
      <w:r w:rsidR="00132AB8" w:rsidRPr="002F1309">
        <w:rPr>
          <w:sz w:val="32"/>
          <w:szCs w:val="32"/>
        </w:rPr>
        <w:t xml:space="preserve">hodnotiacich kôl výziev </w:t>
      </w:r>
      <w:r w:rsidRPr="002F1309">
        <w:rPr>
          <w:sz w:val="32"/>
          <w:szCs w:val="32"/>
        </w:rPr>
        <w:t>pre poskytnutie dodatočného príspevku</w:t>
      </w:r>
      <w:bookmarkEnd w:id="10"/>
    </w:p>
    <w:p w:rsidR="00A714D0" w:rsidRPr="002F1309" w:rsidRDefault="00AC358F" w:rsidP="002F1309">
      <w:pPr>
        <w:spacing w:before="120" w:after="120" w:line="276" w:lineRule="auto"/>
        <w:jc w:val="both"/>
      </w:pPr>
      <w:r w:rsidRPr="002F1309">
        <w:rPr>
          <w:i/>
          <w:u w:val="single"/>
        </w:rPr>
        <w:t xml:space="preserve">1. </w:t>
      </w:r>
      <w:r w:rsidR="00A714D0" w:rsidRPr="002F1309">
        <w:rPr>
          <w:i/>
          <w:u w:val="single"/>
        </w:rPr>
        <w:t xml:space="preserve">Určenie kritérií pre výber </w:t>
      </w:r>
      <w:r w:rsidR="00132AB8" w:rsidRPr="002F1309">
        <w:rPr>
          <w:i/>
          <w:u w:val="single"/>
        </w:rPr>
        <w:t xml:space="preserve">hodnotiacich kôl </w:t>
      </w:r>
      <w:r w:rsidR="00A714D0" w:rsidRPr="002F1309">
        <w:rPr>
          <w:i/>
          <w:u w:val="single"/>
        </w:rPr>
        <w:t>výziev</w:t>
      </w:r>
      <w:r w:rsidR="004F2C18" w:rsidRPr="002F1309">
        <w:rPr>
          <w:i/>
          <w:u w:val="single"/>
        </w:rPr>
        <w:t>,</w:t>
      </w:r>
      <w:r w:rsidR="00A714D0" w:rsidRPr="002F1309">
        <w:rPr>
          <w:i/>
          <w:u w:val="single"/>
        </w:rPr>
        <w:t xml:space="preserve"> v rámci ktorých sa bude aplikovať dodatočný príspevok.</w:t>
      </w:r>
      <w:r w:rsidR="00A714D0" w:rsidRPr="002F1309">
        <w:t xml:space="preserve"> </w:t>
      </w:r>
    </w:p>
    <w:p w:rsidR="00775128" w:rsidRPr="00D86DAB" w:rsidRDefault="00775128" w:rsidP="008C564E">
      <w:pPr>
        <w:spacing w:before="120" w:after="120" w:line="276" w:lineRule="auto"/>
        <w:jc w:val="both"/>
      </w:pPr>
      <w:r w:rsidRPr="00D86DAB">
        <w:t xml:space="preserve">Riadiaci orgán pre IROP na základe analýzy vývoja implementácie </w:t>
      </w:r>
      <w:r w:rsidR="00B8701A" w:rsidRPr="00D86DAB">
        <w:t>operačného programu, vývoja plnenia ukazovateľov a analýzy stavu finančných prostriedkov</w:t>
      </w:r>
      <w:r w:rsidR="00FB3E04">
        <w:t>, ktoré bude možné</w:t>
      </w:r>
      <w:r w:rsidR="00B45B73" w:rsidRPr="00D86DAB">
        <w:t xml:space="preserve"> použiť</w:t>
      </w:r>
      <w:r w:rsidR="00B8701A" w:rsidRPr="00D86DAB">
        <w:t xml:space="preserve"> na poskytnutie dodatočného príspevku, stanovil na úro</w:t>
      </w:r>
      <w:r w:rsidR="00FB3E04">
        <w:t>vni operačného programu kritériá</w:t>
      </w:r>
      <w:r w:rsidR="00B8701A" w:rsidRPr="00D86DAB">
        <w:t xml:space="preserve"> pre výber </w:t>
      </w:r>
      <w:r w:rsidR="00B45B73" w:rsidRPr="00D86DAB">
        <w:t xml:space="preserve">prioritných </w:t>
      </w:r>
      <w:r w:rsidR="00B8701A" w:rsidRPr="00D86DAB">
        <w:t xml:space="preserve">výziev, v ktorých bude </w:t>
      </w:r>
      <w:r w:rsidR="00B45B73" w:rsidRPr="00D86DAB">
        <w:t>môcť</w:t>
      </w:r>
      <w:r w:rsidR="004F2C18">
        <w:t xml:space="preserve"> uplatniť</w:t>
      </w:r>
      <w:r w:rsidR="00B107BC" w:rsidRPr="00D86DAB">
        <w:t xml:space="preserve"> dodatočný príspevok </w:t>
      </w:r>
      <w:r w:rsidR="00B8701A" w:rsidRPr="00D86DAB">
        <w:t>pre</w:t>
      </w:r>
      <w:r w:rsidR="00B0727F" w:rsidRPr="00D86DAB">
        <w:t xml:space="preserve"> už </w:t>
      </w:r>
      <w:proofErr w:type="spellStart"/>
      <w:r w:rsidR="00B0727F" w:rsidRPr="00D86DAB">
        <w:t>zazmluvnené</w:t>
      </w:r>
      <w:proofErr w:type="spellEnd"/>
      <w:r w:rsidR="00B8701A" w:rsidRPr="00D86DAB">
        <w:t xml:space="preserve"> projekty</w:t>
      </w:r>
      <w:r w:rsidR="00B45B73" w:rsidRPr="00D86DAB">
        <w:t>,</w:t>
      </w:r>
      <w:r w:rsidR="00B8701A" w:rsidRPr="00D86DAB">
        <w:t xml:space="preserve"> ktoré splnia </w:t>
      </w:r>
      <w:r w:rsidR="00B0727F" w:rsidRPr="00D86DAB">
        <w:t xml:space="preserve">nižšie uvedené </w:t>
      </w:r>
      <w:r w:rsidR="00B8701A" w:rsidRPr="00D86DAB">
        <w:t>kritéri</w:t>
      </w:r>
      <w:r w:rsidR="00887439">
        <w:t>á</w:t>
      </w:r>
      <w:r w:rsidR="00B45B73" w:rsidRPr="00D86DAB">
        <w:t>. Uvedené kritéri</w:t>
      </w:r>
      <w:r w:rsidR="00887439">
        <w:t>á</w:t>
      </w:r>
      <w:r w:rsidR="00B0727F" w:rsidRPr="00D86DAB">
        <w:t xml:space="preserve"> pre poskytnutie dodatočného príspevku</w:t>
      </w:r>
      <w:r w:rsidR="00B45B73" w:rsidRPr="00D86DAB">
        <w:t xml:space="preserve"> boli </w:t>
      </w:r>
      <w:r w:rsidR="00B0727F" w:rsidRPr="00D86DAB">
        <w:t xml:space="preserve">vypracované a </w:t>
      </w:r>
      <w:r w:rsidR="00B45B73" w:rsidRPr="00D86DAB">
        <w:t>určené z</w:t>
      </w:r>
      <w:r w:rsidR="004F2C18">
        <w:t> </w:t>
      </w:r>
      <w:r w:rsidR="00B0727F" w:rsidRPr="00D86DAB">
        <w:t>dôvodu</w:t>
      </w:r>
      <w:r w:rsidR="004F2C18">
        <w:t xml:space="preserve"> </w:t>
      </w:r>
      <w:r w:rsidR="00EF3B12">
        <w:t xml:space="preserve">obmedzenej </w:t>
      </w:r>
      <w:r w:rsidR="00AB4431" w:rsidRPr="00D86DAB">
        <w:t>alokácie prostriedkov</w:t>
      </w:r>
      <w:r w:rsidR="00B45B73" w:rsidRPr="00D86DAB">
        <w:t xml:space="preserve"> v rámci operačného programu</w:t>
      </w:r>
      <w:r w:rsidR="00B0727F" w:rsidRPr="00D86DAB">
        <w:t xml:space="preserve"> na podporu </w:t>
      </w:r>
      <w:r w:rsidR="00887439">
        <w:t xml:space="preserve">kompenzácie </w:t>
      </w:r>
      <w:r w:rsidR="00B0727F" w:rsidRPr="00D86DAB">
        <w:t>nárastu cien</w:t>
      </w:r>
      <w:r w:rsidR="00AB4431" w:rsidRPr="00D86DAB">
        <w:t xml:space="preserve">, </w:t>
      </w:r>
      <w:r w:rsidR="00537F7F">
        <w:t xml:space="preserve">pričom </w:t>
      </w:r>
      <w:r w:rsidR="00B45B73" w:rsidRPr="00D86DAB">
        <w:t xml:space="preserve">nie je možné podporiť všetky </w:t>
      </w:r>
      <w:r w:rsidR="00FB3E04">
        <w:t>hodnotiace kolá</w:t>
      </w:r>
      <w:r w:rsidR="00D6260A">
        <w:t xml:space="preserve"> výziev</w:t>
      </w:r>
      <w:r w:rsidR="00B45B73" w:rsidRPr="00D86DAB">
        <w:t xml:space="preserve">, ktorých sa </w:t>
      </w:r>
      <w:r w:rsidR="00AB4431" w:rsidRPr="00D86DAB">
        <w:t>krízový</w:t>
      </w:r>
      <w:r w:rsidR="00B45B73" w:rsidRPr="00D86DAB">
        <w:t xml:space="preserve"> stav dotkol, ale </w:t>
      </w:r>
      <w:r w:rsidR="00AB4431" w:rsidRPr="006C7E93">
        <w:rPr>
          <w:b/>
        </w:rPr>
        <w:t>podpora sa zamerala na</w:t>
      </w:r>
      <w:r w:rsidR="00BB16CD" w:rsidRPr="006C7E93">
        <w:rPr>
          <w:b/>
        </w:rPr>
        <w:t xml:space="preserve"> hodnotiace kolá</w:t>
      </w:r>
      <w:r w:rsidR="001D4D4C" w:rsidRPr="006C7E93">
        <w:rPr>
          <w:b/>
        </w:rPr>
        <w:t xml:space="preserve"> v rámci výziev</w:t>
      </w:r>
      <w:r w:rsidR="00B0727F" w:rsidRPr="006C7E93">
        <w:rPr>
          <w:b/>
        </w:rPr>
        <w:t>,</w:t>
      </w:r>
      <w:r w:rsidR="00AB4431" w:rsidRPr="006C7E93">
        <w:rPr>
          <w:b/>
        </w:rPr>
        <w:t xml:space="preserve"> ktoré</w:t>
      </w:r>
      <w:r w:rsidR="001D4D4C" w:rsidRPr="006C7E93">
        <w:rPr>
          <w:b/>
        </w:rPr>
        <w:t xml:space="preserve"> </w:t>
      </w:r>
      <w:r w:rsidR="00872B2D" w:rsidRPr="006C7E93">
        <w:rPr>
          <w:b/>
        </w:rPr>
        <w:t>spĺňajú nižšie uvedené kritériá</w:t>
      </w:r>
      <w:r w:rsidR="00AB4431" w:rsidRPr="00D86DAB">
        <w:t xml:space="preserve">: </w:t>
      </w:r>
    </w:p>
    <w:p w:rsidR="00AB4431" w:rsidRPr="00D86DAB" w:rsidRDefault="00D6260A" w:rsidP="000064E4">
      <w:pPr>
        <w:pStyle w:val="Odsekzoznamu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6C7E93">
        <w:rPr>
          <w:b/>
        </w:rPr>
        <w:t xml:space="preserve">Hodnotiace kola </w:t>
      </w:r>
      <w:r w:rsidR="00EF3B12" w:rsidRPr="006C7E93">
        <w:rPr>
          <w:b/>
        </w:rPr>
        <w:t>výziev</w:t>
      </w:r>
      <w:r w:rsidR="004F0FD2" w:rsidRPr="006C7E93">
        <w:rPr>
          <w:b/>
        </w:rPr>
        <w:t>,</w:t>
      </w:r>
      <w:r w:rsidR="000A7B05" w:rsidRPr="006C7E93">
        <w:rPr>
          <w:b/>
        </w:rPr>
        <w:t xml:space="preserve"> ktoré boli uzavreté od</w:t>
      </w:r>
      <w:r w:rsidR="00321748" w:rsidRPr="006C7E93">
        <w:rPr>
          <w:b/>
        </w:rPr>
        <w:t xml:space="preserve"> </w:t>
      </w:r>
      <w:r w:rsidR="00E037EA" w:rsidRPr="006C7E93">
        <w:rPr>
          <w:b/>
        </w:rPr>
        <w:t>12.3.</w:t>
      </w:r>
      <w:r w:rsidR="00321748" w:rsidRPr="006C7E93">
        <w:rPr>
          <w:b/>
        </w:rPr>
        <w:t xml:space="preserve">2020 do </w:t>
      </w:r>
      <w:r w:rsidR="00872B2D" w:rsidRPr="006C7E93">
        <w:rPr>
          <w:b/>
        </w:rPr>
        <w:t>30.</w:t>
      </w:r>
      <w:r w:rsidR="000527BB" w:rsidRPr="006C7E93">
        <w:rPr>
          <w:b/>
        </w:rPr>
        <w:t>4.2022</w:t>
      </w:r>
      <w:r w:rsidR="000527BB" w:rsidRPr="000A7B05">
        <w:t>.</w:t>
      </w:r>
    </w:p>
    <w:p w:rsidR="00503876" w:rsidRDefault="00D6260A" w:rsidP="000064E4">
      <w:pPr>
        <w:pStyle w:val="Odsekzoznamu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b/>
        </w:rPr>
      </w:pPr>
      <w:r w:rsidRPr="006C7E93">
        <w:rPr>
          <w:b/>
        </w:rPr>
        <w:t>Hodnotiace kol</w:t>
      </w:r>
      <w:r w:rsidR="00887439" w:rsidRPr="006C7E93">
        <w:rPr>
          <w:b/>
        </w:rPr>
        <w:t>á</w:t>
      </w:r>
      <w:r w:rsidRPr="006C7E93">
        <w:rPr>
          <w:b/>
        </w:rPr>
        <w:t xml:space="preserve"> výziev</w:t>
      </w:r>
      <w:r w:rsidR="000A7B05" w:rsidRPr="006C7E93">
        <w:rPr>
          <w:b/>
        </w:rPr>
        <w:t>, v ktorých</w:t>
      </w:r>
      <w:r w:rsidR="00321748" w:rsidRPr="006C7E93">
        <w:rPr>
          <w:b/>
        </w:rPr>
        <w:t xml:space="preserve"> </w:t>
      </w:r>
      <w:r w:rsidR="000A7B05" w:rsidRPr="006C7E93">
        <w:rPr>
          <w:b/>
        </w:rPr>
        <w:t xml:space="preserve">priemerná </w:t>
      </w:r>
      <w:r w:rsidR="00321748" w:rsidRPr="006C7E93">
        <w:rPr>
          <w:b/>
        </w:rPr>
        <w:t>investičná náročnosť na projekt</w:t>
      </w:r>
      <w:r w:rsidR="00F0443F" w:rsidRPr="006C7E93">
        <w:rPr>
          <w:b/>
        </w:rPr>
        <w:t xml:space="preserve"> (COV)</w:t>
      </w:r>
      <w:r w:rsidR="00321748" w:rsidRPr="006C7E93">
        <w:rPr>
          <w:b/>
        </w:rPr>
        <w:t xml:space="preserve"> </w:t>
      </w:r>
      <w:r w:rsidR="000A7B05" w:rsidRPr="006C7E93">
        <w:rPr>
          <w:b/>
        </w:rPr>
        <w:t>presahuje</w:t>
      </w:r>
      <w:r w:rsidR="00D2121E" w:rsidRPr="006C7E93">
        <w:rPr>
          <w:b/>
        </w:rPr>
        <w:t xml:space="preserve"> sumu</w:t>
      </w:r>
      <w:r w:rsidR="00FB3E04" w:rsidRPr="006C7E93">
        <w:rPr>
          <w:b/>
        </w:rPr>
        <w:t xml:space="preserve"> </w:t>
      </w:r>
      <w:r w:rsidR="0002063C" w:rsidRPr="006C7E93">
        <w:rPr>
          <w:b/>
        </w:rPr>
        <w:t xml:space="preserve">viac ako </w:t>
      </w:r>
      <w:r w:rsidR="00FB3E04" w:rsidRPr="006C7E93">
        <w:rPr>
          <w:b/>
        </w:rPr>
        <w:t>250 000 €</w:t>
      </w:r>
      <w:r w:rsidR="0002063C" w:rsidRPr="006C7E93">
        <w:rPr>
          <w:b/>
        </w:rPr>
        <w:t>.</w:t>
      </w:r>
    </w:p>
    <w:p w:rsidR="00503876" w:rsidRDefault="007C2DE5" w:rsidP="000064E4">
      <w:pPr>
        <w:pStyle w:val="Odsekzoznamu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H</w:t>
      </w:r>
      <w:r w:rsidR="00503876" w:rsidRPr="00503876">
        <w:rPr>
          <w:b/>
        </w:rPr>
        <w:t xml:space="preserve">odnotiace kolá výziev v rámci špecifického cieľa č. 4.2.1 z dôvodu riešenia požiadaviek smernice Európskeho parlamentu a Rady 2000/60/ES stanovujúcej rámec pôsobnosti pre opatrenia Spoločenstva v oblasti vodného hospodárstva s cieľom splnenia požiadaviek environmentálneho </w:t>
      </w:r>
      <w:proofErr w:type="spellStart"/>
      <w:r w:rsidR="00503876" w:rsidRPr="00503876">
        <w:rPr>
          <w:b/>
        </w:rPr>
        <w:t>acquis</w:t>
      </w:r>
      <w:proofErr w:type="spellEnd"/>
      <w:r w:rsidR="00503876" w:rsidRPr="00503876">
        <w:rPr>
          <w:b/>
        </w:rPr>
        <w:t xml:space="preserve"> Únie</w:t>
      </w:r>
      <w:r w:rsidR="005A71BF">
        <w:rPr>
          <w:b/>
        </w:rPr>
        <w:t xml:space="preserve"> (ide o výzvu </w:t>
      </w:r>
      <w:r w:rsidR="00FE0CEF">
        <w:rPr>
          <w:b/>
        </w:rPr>
        <w:t xml:space="preserve">s kódom </w:t>
      </w:r>
      <w:r w:rsidR="005A71BF" w:rsidRPr="005A71BF">
        <w:rPr>
          <w:b/>
        </w:rPr>
        <w:t>IROP-PO4-SC421-2017-19</w:t>
      </w:r>
      <w:r w:rsidR="005A71BF">
        <w:rPr>
          <w:b/>
        </w:rPr>
        <w:t>)</w:t>
      </w:r>
      <w:r w:rsidR="00503876" w:rsidRPr="00503876">
        <w:rPr>
          <w:b/>
        </w:rPr>
        <w:t>.</w:t>
      </w:r>
    </w:p>
    <w:p w:rsidR="007D391D" w:rsidRPr="000064E4" w:rsidRDefault="009C1434" w:rsidP="000064E4">
      <w:pPr>
        <w:pStyle w:val="Odsekzoznamu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b/>
        </w:rPr>
      </w:pPr>
      <w:r w:rsidRPr="009C1434">
        <w:rPr>
          <w:b/>
        </w:rPr>
        <w:t>Hodnotiace kolá výziev</w:t>
      </w:r>
      <w:r w:rsidR="008C564E" w:rsidRPr="008C564E">
        <w:rPr>
          <w:b/>
          <w:bCs/>
        </w:rPr>
        <w:t xml:space="preserve"> v oblasti soc. služieb a sociálnoprávnej ochrany a sociálnej kurately z dôvodu potrieb vyplývajúcich z NÁRODNEJ STRATÉGIE DEINŠTITUCIONALIZÁCIE SYSTÉMU </w:t>
      </w:r>
      <w:r w:rsidR="008C564E" w:rsidRPr="008C564E">
        <w:rPr>
          <w:b/>
          <w:bCs/>
        </w:rPr>
        <w:lastRenderedPageBreak/>
        <w:t>SOCIÁLNYCH SLUŽIEB A NÁHRADNEJ STAROSTLIVOSTI</w:t>
      </w:r>
      <w:r w:rsidR="008C564E">
        <w:rPr>
          <w:rStyle w:val="Odkaznapoznmkupodiarou"/>
          <w:b/>
          <w:bCs/>
        </w:rPr>
        <w:footnoteReference w:id="2"/>
      </w:r>
      <w:r w:rsidR="008C564E" w:rsidRPr="008C564E">
        <w:rPr>
          <w:b/>
          <w:bCs/>
        </w:rPr>
        <w:t xml:space="preserve"> v rámci ktorej sú definované dlhodobé ciele a to </w:t>
      </w:r>
      <w:r w:rsidR="008C564E">
        <w:rPr>
          <w:b/>
          <w:bCs/>
        </w:rPr>
        <w:t xml:space="preserve">s cieľom </w:t>
      </w:r>
      <w:r w:rsidR="008C564E" w:rsidRPr="008C564E">
        <w:rPr>
          <w:b/>
          <w:bCs/>
        </w:rPr>
        <w:t>zabezpečiť individualizáciu uspokojovania potrieb klientov, ktorým sa poskytujú sociálne služby alebo pre ktorých sa vykonávajú opatrenia v prirodzenom rodinnom prostredí alebo v</w:t>
      </w:r>
      <w:r w:rsidR="005A71BF">
        <w:rPr>
          <w:b/>
          <w:bCs/>
        </w:rPr>
        <w:t> </w:t>
      </w:r>
      <w:r w:rsidR="008C564E" w:rsidRPr="008C564E">
        <w:rPr>
          <w:b/>
          <w:bCs/>
        </w:rPr>
        <w:t>zariadení</w:t>
      </w:r>
      <w:r w:rsidR="005A71BF">
        <w:rPr>
          <w:b/>
          <w:bCs/>
        </w:rPr>
        <w:t xml:space="preserve"> (ide o</w:t>
      </w:r>
      <w:r w:rsidR="00FE0CEF">
        <w:rPr>
          <w:b/>
          <w:bCs/>
        </w:rPr>
        <w:t> </w:t>
      </w:r>
      <w:r w:rsidR="005A71BF">
        <w:rPr>
          <w:b/>
          <w:bCs/>
        </w:rPr>
        <w:t>výzvy</w:t>
      </w:r>
      <w:r w:rsidR="00FE0CEF">
        <w:rPr>
          <w:b/>
          <w:bCs/>
        </w:rPr>
        <w:t xml:space="preserve"> s kódom</w:t>
      </w:r>
      <w:r w:rsidR="005A71BF">
        <w:rPr>
          <w:b/>
          <w:bCs/>
        </w:rPr>
        <w:t xml:space="preserve"> </w:t>
      </w:r>
      <w:r w:rsidR="00E07967" w:rsidRPr="005A71BF">
        <w:rPr>
          <w:b/>
          <w:bCs/>
        </w:rPr>
        <w:t>IROP-PO2-SC211-</w:t>
      </w:r>
      <w:r w:rsidR="00E07967">
        <w:rPr>
          <w:b/>
          <w:bCs/>
        </w:rPr>
        <w:t xml:space="preserve">2017-17, </w:t>
      </w:r>
      <w:r w:rsidR="005A71BF" w:rsidRPr="005A71BF">
        <w:rPr>
          <w:b/>
          <w:bCs/>
        </w:rPr>
        <w:t>IROP-PO2-SC211-2018-27</w:t>
      </w:r>
      <w:r w:rsidR="005A71BF">
        <w:rPr>
          <w:b/>
          <w:bCs/>
        </w:rPr>
        <w:t xml:space="preserve">, </w:t>
      </w:r>
      <w:r w:rsidR="005A71BF" w:rsidRPr="005A71BF">
        <w:rPr>
          <w:b/>
          <w:bCs/>
        </w:rPr>
        <w:t>IROP-PO2-SC211-2018-34</w:t>
      </w:r>
      <w:r w:rsidR="005A71BF">
        <w:rPr>
          <w:b/>
          <w:bCs/>
        </w:rPr>
        <w:t>)</w:t>
      </w:r>
      <w:r w:rsidR="008C564E" w:rsidRPr="008C564E">
        <w:rPr>
          <w:b/>
          <w:bCs/>
        </w:rPr>
        <w:t xml:space="preserve">. </w:t>
      </w:r>
    </w:p>
    <w:p w:rsidR="00A7248F" w:rsidRPr="006C7E93" w:rsidRDefault="00354A4D" w:rsidP="00354A4D">
      <w:pPr>
        <w:pStyle w:val="Odsekzoznamu"/>
        <w:numPr>
          <w:ilvl w:val="0"/>
          <w:numId w:val="5"/>
        </w:numPr>
        <w:spacing w:before="120" w:after="120" w:line="276" w:lineRule="auto"/>
        <w:jc w:val="both"/>
        <w:rPr>
          <w:b/>
        </w:rPr>
      </w:pPr>
      <w:r w:rsidRPr="00354A4D">
        <w:rPr>
          <w:b/>
        </w:rPr>
        <w:t>Všetky hodnotiace kola výziev v ktorých bolo vydane aspoň jedno Rozhodnutie o zmene rozhodnutia o neschválení žiadosti o nenávratný finančný príspevok po termíne 01.02.2020.</w:t>
      </w:r>
    </w:p>
    <w:p w:rsidR="00993166" w:rsidRDefault="004F2C18" w:rsidP="002F1309">
      <w:pPr>
        <w:spacing w:before="120" w:after="120" w:line="276" w:lineRule="auto"/>
        <w:jc w:val="both"/>
        <w:rPr>
          <w:iCs/>
        </w:rPr>
      </w:pPr>
      <w:r>
        <w:rPr>
          <w:iCs/>
        </w:rPr>
        <w:t>D</w:t>
      </w:r>
      <w:r w:rsidR="00993166" w:rsidRPr="00D86DAB">
        <w:rPr>
          <w:iCs/>
        </w:rPr>
        <w:t xml:space="preserve">odatočný príspevok </w:t>
      </w:r>
      <w:r>
        <w:rPr>
          <w:iCs/>
        </w:rPr>
        <w:t xml:space="preserve">možno </w:t>
      </w:r>
      <w:r w:rsidR="00993166" w:rsidRPr="00D86DAB">
        <w:rPr>
          <w:iCs/>
        </w:rPr>
        <w:t>poskytnúť iba vo vzťahu k tým projektom, u ktorých v čase poskytnutia dodatočného príspevku neexistujú poc</w:t>
      </w:r>
      <w:bookmarkStart w:id="11" w:name="_GoBack"/>
      <w:bookmarkEnd w:id="11"/>
      <w:r w:rsidR="00993166" w:rsidRPr="00D86DAB">
        <w:rPr>
          <w:iCs/>
        </w:rPr>
        <w:t>hybnosti o tom, že dosiahnu cieľ, pre ktorý boli schválené, realizujú sa riadne a nevykazujú žiadne známky fyzickej alebo funkčnej zmeny alebo inej okolnosti, ktoré by bránili v dosiahnutí cieľa projektu podľa zmluvy.</w:t>
      </w:r>
    </w:p>
    <w:p w:rsidR="00405A1E" w:rsidRDefault="00405A1E" w:rsidP="002F1309">
      <w:pPr>
        <w:spacing w:before="120" w:after="120" w:line="276" w:lineRule="auto"/>
        <w:jc w:val="both"/>
        <w:rPr>
          <w:rFonts w:eastAsia="Times New Roman"/>
          <w:lang w:eastAsia="sk-SK"/>
        </w:rPr>
      </w:pPr>
      <w:r w:rsidRPr="000A7B05">
        <w:rPr>
          <w:rFonts w:eastAsia="Times New Roman"/>
          <w:b/>
          <w:lang w:eastAsia="sk-SK"/>
        </w:rPr>
        <w:t>Dodatočným príspevkom je možné vykryť iba finančný nárast vecne oprávnen</w:t>
      </w:r>
      <w:r w:rsidR="0082758A">
        <w:rPr>
          <w:rFonts w:eastAsia="Times New Roman"/>
          <w:b/>
          <w:lang w:eastAsia="sk-SK"/>
        </w:rPr>
        <w:t>ých výdavkov</w:t>
      </w:r>
      <w:r w:rsidRPr="000A7B05">
        <w:rPr>
          <w:rFonts w:eastAsia="Times New Roman"/>
          <w:b/>
          <w:lang w:eastAsia="sk-SK"/>
        </w:rPr>
        <w:t xml:space="preserve"> </w:t>
      </w:r>
      <w:r w:rsidRPr="00405A1E">
        <w:rPr>
          <w:rFonts w:eastAsia="Times New Roman"/>
          <w:lang w:eastAsia="sk-SK"/>
        </w:rPr>
        <w:t xml:space="preserve">a nie </w:t>
      </w:r>
      <w:r w:rsidRPr="00D86DAB">
        <w:rPr>
          <w:rFonts w:eastAsia="Times New Roman"/>
          <w:lang w:eastAsia="sk-SK"/>
        </w:rPr>
        <w:t xml:space="preserve">je možné rozširovať rozsah výdavkov podľa zmluvy ani dopĺňať nové aktivity nad rámec zmluvy. Dodatočný príspevok sa </w:t>
      </w:r>
      <w:r w:rsidR="0082758A">
        <w:rPr>
          <w:rFonts w:eastAsia="Times New Roman"/>
          <w:lang w:eastAsia="sk-SK"/>
        </w:rPr>
        <w:t>vzťahuje</w:t>
      </w:r>
      <w:r w:rsidRPr="00D86DAB">
        <w:rPr>
          <w:rFonts w:eastAsia="Times New Roman"/>
          <w:lang w:eastAsia="sk-SK"/>
        </w:rPr>
        <w:t xml:space="preserve"> na hlavné aktivity projektu tak, ako sú uvedené v prílohe č. 2 </w:t>
      </w:r>
      <w:r w:rsidR="00E04846">
        <w:rPr>
          <w:rFonts w:eastAsia="Times New Roman"/>
          <w:lang w:eastAsia="sk-SK"/>
        </w:rPr>
        <w:t>Z</w:t>
      </w:r>
      <w:r w:rsidRPr="00D86DAB">
        <w:rPr>
          <w:rFonts w:eastAsia="Times New Roman"/>
          <w:lang w:eastAsia="sk-SK"/>
        </w:rPr>
        <w:t xml:space="preserve">mluvy </w:t>
      </w:r>
      <w:r w:rsidR="00795085" w:rsidRPr="00D86DAB">
        <w:rPr>
          <w:rFonts w:eastAsia="Times New Roman"/>
          <w:lang w:eastAsia="sk-SK"/>
        </w:rPr>
        <w:t>o</w:t>
      </w:r>
      <w:r w:rsidR="00E04846">
        <w:rPr>
          <w:rFonts w:eastAsia="Times New Roman"/>
          <w:lang w:eastAsia="sk-SK"/>
        </w:rPr>
        <w:t xml:space="preserve"> poskytnutí</w:t>
      </w:r>
      <w:r w:rsidR="00795085" w:rsidRPr="00D86DAB">
        <w:rPr>
          <w:rFonts w:eastAsia="Times New Roman"/>
          <w:lang w:eastAsia="sk-SK"/>
        </w:rPr>
        <w:t xml:space="preserve"> NFP </w:t>
      </w:r>
      <w:r w:rsidRPr="00D86DAB">
        <w:rPr>
          <w:rFonts w:eastAsia="Times New Roman"/>
          <w:lang w:eastAsia="sk-SK"/>
        </w:rPr>
        <w:t>(predmet podpory) a nesmie pokrývať podporné aktivity projektu. Poskytnutie d</w:t>
      </w:r>
      <w:r w:rsidR="00124E0D" w:rsidRPr="00D86DAB">
        <w:rPr>
          <w:rFonts w:eastAsia="Times New Roman"/>
          <w:lang w:eastAsia="sk-SK"/>
        </w:rPr>
        <w:t>odatočného príspevku sa musí riadiť princípmi</w:t>
      </w:r>
      <w:r w:rsidRPr="00D86DAB">
        <w:rPr>
          <w:rFonts w:eastAsia="Times New Roman"/>
          <w:lang w:eastAsia="sk-SK"/>
        </w:rPr>
        <w:t xml:space="preserve"> hospodárneho, efektívneho, účinného a účelného nakladania s verejnými prostriedkami. </w:t>
      </w:r>
      <w:r w:rsidR="003C3E1C">
        <w:rPr>
          <w:rFonts w:eastAsia="Times New Roman"/>
          <w:lang w:eastAsia="sk-SK"/>
        </w:rPr>
        <w:t>K</w:t>
      </w:r>
      <w:r w:rsidRPr="00D86DAB">
        <w:rPr>
          <w:rFonts w:eastAsia="Times New Roman"/>
          <w:lang w:eastAsia="sk-SK"/>
        </w:rPr>
        <w:t>onečná výška poskytnutého dodatočného príspevku musí zohľadňovať vykonané úspory na jednotlivých položkách existujúceho rozpočtu projektu, prípadné úpravy (prehodnotenie) rozpočtu projektu z hľadiska efektívnosti a účelnosti a musí na princípe hospodárnosti pokrývať skutočné zvýšenie výdavkov projektu, zohľadňujúc vstupy od dodávateľov projektu, zmenu všeobecne záväzných právnych predpisov a iné objektívne existujúce skutočnosti.</w:t>
      </w:r>
    </w:p>
    <w:p w:rsidR="00F43DF9" w:rsidRPr="00F43DF9" w:rsidRDefault="00F43DF9" w:rsidP="00F43DF9">
      <w:pPr>
        <w:spacing w:before="120" w:after="120" w:line="276" w:lineRule="auto"/>
        <w:jc w:val="both"/>
        <w:rPr>
          <w:rFonts w:eastAsia="Times New Roman"/>
          <w:lang w:eastAsia="sk-SK"/>
        </w:rPr>
      </w:pPr>
      <w:r w:rsidRPr="00F43DF9">
        <w:rPr>
          <w:rFonts w:eastAsia="Times New Roman"/>
          <w:lang w:eastAsia="sk-SK"/>
        </w:rPr>
        <w:t xml:space="preserve">Poskytnutie dodatočného príspevku sa vzťahuje aj na oprávnené výdavky, na ktoré boli v rámci výziev na predkladanie ŽoNFP stanovené RO pre IROP </w:t>
      </w:r>
      <w:proofErr w:type="spellStart"/>
      <w:r w:rsidRPr="00F43DF9">
        <w:rPr>
          <w:rFonts w:eastAsia="Times New Roman"/>
          <w:lang w:eastAsia="sk-SK"/>
        </w:rPr>
        <w:t>benchmarky</w:t>
      </w:r>
      <w:proofErr w:type="spellEnd"/>
      <w:r w:rsidRPr="00F43DF9">
        <w:rPr>
          <w:rFonts w:eastAsia="Times New Roman"/>
          <w:lang w:eastAsia="sk-SK"/>
        </w:rPr>
        <w:t xml:space="preserve"> a finančné limity pre výdavky v rámci  hlavných aktivít projektov za podmienky, že prijímateľ odôvodní nárast cien týchto výdavkov</w:t>
      </w:r>
      <w:r w:rsidRPr="00F43DF9">
        <w:rPr>
          <w:rFonts w:eastAsia="Times New Roman"/>
          <w:vertAlign w:val="superscript"/>
          <w:lang w:eastAsia="sk-SK"/>
        </w:rPr>
        <w:footnoteReference w:id="3"/>
      </w:r>
      <w:r w:rsidRPr="00F43DF9">
        <w:rPr>
          <w:rFonts w:eastAsia="Times New Roman"/>
          <w:lang w:eastAsia="sk-SK"/>
        </w:rPr>
        <w:t xml:space="preserve">. </w:t>
      </w:r>
    </w:p>
    <w:p w:rsidR="00405A1E" w:rsidRPr="00D86DAB" w:rsidRDefault="003C3E1C" w:rsidP="002F1309">
      <w:pPr>
        <w:pStyle w:val="Odsekzoznamu"/>
        <w:spacing w:before="120" w:after="120" w:line="276" w:lineRule="auto"/>
        <w:ind w:left="0"/>
        <w:jc w:val="both"/>
      </w:pPr>
      <w:r w:rsidRPr="000A7B05">
        <w:rPr>
          <w:b/>
          <w:iCs/>
        </w:rPr>
        <w:t>Poskytnutý d</w:t>
      </w:r>
      <w:r w:rsidR="00795085" w:rsidRPr="000A7B05">
        <w:rPr>
          <w:b/>
          <w:iCs/>
        </w:rPr>
        <w:t>odatočný príspevok umožňuje zrealizovať projekt v schválenom rozsahu a dosiahnuť ciele projektu</w:t>
      </w:r>
      <w:r w:rsidR="00884E45">
        <w:rPr>
          <w:b/>
          <w:iCs/>
        </w:rPr>
        <w:t>.</w:t>
      </w:r>
      <w:r w:rsidR="00795085" w:rsidRPr="00D86DAB">
        <w:rPr>
          <w:iCs/>
        </w:rPr>
        <w:t xml:space="preserve"> </w:t>
      </w:r>
      <w:r w:rsidR="00A239B2">
        <w:rPr>
          <w:iCs/>
        </w:rPr>
        <w:t>P</w:t>
      </w:r>
      <w:r w:rsidR="0082758A">
        <w:rPr>
          <w:iCs/>
        </w:rPr>
        <w:t>oskytuje</w:t>
      </w:r>
      <w:r w:rsidR="00A239B2">
        <w:rPr>
          <w:iCs/>
        </w:rPr>
        <w:t xml:space="preserve"> sa</w:t>
      </w:r>
      <w:r w:rsidR="0082758A">
        <w:rPr>
          <w:iCs/>
        </w:rPr>
        <w:t xml:space="preserve"> </w:t>
      </w:r>
      <w:r w:rsidR="00405A1E" w:rsidRPr="000A7B05">
        <w:rPr>
          <w:rFonts w:eastAsia="Times New Roman"/>
          <w:b/>
          <w:lang w:eastAsia="sk-SK"/>
        </w:rPr>
        <w:t>v rovnakom pomere ako nenávratný finančný príspevok, tzn. prijímateľ je povinný zabezpečiť vlastné zdroje k dodatočnému príspevku v pomere určenom v</w:t>
      </w:r>
      <w:r w:rsidR="00FD747B">
        <w:rPr>
          <w:rFonts w:eastAsia="Times New Roman"/>
          <w:b/>
          <w:lang w:eastAsia="sk-SK"/>
        </w:rPr>
        <w:t> </w:t>
      </w:r>
      <w:r w:rsidR="00E65627">
        <w:rPr>
          <w:rFonts w:eastAsia="Times New Roman"/>
          <w:b/>
          <w:lang w:eastAsia="sk-SK"/>
        </w:rPr>
        <w:t xml:space="preserve">uzavretej </w:t>
      </w:r>
      <w:r w:rsidR="00FD747B">
        <w:rPr>
          <w:rFonts w:eastAsia="Times New Roman"/>
          <w:b/>
          <w:lang w:eastAsia="sk-SK"/>
        </w:rPr>
        <w:t>Z</w:t>
      </w:r>
      <w:r w:rsidR="00405A1E" w:rsidRPr="000A7B05">
        <w:rPr>
          <w:rFonts w:eastAsia="Times New Roman"/>
          <w:b/>
          <w:lang w:eastAsia="sk-SK"/>
        </w:rPr>
        <w:t>mluve</w:t>
      </w:r>
      <w:r w:rsidR="001E6018" w:rsidRPr="000A7B05">
        <w:rPr>
          <w:rFonts w:eastAsia="Times New Roman"/>
          <w:b/>
          <w:lang w:eastAsia="sk-SK"/>
        </w:rPr>
        <w:t xml:space="preserve"> o</w:t>
      </w:r>
      <w:r w:rsidR="00DB05A7">
        <w:rPr>
          <w:rFonts w:eastAsia="Times New Roman"/>
          <w:b/>
          <w:lang w:eastAsia="sk-SK"/>
        </w:rPr>
        <w:t xml:space="preserve"> poskytnutí </w:t>
      </w:r>
      <w:r w:rsidR="001E6018" w:rsidRPr="000A7B05">
        <w:rPr>
          <w:rFonts w:eastAsia="Times New Roman"/>
          <w:b/>
          <w:lang w:eastAsia="sk-SK"/>
        </w:rPr>
        <w:t>NFP</w:t>
      </w:r>
      <w:r w:rsidR="00405A1E" w:rsidRPr="00D86DAB">
        <w:rPr>
          <w:rFonts w:eastAsia="Times New Roman"/>
          <w:lang w:eastAsia="sk-SK"/>
        </w:rPr>
        <w:t>. Pri vysporiadaní finančných vzťahov sa dodatočný príspevok vracia rovnakým spôsobom ako nenávratný finančný príspevok</w:t>
      </w:r>
      <w:r w:rsidR="00F0028A">
        <w:rPr>
          <w:rFonts w:eastAsia="Times New Roman"/>
          <w:lang w:eastAsia="sk-SK"/>
        </w:rPr>
        <w:t>.</w:t>
      </w:r>
    </w:p>
    <w:p w:rsidR="00F0028A" w:rsidRPr="00D86DAB" w:rsidRDefault="00993166" w:rsidP="002F1309">
      <w:pPr>
        <w:spacing w:before="120" w:after="120" w:line="276" w:lineRule="auto"/>
        <w:jc w:val="both"/>
      </w:pPr>
      <w:r w:rsidRPr="00D86DAB">
        <w:rPr>
          <w:iCs/>
        </w:rPr>
        <w:t>Dodatočný príspevok je možné poskytnúť na projekt</w:t>
      </w:r>
      <w:r w:rsidR="00353EAB">
        <w:rPr>
          <w:iCs/>
        </w:rPr>
        <w:t>,</w:t>
      </w:r>
      <w:r w:rsidRPr="00D86DAB">
        <w:rPr>
          <w:iCs/>
        </w:rPr>
        <w:t xml:space="preserve"> ak zvýšenie dohodnutej sumy plnenia poskytovaného dodávateľom v projekte vyplýva z dohody zmluvných strán podľa zmeny zmluvy uzavretej medzi prijímateľom a dodávateľom, ktorá je výsledkom verejného obstarávania/obstarávania, takáto dohoda môže predstavovať splnenie predpokladu uvedeného v </w:t>
      </w:r>
      <w:r w:rsidR="002B7290">
        <w:rPr>
          <w:iCs/>
        </w:rPr>
        <w:br/>
      </w:r>
      <w:r w:rsidRPr="00D86DAB">
        <w:rPr>
          <w:iCs/>
        </w:rPr>
        <w:lastRenderedPageBreak/>
        <w:t>§ 25a ods. 1 písm. b) zákona o príspevku z EŠIF týkajúceho sa zvýšenia celkových oprávnených výdavkov projektu od nadobudnutia účinnosti takejto zmeny zmluvy.</w:t>
      </w:r>
    </w:p>
    <w:p w:rsidR="00F0028A" w:rsidRPr="00733B6F" w:rsidRDefault="00483D16" w:rsidP="002F1309">
      <w:pPr>
        <w:spacing w:before="120" w:after="120" w:line="276" w:lineRule="auto"/>
        <w:jc w:val="both"/>
        <w:rPr>
          <w:i/>
        </w:rPr>
      </w:pPr>
      <w:r w:rsidRPr="002F1309">
        <w:rPr>
          <w:i/>
          <w:u w:val="single"/>
        </w:rPr>
        <w:t>V</w:t>
      </w:r>
      <w:r w:rsidR="00405A1E" w:rsidRPr="002F1309">
        <w:rPr>
          <w:i/>
          <w:u w:val="single"/>
        </w:rPr>
        <w:t xml:space="preserve"> rámci </w:t>
      </w:r>
      <w:r w:rsidR="001E6018" w:rsidRPr="002F1309">
        <w:rPr>
          <w:i/>
          <w:u w:val="single"/>
        </w:rPr>
        <w:t xml:space="preserve">hodnotiaceho kola </w:t>
      </w:r>
      <w:r w:rsidR="00405A1E" w:rsidRPr="002F1309">
        <w:rPr>
          <w:i/>
          <w:u w:val="single"/>
        </w:rPr>
        <w:t>výziev, ktoré boli</w:t>
      </w:r>
      <w:r w:rsidRPr="002F1309">
        <w:rPr>
          <w:i/>
          <w:u w:val="single"/>
        </w:rPr>
        <w:t xml:space="preserve"> v</w:t>
      </w:r>
      <w:r w:rsidR="00F0028A" w:rsidRPr="002F1309">
        <w:rPr>
          <w:i/>
          <w:u w:val="single"/>
        </w:rPr>
        <w:t>ybrané pre podporu poskytnutím</w:t>
      </w:r>
      <w:r w:rsidRPr="002F1309">
        <w:rPr>
          <w:i/>
          <w:u w:val="single"/>
        </w:rPr>
        <w:t xml:space="preserve"> dodatočného príspevku v rámci </w:t>
      </w:r>
      <w:r w:rsidR="001E6018" w:rsidRPr="002F1309">
        <w:rPr>
          <w:i/>
          <w:u w:val="single"/>
        </w:rPr>
        <w:t xml:space="preserve">podpory </w:t>
      </w:r>
      <w:r w:rsidR="008F71CD" w:rsidRPr="002F1309">
        <w:rPr>
          <w:i/>
          <w:u w:val="single"/>
        </w:rPr>
        <w:t>IROP</w:t>
      </w:r>
      <w:r w:rsidR="0086150E" w:rsidRPr="002F1309">
        <w:rPr>
          <w:i/>
          <w:u w:val="single"/>
        </w:rPr>
        <w:t>,</w:t>
      </w:r>
      <w:r w:rsidR="008F71CD" w:rsidRPr="002F1309">
        <w:rPr>
          <w:i/>
          <w:u w:val="single"/>
        </w:rPr>
        <w:t xml:space="preserve"> musia</w:t>
      </w:r>
      <w:r w:rsidRPr="002F1309">
        <w:rPr>
          <w:i/>
          <w:u w:val="single"/>
        </w:rPr>
        <w:t xml:space="preserve"> podporené projekty</w:t>
      </w:r>
      <w:r w:rsidR="0086150E" w:rsidRPr="002F1309">
        <w:rPr>
          <w:i/>
          <w:u w:val="single"/>
        </w:rPr>
        <w:t xml:space="preserve"> spĺňať taktiež</w:t>
      </w:r>
      <w:r w:rsidR="001E6018" w:rsidRPr="002F1309">
        <w:rPr>
          <w:i/>
          <w:u w:val="single"/>
        </w:rPr>
        <w:t xml:space="preserve"> nasledujúce podmienky</w:t>
      </w:r>
      <w:r w:rsidRPr="002F1309">
        <w:rPr>
          <w:i/>
          <w:u w:val="single"/>
        </w:rPr>
        <w:t>:</w:t>
      </w:r>
    </w:p>
    <w:p w:rsidR="001526F1" w:rsidRDefault="00DB05A7">
      <w:pPr>
        <w:pStyle w:val="Odsekzoznamu"/>
        <w:numPr>
          <w:ilvl w:val="0"/>
          <w:numId w:val="6"/>
        </w:numPr>
        <w:spacing w:before="120" w:after="120" w:line="276" w:lineRule="auto"/>
        <w:ind w:left="425" w:hanging="357"/>
        <w:contextualSpacing w:val="0"/>
        <w:jc w:val="both"/>
      </w:pPr>
      <w:r>
        <w:t>Žiadané n</w:t>
      </w:r>
      <w:r w:rsidR="00483D16" w:rsidRPr="00E94C92">
        <w:t>avýšenie rozpočtu projektu</w:t>
      </w:r>
      <w:r w:rsidR="000A7B05" w:rsidRPr="00E94C92">
        <w:t xml:space="preserve"> hlavných aktivít</w:t>
      </w:r>
      <w:r w:rsidR="00D87562" w:rsidRPr="00E94C92">
        <w:t xml:space="preserve"> </w:t>
      </w:r>
      <w:r w:rsidR="00FD747B" w:rsidRPr="00E94C92">
        <w:t>(</w:t>
      </w:r>
      <w:r w:rsidR="00D87562" w:rsidRPr="00E94C92">
        <w:t>COV</w:t>
      </w:r>
      <w:r w:rsidR="00FD747B" w:rsidRPr="00E94C92">
        <w:t>)</w:t>
      </w:r>
      <w:r w:rsidR="00483D16" w:rsidRPr="00E94C92">
        <w:t xml:space="preserve"> </w:t>
      </w:r>
      <w:r>
        <w:t>je</w:t>
      </w:r>
      <w:r w:rsidR="00483D16" w:rsidRPr="00E94C92">
        <w:t xml:space="preserve"> do 20</w:t>
      </w:r>
      <w:r w:rsidR="00457A08" w:rsidRPr="00E94C92">
        <w:rPr>
          <w:rFonts w:cstheme="minorHAnsi"/>
        </w:rPr>
        <w:t>%</w:t>
      </w:r>
      <w:r w:rsidR="00124E0D" w:rsidRPr="00E94C92">
        <w:t xml:space="preserve"> </w:t>
      </w:r>
      <w:r>
        <w:t>výšky COV</w:t>
      </w:r>
      <w:r w:rsidR="00D76246">
        <w:t xml:space="preserve"> </w:t>
      </w:r>
      <w:r w:rsidR="00942D61">
        <w:t>bez vlastných zdrojov</w:t>
      </w:r>
      <w:r>
        <w:t xml:space="preserve"> uveden</w:t>
      </w:r>
      <w:r w:rsidR="00C601D8">
        <w:t>ých</w:t>
      </w:r>
      <w:r>
        <w:t xml:space="preserve"> v právoplatnom Rozhodnutí o schválení ŽoNFP</w:t>
      </w:r>
      <w:r>
        <w:rPr>
          <w:rStyle w:val="Odkaznapoznmkupodiarou"/>
        </w:rPr>
        <w:footnoteReference w:id="4"/>
      </w:r>
      <w:r w:rsidR="00E94C92" w:rsidRPr="00E94C92">
        <w:rPr>
          <w:rFonts w:eastAsia="Times New Roman"/>
          <w:lang w:eastAsia="sk-SK"/>
        </w:rPr>
        <w:t>.</w:t>
      </w:r>
      <w:r w:rsidR="00E94C92" w:rsidRPr="00D86DAB">
        <w:t xml:space="preserve"> </w:t>
      </w:r>
      <w:r w:rsidR="00124E0D" w:rsidRPr="00D86DAB">
        <w:t>Do rozmedzia navýšenia nesmú byť zahrnut</w:t>
      </w:r>
      <w:r w:rsidR="00F0028A">
        <w:t xml:space="preserve">é aktivity na podporné činnosti, ani doplnené nové aktivity nad rámec </w:t>
      </w:r>
      <w:r>
        <w:t xml:space="preserve">uzatvorenej </w:t>
      </w:r>
      <w:r w:rsidR="00F0028A">
        <w:t>Zmluvy o poskytnutí NFP.</w:t>
      </w:r>
      <w:r w:rsidR="001526F1">
        <w:t xml:space="preserve">  </w:t>
      </w:r>
    </w:p>
    <w:p w:rsidR="001526F1" w:rsidRPr="00733B6F" w:rsidRDefault="001526F1">
      <w:pPr>
        <w:spacing w:before="120" w:after="120" w:line="276" w:lineRule="auto"/>
        <w:jc w:val="both"/>
        <w:rPr>
          <w:b/>
          <w:i/>
          <w:u w:val="single"/>
        </w:rPr>
      </w:pPr>
      <w:r w:rsidRPr="00733B6F">
        <w:rPr>
          <w:b/>
          <w:i/>
          <w:u w:val="single"/>
        </w:rPr>
        <w:t xml:space="preserve">Príklad: </w:t>
      </w:r>
    </w:p>
    <w:p w:rsidR="001526F1" w:rsidRPr="00733B6F" w:rsidRDefault="005F4685">
      <w:pPr>
        <w:pStyle w:val="Odsekzoznamu"/>
        <w:spacing w:before="120" w:after="120" w:line="276" w:lineRule="auto"/>
        <w:ind w:left="0"/>
        <w:contextualSpacing w:val="0"/>
        <w:jc w:val="both"/>
        <w:rPr>
          <w:b/>
        </w:rPr>
      </w:pPr>
      <w:r>
        <w:t>Rozhodnutie o NFP</w:t>
      </w:r>
      <w:r w:rsidR="001526F1">
        <w:t xml:space="preserve">:      </w:t>
      </w:r>
      <w:r>
        <w:t xml:space="preserve">              </w:t>
      </w:r>
      <w:r w:rsidR="001526F1" w:rsidRPr="00733B6F">
        <w:rPr>
          <w:b/>
        </w:rPr>
        <w:t>1 000 000 EUR</w:t>
      </w:r>
      <w:r>
        <w:rPr>
          <w:b/>
        </w:rPr>
        <w:t xml:space="preserve"> (COV)</w:t>
      </w:r>
    </w:p>
    <w:p w:rsidR="001526F1" w:rsidRDefault="001526F1">
      <w:pPr>
        <w:pStyle w:val="Odsekzoznamu"/>
        <w:spacing w:before="120" w:after="120" w:line="276" w:lineRule="auto"/>
        <w:ind w:left="0"/>
        <w:contextualSpacing w:val="0"/>
        <w:jc w:val="both"/>
      </w:pPr>
      <w:r w:rsidRPr="00C84ABA">
        <w:t>Zmluv</w:t>
      </w:r>
      <w:r w:rsidR="005F4685" w:rsidRPr="00733B6F">
        <w:t>a</w:t>
      </w:r>
      <w:r w:rsidRPr="00C84ABA">
        <w:t xml:space="preserve"> o</w:t>
      </w:r>
      <w:r>
        <w:t xml:space="preserve"> poskytnutí NFP:          </w:t>
      </w:r>
      <w:r w:rsidRPr="00733B6F">
        <w:rPr>
          <w:b/>
        </w:rPr>
        <w:t>1 000 000 EUR</w:t>
      </w:r>
      <w:r w:rsidR="005F4685">
        <w:rPr>
          <w:b/>
        </w:rPr>
        <w:t xml:space="preserve"> (COV)</w:t>
      </w:r>
    </w:p>
    <w:p w:rsidR="001526F1" w:rsidRDefault="001526F1">
      <w:pPr>
        <w:pStyle w:val="Odsekzoznamu"/>
        <w:spacing w:before="120" w:after="120" w:line="276" w:lineRule="auto"/>
        <w:ind w:left="0"/>
        <w:contextualSpacing w:val="0"/>
        <w:jc w:val="both"/>
      </w:pPr>
      <w:r>
        <w:t>Dodatok č.1</w:t>
      </w:r>
      <w:r w:rsidR="005F4685">
        <w:rPr>
          <w:rStyle w:val="Odkaznapoznmkupodiarou"/>
        </w:rPr>
        <w:footnoteReference w:id="5"/>
      </w:r>
      <w:r w:rsidR="00390A8E">
        <w:t xml:space="preserve"> k zmluve o poskytnutí NFP</w:t>
      </w:r>
      <w:r w:rsidR="005F4685">
        <w:t xml:space="preserve">:  </w:t>
      </w:r>
      <w:r w:rsidRPr="00733B6F">
        <w:rPr>
          <w:b/>
        </w:rPr>
        <w:t>850 000 EUR</w:t>
      </w:r>
      <w:r w:rsidR="005F4685">
        <w:rPr>
          <w:b/>
        </w:rPr>
        <w:t xml:space="preserve"> (COV)</w:t>
      </w:r>
    </w:p>
    <w:p w:rsidR="001526F1" w:rsidRPr="00733B6F" w:rsidRDefault="001526F1">
      <w:pPr>
        <w:pStyle w:val="Odsekzoznamu"/>
        <w:spacing w:before="120" w:after="120" w:line="276" w:lineRule="auto"/>
        <w:ind w:left="0"/>
        <w:contextualSpacing w:val="0"/>
        <w:jc w:val="both"/>
        <w:rPr>
          <w:color w:val="FFFFFF" w:themeColor="background1"/>
        </w:rPr>
      </w:pPr>
      <w:r w:rsidRPr="00733B6F">
        <w:rPr>
          <w:b/>
          <w:color w:val="FFFFFF" w:themeColor="background1"/>
          <w:highlight w:val="blue"/>
        </w:rPr>
        <w:t>Nárast cien</w:t>
      </w:r>
      <w:r w:rsidR="005F4685" w:rsidRPr="00733B6F">
        <w:rPr>
          <w:b/>
          <w:color w:val="FFFFFF" w:themeColor="background1"/>
          <w:highlight w:val="blue"/>
        </w:rPr>
        <w:t>:</w:t>
      </w:r>
      <w:r w:rsidR="005F4685" w:rsidRPr="00733B6F">
        <w:rPr>
          <w:color w:val="FFFFFF" w:themeColor="background1"/>
          <w:highlight w:val="blue"/>
        </w:rPr>
        <w:t xml:space="preserve">                                </w:t>
      </w:r>
      <w:r w:rsidR="00144243" w:rsidRPr="00144243">
        <w:rPr>
          <w:b/>
          <w:color w:val="FFFFFF" w:themeColor="background1"/>
          <w:highlight w:val="blue"/>
        </w:rPr>
        <w:t>+</w:t>
      </w:r>
      <w:r w:rsidRPr="00733B6F">
        <w:rPr>
          <w:color w:val="FFFFFF" w:themeColor="background1"/>
          <w:highlight w:val="blue"/>
        </w:rPr>
        <w:t> </w:t>
      </w:r>
      <w:r w:rsidRPr="00733B6F">
        <w:rPr>
          <w:b/>
          <w:color w:val="FFFFFF" w:themeColor="background1"/>
          <w:highlight w:val="blue"/>
        </w:rPr>
        <w:t>400 000 EUR</w:t>
      </w:r>
      <w:r w:rsidR="005F4685" w:rsidRPr="00733B6F">
        <w:rPr>
          <w:b/>
          <w:color w:val="FFFFFF" w:themeColor="background1"/>
          <w:highlight w:val="blue"/>
        </w:rPr>
        <w:t xml:space="preserve"> (COV)</w:t>
      </w:r>
    </w:p>
    <w:p w:rsidR="001526F1" w:rsidRDefault="001526F1">
      <w:pPr>
        <w:pStyle w:val="Odsekzoznamu"/>
        <w:spacing w:before="120" w:after="120" w:line="276" w:lineRule="auto"/>
        <w:ind w:left="0"/>
        <w:contextualSpacing w:val="0"/>
        <w:jc w:val="both"/>
      </w:pPr>
      <w:r>
        <w:t xml:space="preserve">Prijímateľ </w:t>
      </w:r>
      <w:r w:rsidR="00BB646C">
        <w:t xml:space="preserve">na základe vyššie uvedeného </w:t>
      </w:r>
      <w:r w:rsidR="005F4685">
        <w:t>si je oprávnený</w:t>
      </w:r>
      <w:r>
        <w:t xml:space="preserve"> požiadať o navýšenie do výšky </w:t>
      </w:r>
      <w:r w:rsidR="00BB646C">
        <w:t>právoplatného R</w:t>
      </w:r>
      <w:r>
        <w:t xml:space="preserve">ozhodnutia o schválení ŽoNFP </w:t>
      </w:r>
      <w:r w:rsidR="00BB646C" w:rsidRPr="00733B6F">
        <w:rPr>
          <w:b/>
        </w:rPr>
        <w:t>(</w:t>
      </w:r>
      <w:proofErr w:type="spellStart"/>
      <w:r w:rsidRPr="00733B6F">
        <w:rPr>
          <w:b/>
        </w:rPr>
        <w:t>t.j</w:t>
      </w:r>
      <w:proofErr w:type="spellEnd"/>
      <w:r w:rsidRPr="00733B6F">
        <w:rPr>
          <w:b/>
        </w:rPr>
        <w:t>. 150 000 EUR</w:t>
      </w:r>
      <w:r w:rsidR="00D76246">
        <w:rPr>
          <w:b/>
        </w:rPr>
        <w:t xml:space="preserve"> COV</w:t>
      </w:r>
      <w:r w:rsidR="00BB646C" w:rsidRPr="00733B6F">
        <w:rPr>
          <w:b/>
        </w:rPr>
        <w:t>)</w:t>
      </w:r>
      <w:r>
        <w:t xml:space="preserve"> a zároveň požiadať o</w:t>
      </w:r>
      <w:r w:rsidR="00BB646C">
        <w:t xml:space="preserve"> poskytnutie </w:t>
      </w:r>
      <w:r>
        <w:t>dodatočn</w:t>
      </w:r>
      <w:r w:rsidR="00BB646C">
        <w:t>é</w:t>
      </w:r>
      <w:r>
        <w:t xml:space="preserve"> príspevk</w:t>
      </w:r>
      <w:r w:rsidR="00BB646C">
        <w:t>u na hlavné aktivity projektu</w:t>
      </w:r>
      <w:r>
        <w:t xml:space="preserve"> vo výške 20% z COV čo predstavuje sumu </w:t>
      </w:r>
      <w:r w:rsidRPr="00733B6F">
        <w:rPr>
          <w:b/>
        </w:rPr>
        <w:t>200 000 EUR</w:t>
      </w:r>
      <w:r w:rsidR="00C84ABA">
        <w:rPr>
          <w:b/>
        </w:rPr>
        <w:t xml:space="preserve"> </w:t>
      </w:r>
      <w:r w:rsidR="00942D61">
        <w:rPr>
          <w:b/>
        </w:rPr>
        <w:t>bez vlastných zdrojov</w:t>
      </w:r>
      <w:r w:rsidR="008864F3">
        <w:rPr>
          <w:b/>
        </w:rPr>
        <w:t xml:space="preserve"> prijímateľa</w:t>
      </w:r>
      <w:r w:rsidRPr="00733B6F">
        <w:rPr>
          <w:b/>
        </w:rPr>
        <w:t>.</w:t>
      </w:r>
      <w:r>
        <w:t xml:space="preserve"> </w:t>
      </w:r>
    </w:p>
    <w:p w:rsidR="00021A10" w:rsidRPr="00733B6F" w:rsidRDefault="00021A10">
      <w:pPr>
        <w:pStyle w:val="Odsekzoznamu"/>
        <w:spacing w:before="120" w:after="120" w:line="276" w:lineRule="auto"/>
        <w:ind w:left="0"/>
        <w:contextualSpacing w:val="0"/>
        <w:jc w:val="both"/>
        <w:rPr>
          <w:u w:val="single"/>
        </w:rPr>
      </w:pPr>
      <w:r w:rsidRPr="00733B6F">
        <w:rPr>
          <w:u w:val="single"/>
        </w:rPr>
        <w:t>Výpočet:</w:t>
      </w:r>
    </w:p>
    <w:p w:rsidR="001526F1" w:rsidRPr="00D86DAB" w:rsidRDefault="00021A10" w:rsidP="002F1309">
      <w:pPr>
        <w:pStyle w:val="Odsekzoznamu"/>
        <w:spacing w:before="120" w:after="120" w:line="276" w:lineRule="auto"/>
        <w:ind w:left="0"/>
        <w:contextualSpacing w:val="0"/>
        <w:jc w:val="both"/>
      </w:pPr>
      <w:r w:rsidRPr="00733B6F">
        <w:rPr>
          <w:u w:val="single"/>
        </w:rPr>
        <w:t>150 000 EUR</w:t>
      </w:r>
      <w:r>
        <w:t xml:space="preserve"> </w:t>
      </w:r>
      <w:r w:rsidR="00AA1119">
        <w:t>(suma do výšky Rozhodnutia o NFP)</w:t>
      </w:r>
      <w:r>
        <w:t xml:space="preserve"> </w:t>
      </w:r>
      <w:r w:rsidRPr="00733B6F">
        <w:rPr>
          <w:u w:val="single"/>
        </w:rPr>
        <w:t>+ 200 000 EUR</w:t>
      </w:r>
      <w:r w:rsidR="00AA1119">
        <w:t xml:space="preserve"> (dodatočný príspevok do 20% z</w:t>
      </w:r>
      <w:r w:rsidR="008864F3">
        <w:t> </w:t>
      </w:r>
      <w:r w:rsidR="00AA1119">
        <w:t>COV</w:t>
      </w:r>
      <w:r w:rsidR="008864F3">
        <w:t xml:space="preserve"> bez vlastných zdrojov prijímateľa</w:t>
      </w:r>
      <w:r w:rsidR="00AA1119">
        <w:t xml:space="preserve">) </w:t>
      </w:r>
      <w:r w:rsidR="00AA1119" w:rsidRPr="00733B6F">
        <w:rPr>
          <w:u w:val="single"/>
        </w:rPr>
        <w:t>= 350 000 EUR</w:t>
      </w:r>
      <w:r w:rsidR="00A239B2">
        <w:t xml:space="preserve"> (maximálna možná pomoc</w:t>
      </w:r>
      <w:r w:rsidR="008864F3">
        <w:t xml:space="preserve"> v ktorej nie sú zarátané vlastné zdroje prijímateľa, ktoré sú naviazané na dodatočný príspevok</w:t>
      </w:r>
      <w:r w:rsidR="00A239B2">
        <w:t>).</w:t>
      </w:r>
      <w:r w:rsidR="00144243" w:rsidRPr="00144243">
        <w:t xml:space="preserve"> Vlastné zdroje prijímateľa sú pre dodatočný príspevok vypočítané zo sumy 200 000 EUR, podľa výšky percenta spolufinancovania uvedené v existujúcej zmluve o NFP.</w:t>
      </w:r>
    </w:p>
    <w:p w:rsidR="00C84ABA" w:rsidRDefault="00BF2ECE">
      <w:pPr>
        <w:pStyle w:val="Odsekzoznamu"/>
        <w:numPr>
          <w:ilvl w:val="0"/>
          <w:numId w:val="6"/>
        </w:numPr>
        <w:spacing w:before="120" w:after="120" w:line="276" w:lineRule="auto"/>
        <w:ind w:left="567"/>
        <w:jc w:val="both"/>
      </w:pPr>
      <w:r w:rsidRPr="002456E2">
        <w:rPr>
          <w:iCs/>
        </w:rPr>
        <w:t>Poskytnutie dodatočného príspevku musí v plnej miere rešpektovať osobitné predpisy, najmä konkrétne obmedzenia a podmienky týkajúce sa možnosti zmeny zmluvy o </w:t>
      </w:r>
      <w:proofErr w:type="spellStart"/>
      <w:r w:rsidRPr="002456E2">
        <w:rPr>
          <w:iCs/>
        </w:rPr>
        <w:t>dodávateľsko</w:t>
      </w:r>
      <w:proofErr w:type="spellEnd"/>
      <w:r w:rsidRPr="002456E2">
        <w:rPr>
          <w:iCs/>
        </w:rPr>
        <w:t xml:space="preserve"> – odberateľských vzťahoch vo vzťahu k zvýšeniu ceny diela, ceny plnenia a podobne vyplývajúce zo zákona č. 343/2015 Z. z. o verejnom obstarávaní a o zmene a doplnení niektorých zákonov, ako aj dodržanie ostatných zákonov a usmernení (napr. Všeobecné metodické usmernenie Úradu pre verejné obstarávanie k aplikácii § 18 ods. 1 písm. c) zákona c. 343/2015 Z. z. o verejnom obstarávaní a o zmene a doplnení niektorých zákonov zo dňa 16. 5. 2022).</w:t>
      </w:r>
      <w:r w:rsidR="00F0443F" w:rsidRPr="002456E2">
        <w:t xml:space="preserve"> </w:t>
      </w:r>
      <w:r w:rsidR="006F6F18">
        <w:t xml:space="preserve">Prijímateľ </w:t>
      </w:r>
      <w:r w:rsidR="001526F1">
        <w:t>je povinný predložiť dokumentáciu v ktorej preukáže akým spôsobom</w:t>
      </w:r>
      <w:r w:rsidR="00884E45">
        <w:t xml:space="preserve"> </w:t>
      </w:r>
      <w:r w:rsidR="001526F1">
        <w:t xml:space="preserve">zabezpečil hospodárnosť a efektívnosť </w:t>
      </w:r>
      <w:r w:rsidR="006F6F18">
        <w:t>vynaložených finančných prostriedkov</w:t>
      </w:r>
      <w:r w:rsidR="00884E45">
        <w:t xml:space="preserve"> (minimálny rozsah požadovanej </w:t>
      </w:r>
      <w:r w:rsidR="00884E45">
        <w:lastRenderedPageBreak/>
        <w:t>dokumentácie je uvedený v kap. Postup prípravy zmeny Zmluvy o poskytnutí NFP k poskytnutiu dodatočného príspevku)</w:t>
      </w:r>
      <w:r w:rsidR="006F6F18">
        <w:t>.</w:t>
      </w:r>
      <w:r w:rsidR="00884E45">
        <w:t xml:space="preserve"> </w:t>
      </w:r>
      <w:r w:rsidR="006F6F18">
        <w:t xml:space="preserve"> </w:t>
      </w:r>
    </w:p>
    <w:tbl>
      <w:tblPr>
        <w:tblW w:w="9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C84ABA" w:rsidTr="00733B6F">
        <w:trPr>
          <w:trHeight w:val="528"/>
        </w:trPr>
        <w:tc>
          <w:tcPr>
            <w:tcW w:w="9225" w:type="dxa"/>
            <w:shd w:val="clear" w:color="auto" w:fill="0070C0"/>
          </w:tcPr>
          <w:p w:rsidR="00EF073C" w:rsidRPr="00733B6F" w:rsidRDefault="00EF073C">
            <w:pPr>
              <w:spacing w:before="120" w:after="120" w:line="276" w:lineRule="auto"/>
              <w:ind w:left="142"/>
              <w:rPr>
                <w:b/>
                <w:color w:val="FFFFFF" w:themeColor="background1"/>
              </w:rPr>
            </w:pPr>
            <w:r w:rsidRPr="00733B6F">
              <w:rPr>
                <w:b/>
                <w:color w:val="FFFFFF" w:themeColor="background1"/>
              </w:rPr>
              <w:t>Upozornenie</w:t>
            </w:r>
          </w:p>
          <w:p w:rsidR="00C84ABA" w:rsidRPr="00733B6F" w:rsidRDefault="0013148B" w:rsidP="002F1309">
            <w:pPr>
              <w:spacing w:line="276" w:lineRule="auto"/>
              <w:ind w:left="67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V</w:t>
            </w:r>
            <w:r w:rsidR="00EF073C" w:rsidRPr="00EF073C">
              <w:rPr>
                <w:b/>
                <w:color w:val="FFFFFF" w:themeColor="background1"/>
              </w:rPr>
              <w:t>šetky dodatky</w:t>
            </w:r>
            <w:r w:rsidR="00201B62">
              <w:rPr>
                <w:b/>
                <w:color w:val="FFFFFF" w:themeColor="background1"/>
              </w:rPr>
              <w:t xml:space="preserve"> k</w:t>
            </w:r>
            <w:r w:rsidR="00EF073C" w:rsidRPr="00EF073C">
              <w:rPr>
                <w:b/>
                <w:color w:val="FFFFFF" w:themeColor="background1"/>
              </w:rPr>
              <w:t xml:space="preserve"> zmluve o dielo/zmluvy</w:t>
            </w:r>
            <w:r w:rsidR="00201B62">
              <w:rPr>
                <w:b/>
                <w:color w:val="FFFFFF" w:themeColor="background1"/>
              </w:rPr>
              <w:t xml:space="preserve"> o dielo na základe ktorých </w:t>
            </w:r>
            <w:r w:rsidR="00EF073C" w:rsidRPr="00EF073C">
              <w:rPr>
                <w:b/>
                <w:color w:val="FFFFFF" w:themeColor="background1"/>
              </w:rPr>
              <w:t xml:space="preserve">prijímateľ </w:t>
            </w:r>
            <w:r w:rsidR="00201B62">
              <w:rPr>
                <w:b/>
                <w:color w:val="FFFFFF" w:themeColor="background1"/>
              </w:rPr>
              <w:t>bude</w:t>
            </w:r>
            <w:r w:rsidR="00201B62" w:rsidRPr="00EF073C">
              <w:rPr>
                <w:b/>
                <w:color w:val="FFFFFF" w:themeColor="background1"/>
              </w:rPr>
              <w:t xml:space="preserve"> </w:t>
            </w:r>
            <w:r w:rsidR="00EF073C" w:rsidRPr="00EF073C">
              <w:rPr>
                <w:b/>
                <w:color w:val="FFFFFF" w:themeColor="background1"/>
              </w:rPr>
              <w:t xml:space="preserve">žiadať o poskytnutie dodatočného príspevku budú predmetom kontroly verejného obstarávania. </w:t>
            </w:r>
          </w:p>
        </w:tc>
      </w:tr>
    </w:tbl>
    <w:p w:rsidR="00C601D8" w:rsidRPr="00144243" w:rsidRDefault="00600D7C" w:rsidP="002F1309">
      <w:pPr>
        <w:spacing w:line="276" w:lineRule="auto"/>
      </w:pPr>
      <w:r>
        <w:t xml:space="preserve"> </w:t>
      </w:r>
    </w:p>
    <w:p w:rsidR="00C5079E" w:rsidRPr="002F1309" w:rsidRDefault="0093339E" w:rsidP="002F1309">
      <w:pPr>
        <w:pStyle w:val="Nadpis2"/>
        <w:numPr>
          <w:ilvl w:val="0"/>
          <w:numId w:val="28"/>
        </w:numPr>
        <w:spacing w:line="276" w:lineRule="auto"/>
        <w:ind w:left="426" w:hanging="426"/>
        <w:jc w:val="both"/>
        <w:rPr>
          <w:sz w:val="32"/>
          <w:szCs w:val="32"/>
        </w:rPr>
      </w:pPr>
      <w:bookmarkStart w:id="12" w:name="_Toc137108290"/>
      <w:r w:rsidRPr="002F1309">
        <w:rPr>
          <w:sz w:val="32"/>
          <w:szCs w:val="32"/>
        </w:rPr>
        <w:t>Postup prípravy zm</w:t>
      </w:r>
      <w:r w:rsidR="000E5C18" w:rsidRPr="002F1309">
        <w:rPr>
          <w:sz w:val="32"/>
          <w:szCs w:val="32"/>
        </w:rPr>
        <w:t xml:space="preserve">eny </w:t>
      </w:r>
      <w:r w:rsidR="00943803" w:rsidRPr="002F1309">
        <w:rPr>
          <w:sz w:val="32"/>
          <w:szCs w:val="32"/>
        </w:rPr>
        <w:t>Z</w:t>
      </w:r>
      <w:r w:rsidR="000E5C18" w:rsidRPr="002F1309">
        <w:rPr>
          <w:sz w:val="32"/>
          <w:szCs w:val="32"/>
        </w:rPr>
        <w:t xml:space="preserve">mluvy </w:t>
      </w:r>
      <w:r w:rsidR="00943803" w:rsidRPr="002F1309">
        <w:rPr>
          <w:sz w:val="32"/>
          <w:szCs w:val="32"/>
        </w:rPr>
        <w:t xml:space="preserve">o poskytnutí NFP </w:t>
      </w:r>
      <w:r w:rsidRPr="002F1309">
        <w:rPr>
          <w:sz w:val="32"/>
          <w:szCs w:val="32"/>
        </w:rPr>
        <w:t>k poskytnutiu dodatočného príspevku</w:t>
      </w:r>
      <w:bookmarkEnd w:id="12"/>
    </w:p>
    <w:p w:rsidR="00212C1F" w:rsidRDefault="000E5C18" w:rsidP="002F1309">
      <w:pPr>
        <w:pStyle w:val="Odsekzoznamu"/>
        <w:numPr>
          <w:ilvl w:val="0"/>
          <w:numId w:val="9"/>
        </w:numPr>
        <w:spacing w:before="120" w:after="120" w:line="276" w:lineRule="auto"/>
        <w:ind w:left="425" w:hanging="357"/>
        <w:contextualSpacing w:val="0"/>
        <w:jc w:val="both"/>
      </w:pPr>
      <w:r w:rsidRPr="002B7E43">
        <w:t xml:space="preserve">Prijímateľ </w:t>
      </w:r>
      <w:r w:rsidR="00D76246">
        <w:t xml:space="preserve">je oprávnený podať súbežne dve </w:t>
      </w:r>
      <w:r w:rsidR="00EF2CCF">
        <w:t>Ž</w:t>
      </w:r>
      <w:r w:rsidR="0036097F">
        <w:t>iados</w:t>
      </w:r>
      <w:r w:rsidR="00D76246">
        <w:t>ti</w:t>
      </w:r>
      <w:r w:rsidR="00EF2CCF" w:rsidRPr="002B7E43">
        <w:t xml:space="preserve"> o povolenie vykonania zmeny Zmluvy o poskytnutí NFP</w:t>
      </w:r>
      <w:r w:rsidR="00EF2CCF">
        <w:t xml:space="preserve"> formou poskytnutia dodatočného príspevku (Príloha č. 2 Usmernenia)</w:t>
      </w:r>
      <w:r w:rsidR="00C84ABA">
        <w:t>.</w:t>
      </w:r>
      <w:r w:rsidR="003F7B40">
        <w:t xml:space="preserve"> </w:t>
      </w:r>
    </w:p>
    <w:p w:rsidR="00C84ABA" w:rsidRDefault="00C84ABA" w:rsidP="002F1309">
      <w:pPr>
        <w:pStyle w:val="Odsekzoznamu"/>
        <w:numPr>
          <w:ilvl w:val="0"/>
          <w:numId w:val="9"/>
        </w:numPr>
        <w:spacing w:before="120" w:after="120" w:line="276" w:lineRule="auto"/>
        <w:ind w:left="425" w:hanging="357"/>
        <w:contextualSpacing w:val="0"/>
        <w:jc w:val="both"/>
      </w:pPr>
      <w:r>
        <w:t xml:space="preserve">V zmysle bodu č. 1 môžu nastať alternatívy: </w:t>
      </w:r>
    </w:p>
    <w:p w:rsidR="00DE6E65" w:rsidRDefault="00212C1F" w:rsidP="002F1309">
      <w:pPr>
        <w:pStyle w:val="Odsekzoznamu"/>
        <w:numPr>
          <w:ilvl w:val="0"/>
          <w:numId w:val="12"/>
        </w:numPr>
        <w:spacing w:before="120" w:after="120" w:line="276" w:lineRule="auto"/>
        <w:contextualSpacing w:val="0"/>
        <w:jc w:val="both"/>
      </w:pPr>
      <w:r>
        <w:t>Prijímateľ podá dve samostatné žiadosti, jednu</w:t>
      </w:r>
      <w:r w:rsidR="001B11D4">
        <w:t xml:space="preserve"> samostatnú</w:t>
      </w:r>
      <w:r>
        <w:t xml:space="preserve"> </w:t>
      </w:r>
      <w:r w:rsidRPr="00212C1F">
        <w:t xml:space="preserve">žiadosť o povolenie vykonania zmeny Zmluvy o poskytnutí NFP </w:t>
      </w:r>
      <w:r>
        <w:t xml:space="preserve">na navýšenie do výšky právoplatného Rozhodnutia o schválení ŽoNFP a druhú </w:t>
      </w:r>
      <w:r w:rsidR="001B11D4">
        <w:t xml:space="preserve">samostatnú </w:t>
      </w:r>
      <w:r w:rsidRPr="00212C1F">
        <w:t>žiadosť o povolenie vykonania zmeny Zmluvy o poskytnutí NFP</w:t>
      </w:r>
      <w:r w:rsidR="001B11D4">
        <w:t xml:space="preserve"> na dodatočný príspevok (</w:t>
      </w:r>
      <w:proofErr w:type="spellStart"/>
      <w:r w:rsidR="001B11D4">
        <w:t>sur</w:t>
      </w:r>
      <w:proofErr w:type="spellEnd"/>
      <w:r w:rsidR="001B11D4">
        <w:t>+).</w:t>
      </w:r>
    </w:p>
    <w:p w:rsidR="006F6F18" w:rsidRDefault="006F6F18" w:rsidP="002F1309">
      <w:pPr>
        <w:pStyle w:val="Odsekzoznamu"/>
        <w:numPr>
          <w:ilvl w:val="0"/>
          <w:numId w:val="12"/>
        </w:numPr>
        <w:spacing w:before="120" w:after="120" w:line="276" w:lineRule="auto"/>
        <w:contextualSpacing w:val="0"/>
        <w:jc w:val="both"/>
      </w:pPr>
      <w:r>
        <w:t>V prípade, ak má prijímateľ uzatvorenú zmluvu o poskytnutí NFP vo výške právoplatného rozhodnutia o schválení ŽoNFP, tak predloží len jednu Ž</w:t>
      </w:r>
      <w:r w:rsidRPr="006F6F18">
        <w:t>iadosť o povolenie vykonania zmeny Zmluvy o poskytnutí NFP</w:t>
      </w:r>
      <w:r w:rsidR="00D264CA">
        <w:t>.</w:t>
      </w:r>
    </w:p>
    <w:p w:rsidR="006A4559" w:rsidRPr="00733B6F" w:rsidRDefault="006A4559" w:rsidP="002F1309">
      <w:pPr>
        <w:pStyle w:val="Odsekzoznamu"/>
        <w:spacing w:before="120" w:after="120" w:line="276" w:lineRule="auto"/>
        <w:ind w:left="502"/>
        <w:contextualSpacing w:val="0"/>
        <w:jc w:val="both"/>
        <w:rPr>
          <w:b/>
          <w:bCs/>
        </w:rPr>
      </w:pPr>
      <w:r>
        <w:rPr>
          <w:b/>
          <w:bCs/>
        </w:rPr>
        <w:t xml:space="preserve">Súčasťou </w:t>
      </w:r>
      <w:r w:rsidRPr="006A4559">
        <w:rPr>
          <w:b/>
          <w:bCs/>
        </w:rPr>
        <w:t>Ž</w:t>
      </w:r>
      <w:r>
        <w:rPr>
          <w:b/>
          <w:bCs/>
        </w:rPr>
        <w:t>iadosti</w:t>
      </w:r>
      <w:r w:rsidRPr="006A4559">
        <w:rPr>
          <w:b/>
          <w:bCs/>
        </w:rPr>
        <w:t xml:space="preserve"> o povolenie vykonania zmeny Zmluvy o poskytnutí NFP formou poskytnutia dodatočného príspevku</w:t>
      </w:r>
      <w:r>
        <w:rPr>
          <w:b/>
          <w:bCs/>
        </w:rPr>
        <w:t xml:space="preserve"> bude dodatok k zmluve o dielo, resp. zmluvu o dielo na základe ktorej žiada prijímateľ o poskytnutie dodatočného príspevku.  </w:t>
      </w:r>
    </w:p>
    <w:p w:rsidR="00EC5BEF" w:rsidRPr="00733B6F" w:rsidRDefault="00EC5BEF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b/>
          <w:bCs/>
        </w:rPr>
      </w:pPr>
      <w:r>
        <w:t xml:space="preserve">Zo strany prijímateľa je potrebné </w:t>
      </w:r>
      <w:r w:rsidRPr="00733B6F">
        <w:rPr>
          <w:iCs/>
        </w:rPr>
        <w:t>odlíšiť položky, pri ktorých sa ceny</w:t>
      </w:r>
      <w:r>
        <w:rPr>
          <w:iCs/>
        </w:rPr>
        <w:t xml:space="preserve"> </w:t>
      </w:r>
      <w:r w:rsidR="00A239B2">
        <w:rPr>
          <w:iCs/>
        </w:rPr>
        <w:t xml:space="preserve">skokovo </w:t>
      </w:r>
      <w:r w:rsidRPr="00733B6F">
        <w:rPr>
          <w:iCs/>
        </w:rPr>
        <w:t xml:space="preserve">zvýšili </w:t>
      </w:r>
      <w:r w:rsidR="00600D7C">
        <w:rPr>
          <w:iCs/>
        </w:rPr>
        <w:t>a</w:t>
      </w:r>
      <w:r>
        <w:rPr>
          <w:iCs/>
        </w:rPr>
        <w:t xml:space="preserve"> uviesť </w:t>
      </w:r>
      <w:r w:rsidR="00600D7C">
        <w:rPr>
          <w:iCs/>
        </w:rPr>
        <w:t>sumu</w:t>
      </w:r>
      <w:r>
        <w:rPr>
          <w:iCs/>
        </w:rPr>
        <w:t xml:space="preserve">, ktorá predstavuje </w:t>
      </w:r>
      <w:r w:rsidR="006A4559">
        <w:rPr>
          <w:iCs/>
        </w:rPr>
        <w:t>skokový nárast</w:t>
      </w:r>
      <w:r>
        <w:rPr>
          <w:iCs/>
        </w:rPr>
        <w:t xml:space="preserve"> </w:t>
      </w:r>
      <w:r w:rsidR="004C4FBC">
        <w:rPr>
          <w:iCs/>
        </w:rPr>
        <w:t xml:space="preserve">týchto </w:t>
      </w:r>
      <w:r w:rsidR="00A239B2">
        <w:rPr>
          <w:iCs/>
        </w:rPr>
        <w:t>položiek</w:t>
      </w:r>
      <w:r w:rsidR="003F4F9E">
        <w:rPr>
          <w:iCs/>
        </w:rPr>
        <w:t>, ktorá</w:t>
      </w:r>
      <w:r w:rsidR="00600D7C">
        <w:rPr>
          <w:iCs/>
        </w:rPr>
        <w:t xml:space="preserve"> bud</w:t>
      </w:r>
      <w:r w:rsidR="004C4FBC">
        <w:rPr>
          <w:iCs/>
        </w:rPr>
        <w:t>e</w:t>
      </w:r>
      <w:r w:rsidR="00600D7C">
        <w:rPr>
          <w:iCs/>
        </w:rPr>
        <w:t xml:space="preserve"> dofinancovan</w:t>
      </w:r>
      <w:r w:rsidR="004C4FBC">
        <w:rPr>
          <w:iCs/>
        </w:rPr>
        <w:t>á</w:t>
      </w:r>
      <w:r w:rsidR="00600D7C">
        <w:rPr>
          <w:iCs/>
        </w:rPr>
        <w:t xml:space="preserve"> z poskytnutia dodatočného príspevku</w:t>
      </w:r>
      <w:r w:rsidRPr="00733B6F">
        <w:rPr>
          <w:iCs/>
        </w:rPr>
        <w:t xml:space="preserve"> tzn. že prostriedky NFP </w:t>
      </w:r>
      <w:r w:rsidR="00600D7C">
        <w:rPr>
          <w:iCs/>
        </w:rPr>
        <w:t>pokrývajú</w:t>
      </w:r>
      <w:r w:rsidRPr="00733B6F">
        <w:rPr>
          <w:iCs/>
        </w:rPr>
        <w:t xml:space="preserve"> len pôvodne dohodnutý </w:t>
      </w:r>
      <w:r w:rsidR="00600D7C" w:rsidRPr="00600D7C">
        <w:rPr>
          <w:iCs/>
        </w:rPr>
        <w:t>rozpočet</w:t>
      </w:r>
      <w:r w:rsidRPr="00733B6F">
        <w:rPr>
          <w:iCs/>
        </w:rPr>
        <w:t xml:space="preserve"> a </w:t>
      </w:r>
      <w:r w:rsidR="003F4F9E">
        <w:rPr>
          <w:iCs/>
        </w:rPr>
        <w:t>navýšenie týchto položiek</w:t>
      </w:r>
      <w:r w:rsidR="003F4F9E" w:rsidRPr="00D264CA">
        <w:rPr>
          <w:iCs/>
        </w:rPr>
        <w:t xml:space="preserve"> </w:t>
      </w:r>
      <w:r w:rsidR="003F4F9E">
        <w:rPr>
          <w:iCs/>
        </w:rPr>
        <w:t>bude hradené</w:t>
      </w:r>
      <w:r w:rsidR="003F4F9E" w:rsidRPr="00D264CA">
        <w:rPr>
          <w:iCs/>
        </w:rPr>
        <w:t xml:space="preserve"> </w:t>
      </w:r>
      <w:r w:rsidRPr="00733B6F">
        <w:rPr>
          <w:iCs/>
        </w:rPr>
        <w:t>dodatočný</w:t>
      </w:r>
      <w:r w:rsidR="004C4FBC">
        <w:rPr>
          <w:iCs/>
        </w:rPr>
        <w:t>m</w:t>
      </w:r>
      <w:r w:rsidRPr="00733B6F">
        <w:rPr>
          <w:iCs/>
        </w:rPr>
        <w:t xml:space="preserve"> príspevk</w:t>
      </w:r>
      <w:r w:rsidR="004C4FBC">
        <w:rPr>
          <w:iCs/>
        </w:rPr>
        <w:t>om</w:t>
      </w:r>
      <w:r w:rsidR="003F7B40">
        <w:rPr>
          <w:iCs/>
        </w:rPr>
        <w:t xml:space="preserve"> bez pokrytia vlastných zdrojov prijímateľa</w:t>
      </w:r>
      <w:r w:rsidRPr="00733B6F">
        <w:rPr>
          <w:iCs/>
        </w:rPr>
        <w:t>.</w:t>
      </w:r>
      <w:r w:rsidR="00CB0DD6" w:rsidRPr="00CB0DD6">
        <w:rPr>
          <w:iCs/>
        </w:rPr>
        <w:t xml:space="preserve"> Uvedené je prijímateľ povinný rozdeliť v rozpočte projektu, ktorý bude súčasťou </w:t>
      </w:r>
      <w:r w:rsidR="00C601D8">
        <w:rPr>
          <w:iCs/>
        </w:rPr>
        <w:t>povinne predložených</w:t>
      </w:r>
      <w:r w:rsidR="00CB0DD6" w:rsidRPr="00CB0DD6">
        <w:rPr>
          <w:iCs/>
        </w:rPr>
        <w:t xml:space="preserve"> príloh Žiadosti o povolenie vykonania zmeny Zmluvy o poskytnutia NFP. </w:t>
      </w:r>
      <w:r w:rsidRPr="00733B6F">
        <w:rPr>
          <w:iCs/>
        </w:rPr>
        <w:t xml:space="preserve"> </w:t>
      </w:r>
    </w:p>
    <w:p w:rsidR="00A714D0" w:rsidRPr="000A7B05" w:rsidRDefault="0036097F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t>RO/SO pre IROP</w:t>
      </w:r>
      <w:r w:rsidR="000E5C18" w:rsidRPr="00D86DAB">
        <w:t xml:space="preserve"> na základe predloženej </w:t>
      </w:r>
      <w:r w:rsidR="00943803" w:rsidRPr="00D86DAB">
        <w:t>Ž</w:t>
      </w:r>
      <w:r w:rsidR="000E5C18" w:rsidRPr="00D86DAB">
        <w:t>iadosti o</w:t>
      </w:r>
      <w:r w:rsidR="00943803" w:rsidRPr="00D86DAB">
        <w:t xml:space="preserve"> povolenie vykonania </w:t>
      </w:r>
      <w:r w:rsidR="000E5C18" w:rsidRPr="00D86DAB">
        <w:t>zmen</w:t>
      </w:r>
      <w:r w:rsidR="00943803" w:rsidRPr="00D86DAB">
        <w:t>y</w:t>
      </w:r>
      <w:r w:rsidR="000E5C18" w:rsidRPr="00D86DAB">
        <w:t xml:space="preserve"> zmluvy o</w:t>
      </w:r>
      <w:r w:rsidR="00943803" w:rsidRPr="00D86DAB">
        <w:t xml:space="preserve"> poskytnutí </w:t>
      </w:r>
      <w:r w:rsidR="000E5C18" w:rsidRPr="00D86DAB">
        <w:t>NFP</w:t>
      </w:r>
      <w:r w:rsidR="006B51A0" w:rsidRPr="006B51A0">
        <w:t xml:space="preserve"> </w:t>
      </w:r>
      <w:r w:rsidR="006B51A0">
        <w:t>formou poskytnutia dodatočného príspevku</w:t>
      </w:r>
      <w:r w:rsidR="000E5C18" w:rsidRPr="00D86DAB">
        <w:t xml:space="preserve"> </w:t>
      </w:r>
      <w:r w:rsidR="00943803" w:rsidRPr="00D86DAB">
        <w:t>posúdi navrhované zmeny</w:t>
      </w:r>
      <w:r w:rsidR="00513DCD">
        <w:t xml:space="preserve"> ako významnejšie zmeny</w:t>
      </w:r>
      <w:r w:rsidR="00943803" w:rsidRPr="00D86DAB">
        <w:t>.</w:t>
      </w:r>
      <w:r w:rsidR="00CC64CC" w:rsidRPr="00CC64CC">
        <w:t xml:space="preserve"> Administratívne konanie Žiadosti o povolenie vykonania zmeny Zmluvy o poskytnutí NFP sa vykoná v lehote 20 pracovných dní. V prípade, ak RO/SO pre IROP požiada prijímateľa o doplnenie, resp. opravu predloženej Žiadosti o povolenie vykonania zmeny v Zmluve o poskytnutí NFP, tak lehot</w:t>
      </w:r>
      <w:r w:rsidR="00F62FE1">
        <w:t>a</w:t>
      </w:r>
      <w:r w:rsidR="00CC64CC" w:rsidRPr="00CC64CC">
        <w:t xml:space="preserve"> zmenového konania sa pozastavuj</w:t>
      </w:r>
      <w:r w:rsidR="002E5736">
        <w:t>e</w:t>
      </w:r>
      <w:r w:rsidR="00CC64CC" w:rsidRPr="00CC64CC">
        <w:t xml:space="preserve">. </w:t>
      </w:r>
      <w:r w:rsidR="00F62FE1">
        <w:t>Dňom doručenia vysvetlenia, resp. doplnenia</w:t>
      </w:r>
      <w:r w:rsidR="00F62FE1" w:rsidRPr="00266893">
        <w:t xml:space="preserve"> </w:t>
      </w:r>
      <w:r w:rsidR="00F62FE1">
        <w:t xml:space="preserve">dokumentácie na RO/SO pre IROP pokračuje plynutie lehoty na výkon </w:t>
      </w:r>
      <w:r w:rsidR="00F62FE1" w:rsidRPr="00266893">
        <w:t>zmenového konania</w:t>
      </w:r>
      <w:r w:rsidR="00CC64CC" w:rsidRPr="00CC64CC">
        <w:t xml:space="preserve">. </w:t>
      </w:r>
      <w:r w:rsidR="00CC64CC">
        <w:t xml:space="preserve">V prípade, ak súčasťou Žiadosti o povolenie vykonania zmeny Zmluvy </w:t>
      </w:r>
      <w:r w:rsidR="00CC64CC">
        <w:lastRenderedPageBreak/>
        <w:t xml:space="preserve">o poskytnutí NFP je aj </w:t>
      </w:r>
      <w:r w:rsidR="00CC64CC" w:rsidRPr="00733B6F">
        <w:t>dodatok k zmluve o dielo, resp. zmluvu o</w:t>
      </w:r>
      <w:r w:rsidR="00CC64CC">
        <w:t> </w:t>
      </w:r>
      <w:r w:rsidR="00CC64CC" w:rsidRPr="00733B6F">
        <w:t>dielo</w:t>
      </w:r>
      <w:r w:rsidR="00CC64CC">
        <w:t xml:space="preserve"> ktoré neboli predmetom administratívnej finančnej kontroly verejného obstarávania zo strany RO/SO pre IROP, tak lehota zmenového konania sa pozastavuje do ukončenia administratívnej finančnej kontroly</w:t>
      </w:r>
      <w:r w:rsidR="00F62FE1">
        <w:t xml:space="preserve"> verejného obstarávania</w:t>
      </w:r>
      <w:r w:rsidR="00CC64CC">
        <w:t xml:space="preserve"> </w:t>
      </w:r>
      <w:r w:rsidR="00CC64CC" w:rsidRPr="00733B6F">
        <w:t>dodatku k zmluve o dielo, resp. zmluvy o dielo.</w:t>
      </w:r>
      <w:r w:rsidR="00943803" w:rsidRPr="00D86DAB">
        <w:t xml:space="preserve"> </w:t>
      </w:r>
      <w:r w:rsidR="00EE102C">
        <w:t xml:space="preserve">Postup kontroly dodatkov je uvedený </w:t>
      </w:r>
      <w:hyperlink w:anchor="_Kontrola_dodatkov_k" w:history="1">
        <w:r w:rsidR="00EE102C" w:rsidRPr="00EE102C">
          <w:rPr>
            <w:rStyle w:val="Hypertextovprepojenie"/>
          </w:rPr>
          <w:t>v kap. č. 4 tohto usmernenia</w:t>
        </w:r>
      </w:hyperlink>
      <w:r w:rsidR="00EE102C">
        <w:t xml:space="preserve">. </w:t>
      </w:r>
      <w:r w:rsidR="00CB10CA" w:rsidRPr="00D86DAB">
        <w:rPr>
          <w:rFonts w:eastAsia="Times New Roman"/>
          <w:lang w:eastAsia="sk-SK"/>
        </w:rPr>
        <w:t>Mechanizmus poskytnutia do</w:t>
      </w:r>
      <w:r w:rsidR="00437F34">
        <w:rPr>
          <w:rFonts w:eastAsia="Times New Roman"/>
          <w:lang w:eastAsia="sk-SK"/>
        </w:rPr>
        <w:t>datočného príspevku RO/SO</w:t>
      </w:r>
      <w:r w:rsidR="001B11D4">
        <w:rPr>
          <w:rFonts w:eastAsia="Times New Roman"/>
          <w:lang w:eastAsia="sk-SK"/>
        </w:rPr>
        <w:t xml:space="preserve"> pre IROP</w:t>
      </w:r>
      <w:r w:rsidR="00CB10CA" w:rsidRPr="00D86DAB">
        <w:rPr>
          <w:rFonts w:eastAsia="Times New Roman"/>
          <w:lang w:eastAsia="sk-SK"/>
        </w:rPr>
        <w:t xml:space="preserve"> uplatňuje výlučne v zmluvnom režime, ako zmluvná strana, nie ako správny orgán, v dôsledku čoho sa neuplatňujú ustanovenia</w:t>
      </w:r>
      <w:r w:rsidR="00437F34">
        <w:rPr>
          <w:rFonts w:eastAsia="Times New Roman"/>
          <w:lang w:eastAsia="sk-SK"/>
        </w:rPr>
        <w:t xml:space="preserve"> zákona o príspevku z EŠIF,</w:t>
      </w:r>
      <w:r w:rsidR="00CB10CA" w:rsidRPr="00D86DAB">
        <w:rPr>
          <w:rFonts w:eastAsia="Times New Roman"/>
          <w:lang w:eastAsia="sk-SK"/>
        </w:rPr>
        <w:t xml:space="preserve"> týkajúce sa konania o poskytnutí príspevku</w:t>
      </w:r>
      <w:r w:rsidR="00437F34">
        <w:rPr>
          <w:rFonts w:eastAsia="Times New Roman"/>
          <w:lang w:eastAsia="sk-SK"/>
        </w:rPr>
        <w:t xml:space="preserve"> </w:t>
      </w:r>
      <w:r w:rsidR="00B816CE">
        <w:rPr>
          <w:rFonts w:eastAsia="Times New Roman"/>
          <w:lang w:eastAsia="sk-SK"/>
        </w:rPr>
        <w:t>(</w:t>
      </w:r>
      <w:r w:rsidR="00437F34">
        <w:rPr>
          <w:rFonts w:eastAsia="Times New Roman"/>
          <w:lang w:eastAsia="sk-SK"/>
        </w:rPr>
        <w:t>s výnimkou § 16 ods. 5 až 7 zákona o príspevku z</w:t>
      </w:r>
      <w:r w:rsidR="00B816CE">
        <w:rPr>
          <w:rFonts w:eastAsia="Times New Roman"/>
          <w:lang w:eastAsia="sk-SK"/>
        </w:rPr>
        <w:t> </w:t>
      </w:r>
      <w:r w:rsidR="00437F34">
        <w:rPr>
          <w:rFonts w:eastAsia="Times New Roman"/>
          <w:lang w:eastAsia="sk-SK"/>
        </w:rPr>
        <w:t>EŠIF</w:t>
      </w:r>
      <w:r w:rsidR="00B816CE">
        <w:rPr>
          <w:rFonts w:eastAsia="Times New Roman"/>
          <w:lang w:eastAsia="sk-SK"/>
        </w:rPr>
        <w:t>)</w:t>
      </w:r>
      <w:r w:rsidR="00CB10CA" w:rsidRPr="00D86DAB">
        <w:rPr>
          <w:rFonts w:eastAsia="Times New Roman"/>
          <w:lang w:eastAsia="sk-SK"/>
        </w:rPr>
        <w:t xml:space="preserve">. </w:t>
      </w:r>
    </w:p>
    <w:p w:rsidR="00551387" w:rsidRDefault="006A4559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t>Súčasťou dokumentácie</w:t>
      </w:r>
      <w:r w:rsidR="00021A10">
        <w:t xml:space="preserve"> k zmenovému konaniu</w:t>
      </w:r>
      <w:r>
        <w:t xml:space="preserve"> </w:t>
      </w:r>
      <w:r w:rsidR="005836FE">
        <w:t>bud</w:t>
      </w:r>
      <w:r>
        <w:t>ú</w:t>
      </w:r>
      <w:r w:rsidR="005836FE">
        <w:t xml:space="preserve"> </w:t>
      </w:r>
      <w:r>
        <w:t>aj nasledovné</w:t>
      </w:r>
      <w:r w:rsidR="004229CF">
        <w:t xml:space="preserve"> dokumenty uvedené v odseku a) </w:t>
      </w:r>
      <w:r w:rsidR="00021A10">
        <w:t>alebo v odseku</w:t>
      </w:r>
      <w:r w:rsidR="004229CF">
        <w:t> b).</w:t>
      </w:r>
    </w:p>
    <w:p w:rsidR="005836FE" w:rsidRPr="00733B6F" w:rsidRDefault="00021A10" w:rsidP="002F1309">
      <w:pPr>
        <w:pStyle w:val="Odsekzoznamu"/>
        <w:numPr>
          <w:ilvl w:val="0"/>
          <w:numId w:val="14"/>
        </w:numPr>
        <w:spacing w:before="120" w:after="120" w:line="276" w:lineRule="auto"/>
        <w:ind w:left="782" w:hanging="357"/>
        <w:contextualSpacing w:val="0"/>
        <w:jc w:val="both"/>
        <w:rPr>
          <w:b/>
        </w:rPr>
      </w:pPr>
      <w:r w:rsidRPr="00733B6F">
        <w:rPr>
          <w:b/>
        </w:rPr>
        <w:t>V prípade dodatku uzatvoreného p</w:t>
      </w:r>
      <w:r w:rsidR="00551387" w:rsidRPr="00733B6F">
        <w:rPr>
          <w:b/>
        </w:rPr>
        <w:t>odľa zákona č. 343/2015 ZVO § 18 ods. 1 písm. c)</w:t>
      </w:r>
      <w:r w:rsidR="005836FE" w:rsidRPr="00733B6F">
        <w:rPr>
          <w:b/>
        </w:rPr>
        <w:t xml:space="preserve"> z dôvodu nepredvíd</w:t>
      </w:r>
      <w:r w:rsidR="00AA1119" w:rsidRPr="00733B6F">
        <w:rPr>
          <w:b/>
        </w:rPr>
        <w:t>ateľných okolností bude</w:t>
      </w:r>
      <w:r w:rsidR="005836FE" w:rsidRPr="00733B6F">
        <w:rPr>
          <w:b/>
        </w:rPr>
        <w:t xml:space="preserve"> </w:t>
      </w:r>
      <w:r w:rsidR="00AA1119" w:rsidRPr="00733B6F">
        <w:rPr>
          <w:b/>
        </w:rPr>
        <w:t>zdôvodnenie</w:t>
      </w:r>
      <w:r w:rsidR="004229CF" w:rsidRPr="00733B6F">
        <w:rPr>
          <w:b/>
        </w:rPr>
        <w:t xml:space="preserve"> nárastu cien </w:t>
      </w:r>
      <w:r w:rsidR="005836FE" w:rsidRPr="00733B6F">
        <w:rPr>
          <w:b/>
        </w:rPr>
        <w:t>vychádzať</w:t>
      </w:r>
      <w:r w:rsidRPr="00733B6F">
        <w:rPr>
          <w:b/>
        </w:rPr>
        <w:t xml:space="preserve"> aj z</w:t>
      </w:r>
      <w:r w:rsidR="005836FE" w:rsidRPr="00733B6F">
        <w:rPr>
          <w:b/>
        </w:rPr>
        <w:t>:</w:t>
      </w:r>
    </w:p>
    <w:p w:rsidR="005836FE" w:rsidRDefault="005836FE" w:rsidP="001813E9">
      <w:pPr>
        <w:pStyle w:val="Odsekzoznamu"/>
        <w:numPr>
          <w:ilvl w:val="1"/>
          <w:numId w:val="15"/>
        </w:numPr>
        <w:spacing w:before="120" w:after="120" w:line="276" w:lineRule="auto"/>
        <w:ind w:left="1134" w:hanging="283"/>
        <w:contextualSpacing w:val="0"/>
        <w:jc w:val="both"/>
        <w:rPr>
          <w:rStyle w:val="Hypertextovprepojenie"/>
          <w:rFonts w:ascii="Calibri" w:hAnsi="Calibri" w:cs="Calibri"/>
        </w:rPr>
      </w:pPr>
      <w:r>
        <w:t xml:space="preserve">Metodického pokynu </w:t>
      </w:r>
      <w:r w:rsidR="001813E9">
        <w:t xml:space="preserve">Ministerstva dopravy a výstavby Slovenskej republiky č. </w:t>
      </w:r>
      <w:r w:rsidR="001813E9" w:rsidRPr="000064E4">
        <w:t>27/2022</w:t>
      </w:r>
      <w:r>
        <w:t>, ktorým sa stanovuje mechanizmus úpravy ceny v dôsledku zmien nákladov pri projektoch opravy a údržby, pri výstavbe, modernizácie a rekonštrukcie inžinierskych stavieb a budov – zmena zmluvy, rámcovej dohody a koncesnej zmluvy počas jej trvania“</w:t>
      </w:r>
      <w:r w:rsidRPr="005836FE">
        <w:t xml:space="preserve"> </w:t>
      </w:r>
      <w:hyperlink r:id="rId8" w:history="1">
        <w:r w:rsidR="00A7248F" w:rsidRPr="00716C1E">
          <w:rPr>
            <w:rStyle w:val="Hypertextovprepojenie"/>
          </w:rPr>
          <w:t>https://www.mindop.sk/ministerstvo-1/doprava-3/institut-dopravnej-politiky/indexacne-vzorce</w:t>
        </w:r>
      </w:hyperlink>
      <w:r>
        <w:rPr>
          <w:rStyle w:val="Hypertextovprepojenie"/>
          <w:rFonts w:ascii="Calibri" w:hAnsi="Calibri" w:cs="Calibri"/>
        </w:rPr>
        <w:t>,</w:t>
      </w:r>
    </w:p>
    <w:p w:rsidR="005836FE" w:rsidRDefault="00A239B2" w:rsidP="002F1309">
      <w:pPr>
        <w:pStyle w:val="Odsekzoznamu"/>
        <w:numPr>
          <w:ilvl w:val="1"/>
          <w:numId w:val="15"/>
        </w:numPr>
        <w:spacing w:before="120" w:after="120" w:line="276" w:lineRule="auto"/>
        <w:ind w:left="1135" w:hanging="284"/>
        <w:contextualSpacing w:val="0"/>
        <w:jc w:val="both"/>
      </w:pPr>
      <w:r w:rsidRPr="00A239B2">
        <w:t>komplexných informačných systémov pre plnohodnotné a profesionálne oceňovanie stavieb, ktoré obsahujú dlhodobé údaje vo vývoji cien stavebných materiálov a surovín</w:t>
      </w:r>
      <w:r w:rsidR="005836FE">
        <w:t>,</w:t>
      </w:r>
    </w:p>
    <w:p w:rsidR="000E2E35" w:rsidRDefault="000E2E35" w:rsidP="002F1309">
      <w:pPr>
        <w:pStyle w:val="Odsekzoznamu"/>
        <w:numPr>
          <w:ilvl w:val="1"/>
          <w:numId w:val="15"/>
        </w:numPr>
        <w:spacing w:before="120" w:after="120" w:line="276" w:lineRule="auto"/>
        <w:ind w:left="1135" w:hanging="284"/>
        <w:contextualSpacing w:val="0"/>
        <w:jc w:val="both"/>
      </w:pPr>
      <w:r>
        <w:t> znaleck</w:t>
      </w:r>
      <w:r w:rsidR="00A239B2">
        <w:t>ého</w:t>
      </w:r>
      <w:r>
        <w:t xml:space="preserve"> posudk</w:t>
      </w:r>
      <w:r w:rsidR="00A239B2">
        <w:t>u</w:t>
      </w:r>
      <w:r>
        <w:t xml:space="preserve">, </w:t>
      </w:r>
      <w:r w:rsidR="005836FE">
        <w:t> </w:t>
      </w:r>
    </w:p>
    <w:p w:rsidR="005836FE" w:rsidRDefault="005836FE" w:rsidP="002F1309">
      <w:pPr>
        <w:pStyle w:val="Odsekzoznamu"/>
        <w:numPr>
          <w:ilvl w:val="1"/>
          <w:numId w:val="15"/>
        </w:numPr>
        <w:spacing w:before="120" w:after="120" w:line="276" w:lineRule="auto"/>
        <w:ind w:left="1134" w:hanging="283"/>
        <w:jc w:val="both"/>
      </w:pPr>
      <w:r>
        <w:t>a</w:t>
      </w:r>
      <w:r w:rsidR="00A239B2">
        <w:t> ďalších zdrojov informácií</w:t>
      </w:r>
      <w:r>
        <w:t>, ktoré sú na zvážení prijímateľa.</w:t>
      </w:r>
    </w:p>
    <w:tbl>
      <w:tblPr>
        <w:tblStyle w:val="Mriekatabuky"/>
        <w:tblpPr w:leftFromText="141" w:rightFromText="141" w:vertAnchor="text" w:horzAnchor="margin" w:tblpY="19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2FE1" w:rsidTr="001F5B50">
        <w:tc>
          <w:tcPr>
            <w:tcW w:w="9067" w:type="dxa"/>
            <w:shd w:val="clear" w:color="auto" w:fill="FF0000"/>
          </w:tcPr>
          <w:p w:rsidR="00F62FE1" w:rsidRPr="001F5B50" w:rsidRDefault="00F62FE1" w:rsidP="002F1309">
            <w:pPr>
              <w:spacing w:before="120" w:after="120" w:line="276" w:lineRule="auto"/>
              <w:jc w:val="both"/>
              <w:rPr>
                <w:b/>
                <w:color w:val="FFFFFF" w:themeColor="background1"/>
              </w:rPr>
            </w:pPr>
            <w:r w:rsidRPr="001F5B50">
              <w:rPr>
                <w:b/>
                <w:color w:val="FFFFFF" w:themeColor="background1"/>
              </w:rPr>
              <w:t>Upozorňujeme prijímateľov</w:t>
            </w:r>
            <w:r>
              <w:rPr>
                <w:b/>
                <w:color w:val="FFFFFF" w:themeColor="background1"/>
              </w:rPr>
              <w:t>, že pri</w:t>
            </w:r>
            <w:r w:rsidRPr="001F5B50">
              <w:rPr>
                <w:b/>
                <w:color w:val="FFFFFF" w:themeColor="background1"/>
              </w:rPr>
              <w:t xml:space="preserve"> zmene zmluvy podľa § 18 ods. 1 písm. c) zákona č. 343/2015 Z. z. o verejnom obstarávaní </w:t>
            </w:r>
            <w:r>
              <w:rPr>
                <w:b/>
                <w:color w:val="FFFFFF" w:themeColor="background1"/>
              </w:rPr>
              <w:t xml:space="preserve">je potrebné postupovať aj </w:t>
            </w:r>
            <w:r w:rsidRPr="001F5B50">
              <w:rPr>
                <w:b/>
                <w:color w:val="FFFFFF" w:themeColor="background1"/>
              </w:rPr>
              <w:t>podľa všeobecných metodických usmernení Úradu pre verejné obstarávanie ďalej len „UVO“) ide o tieto usmernenia:</w:t>
            </w:r>
          </w:p>
          <w:p w:rsidR="00F62FE1" w:rsidRPr="001F5B50" w:rsidRDefault="00F62FE1" w:rsidP="002F1309">
            <w:pPr>
              <w:pStyle w:val="Odsekzoznamu"/>
              <w:numPr>
                <w:ilvl w:val="0"/>
                <w:numId w:val="18"/>
              </w:numPr>
              <w:spacing w:before="120" w:after="120" w:line="276" w:lineRule="auto"/>
              <w:ind w:left="313" w:hanging="284"/>
              <w:jc w:val="both"/>
              <w:rPr>
                <w:b/>
                <w:color w:val="FFFFFF" w:themeColor="background1"/>
              </w:rPr>
            </w:pPr>
            <w:r w:rsidRPr="001F5B50">
              <w:rPr>
                <w:b/>
                <w:color w:val="FFFFFF" w:themeColor="background1"/>
              </w:rPr>
              <w:t>Všeobecné metodické usmernenie Úradu pre verejné obstarávanie 6/2022 k aplikácii § 18 ods. 1 písm. c) zákona č. 343/2015 Z. z. o verejnom obstarávaní a o zmene a doplnení niektorých zákonov</w:t>
            </w:r>
            <w:r>
              <w:rPr>
                <w:rStyle w:val="Odkaznapoznmkupodiarou"/>
                <w:b/>
                <w:color w:val="FFFFFF" w:themeColor="background1"/>
              </w:rPr>
              <w:footnoteReference w:id="6"/>
            </w:r>
            <w:r w:rsidRPr="001F5B50">
              <w:rPr>
                <w:b/>
                <w:color w:val="FFFFFF" w:themeColor="background1"/>
              </w:rPr>
              <w:t>;</w:t>
            </w:r>
          </w:p>
          <w:p w:rsidR="00F62FE1" w:rsidRDefault="00F62FE1" w:rsidP="002F1309">
            <w:pPr>
              <w:pStyle w:val="Odsekzoznamu"/>
              <w:numPr>
                <w:ilvl w:val="0"/>
                <w:numId w:val="18"/>
              </w:numPr>
              <w:spacing w:before="120" w:after="120" w:line="276" w:lineRule="auto"/>
              <w:ind w:left="313" w:hanging="284"/>
              <w:jc w:val="both"/>
              <w:rPr>
                <w:b/>
                <w:color w:val="FFFFFF" w:themeColor="background1"/>
              </w:rPr>
            </w:pPr>
            <w:r w:rsidRPr="001F5B50">
              <w:rPr>
                <w:b/>
                <w:color w:val="FFFFFF" w:themeColor="background1"/>
              </w:rPr>
              <w:t>Všeobecné metodické usmernenie k zmenám zmluvy, rámcovej dohody a koncesnej zmluvy počas ich trvania 10/2019</w:t>
            </w:r>
            <w:r>
              <w:rPr>
                <w:rStyle w:val="Odkaznapoznmkupodiarou"/>
                <w:b/>
                <w:color w:val="FFFFFF" w:themeColor="background1"/>
              </w:rPr>
              <w:footnoteReference w:id="7"/>
            </w:r>
            <w:r w:rsidRPr="001F5B50">
              <w:rPr>
                <w:b/>
                <w:color w:val="FFFFFF" w:themeColor="background1"/>
              </w:rPr>
              <w:t xml:space="preserve">; </w:t>
            </w:r>
          </w:p>
          <w:p w:rsidR="00D76246" w:rsidRPr="00733B6F" w:rsidRDefault="00D76246" w:rsidP="002F1309">
            <w:pPr>
              <w:pStyle w:val="Odsekzoznamu"/>
              <w:spacing w:before="120" w:after="120" w:line="276" w:lineRule="auto"/>
              <w:ind w:left="313"/>
              <w:jc w:val="both"/>
              <w:rPr>
                <w:b/>
                <w:i/>
                <w:color w:val="FFFFFF" w:themeColor="background1"/>
              </w:rPr>
            </w:pPr>
            <w:r w:rsidRPr="00733B6F">
              <w:rPr>
                <w:b/>
                <w:i/>
                <w:color w:val="FFFFFF" w:themeColor="background1"/>
              </w:rPr>
              <w:t>a zároveň</w:t>
            </w:r>
          </w:p>
          <w:p w:rsidR="00F62FE1" w:rsidRDefault="00D76246" w:rsidP="00A7248F">
            <w:pPr>
              <w:pStyle w:val="Odsekzoznamu"/>
              <w:numPr>
                <w:ilvl w:val="0"/>
                <w:numId w:val="18"/>
              </w:numPr>
              <w:spacing w:before="120" w:after="120" w:line="276" w:lineRule="auto"/>
              <w:ind w:left="313" w:hanging="284"/>
              <w:jc w:val="both"/>
            </w:pPr>
            <w:r>
              <w:rPr>
                <w:b/>
                <w:color w:val="FFFFFF" w:themeColor="background1"/>
              </w:rPr>
              <w:t>v</w:t>
            </w:r>
            <w:r w:rsidR="00F62FE1" w:rsidRPr="001F5B50">
              <w:rPr>
                <w:b/>
                <w:color w:val="FFFFFF" w:themeColor="background1"/>
              </w:rPr>
              <w:t xml:space="preserve"> zmysle Metodického pokynu Ministerstva dopravy a výstavky Slovenskej republiky č. </w:t>
            </w:r>
            <w:r w:rsidR="00A7248F" w:rsidRPr="001F5B50">
              <w:rPr>
                <w:b/>
                <w:color w:val="FFFFFF" w:themeColor="background1"/>
              </w:rPr>
              <w:t>2</w:t>
            </w:r>
            <w:r w:rsidR="00A7248F">
              <w:rPr>
                <w:b/>
                <w:color w:val="FFFFFF" w:themeColor="background1"/>
              </w:rPr>
              <w:t>7</w:t>
            </w:r>
            <w:r w:rsidR="00F62FE1" w:rsidRPr="001F5B50">
              <w:rPr>
                <w:b/>
                <w:color w:val="FFFFFF" w:themeColor="background1"/>
              </w:rPr>
              <w:t>/2022</w:t>
            </w:r>
            <w:r w:rsidR="00A7248F">
              <w:rPr>
                <w:b/>
                <w:color w:val="FFFFFF" w:themeColor="background1"/>
              </w:rPr>
              <w:t xml:space="preserve"> </w:t>
            </w:r>
            <w:r w:rsidR="00A7248F" w:rsidRPr="00A7248F">
              <w:rPr>
                <w:b/>
                <w:color w:val="FFFFFF" w:themeColor="background1"/>
              </w:rPr>
              <w:t xml:space="preserve">ktorým sa stanovuje mechanizmus úpravy ceny v dôsledku zmien nákladov pri </w:t>
            </w:r>
            <w:r w:rsidR="00A7248F" w:rsidRPr="00A7248F">
              <w:rPr>
                <w:b/>
                <w:color w:val="FFFFFF" w:themeColor="background1"/>
              </w:rPr>
              <w:lastRenderedPageBreak/>
              <w:t>projektoch opravy a údržby, pri výstavbe, modernizácie a rekonštrukcie inžinierskych stavieb a budov – zmena zmluvy, rámcovej dohody a koncesnej zmluvy počas jej trvania</w:t>
            </w:r>
            <w:r w:rsidR="00F62FE1">
              <w:rPr>
                <w:rStyle w:val="Odkaznapoznmkupodiarou"/>
                <w:b/>
                <w:color w:val="FFFFFF" w:themeColor="background1"/>
              </w:rPr>
              <w:footnoteReference w:id="8"/>
            </w:r>
            <w:r w:rsidR="00F62FE1" w:rsidRPr="001F5B50">
              <w:rPr>
                <w:b/>
                <w:color w:val="FFFFFF" w:themeColor="background1"/>
              </w:rPr>
              <w:t>.</w:t>
            </w:r>
          </w:p>
        </w:tc>
      </w:tr>
    </w:tbl>
    <w:p w:rsidR="00F62FE1" w:rsidRDefault="00F62FE1" w:rsidP="002F1309">
      <w:pPr>
        <w:pStyle w:val="Odsekzoznamu"/>
        <w:spacing w:before="120" w:after="120" w:line="276" w:lineRule="auto"/>
        <w:ind w:left="1134"/>
        <w:jc w:val="both"/>
      </w:pPr>
    </w:p>
    <w:p w:rsidR="004229CF" w:rsidRPr="00733B6F" w:rsidRDefault="005836FE" w:rsidP="002F1309">
      <w:pPr>
        <w:pStyle w:val="Odsekzoznamu"/>
        <w:numPr>
          <w:ilvl w:val="0"/>
          <w:numId w:val="14"/>
        </w:numPr>
        <w:spacing w:before="120" w:after="120" w:line="276" w:lineRule="auto"/>
        <w:ind w:left="782" w:hanging="357"/>
        <w:contextualSpacing w:val="0"/>
        <w:jc w:val="both"/>
        <w:rPr>
          <w:b/>
        </w:rPr>
      </w:pPr>
      <w:r w:rsidRPr="00733B6F">
        <w:rPr>
          <w:b/>
        </w:rPr>
        <w:t>Pri schvaľovaní dodatkov de-</w:t>
      </w:r>
      <w:proofErr w:type="spellStart"/>
      <w:r w:rsidRPr="00733B6F">
        <w:rPr>
          <w:b/>
        </w:rPr>
        <w:t>minimis</w:t>
      </w:r>
      <w:proofErr w:type="spellEnd"/>
      <w:r w:rsidRPr="00733B6F">
        <w:rPr>
          <w:b/>
        </w:rPr>
        <w:t xml:space="preserve"> podľa zákona č. 343/2015 ZVO § 18 ods. 3 (</w:t>
      </w:r>
      <w:r w:rsidRPr="00733B6F">
        <w:rPr>
          <w:b/>
          <w:color w:val="000000"/>
        </w:rPr>
        <w:t>tovary a služby +10% a práce +15% oproti pôvodnej cene podľa zmluvy</w:t>
      </w:r>
      <w:r w:rsidR="004229CF" w:rsidRPr="00733B6F">
        <w:rPr>
          <w:b/>
          <w:color w:val="000000"/>
        </w:rPr>
        <w:t>) bude</w:t>
      </w:r>
      <w:r w:rsidR="00AA1119" w:rsidRPr="00733B6F">
        <w:rPr>
          <w:b/>
          <w:color w:val="000000"/>
        </w:rPr>
        <w:t xml:space="preserve"> zdôvodnenie</w:t>
      </w:r>
      <w:r w:rsidR="004229CF" w:rsidRPr="00733B6F">
        <w:rPr>
          <w:b/>
          <w:color w:val="000000"/>
        </w:rPr>
        <w:t xml:space="preserve"> nárastu cien vychádzať</w:t>
      </w:r>
      <w:r w:rsidR="002E5736">
        <w:rPr>
          <w:b/>
          <w:color w:val="000000"/>
        </w:rPr>
        <w:t xml:space="preserve"> aj z</w:t>
      </w:r>
      <w:r w:rsidR="004229CF" w:rsidRPr="00733B6F">
        <w:rPr>
          <w:b/>
        </w:rPr>
        <w:t xml:space="preserve">: </w:t>
      </w:r>
    </w:p>
    <w:p w:rsidR="004229CF" w:rsidRDefault="004229CF" w:rsidP="002F1309">
      <w:pPr>
        <w:pStyle w:val="Odsekzoznamu"/>
        <w:numPr>
          <w:ilvl w:val="0"/>
          <w:numId w:val="17"/>
        </w:numPr>
        <w:spacing w:before="120" w:after="120" w:line="276" w:lineRule="auto"/>
        <w:contextualSpacing w:val="0"/>
        <w:jc w:val="both"/>
      </w:pPr>
      <w:r>
        <w:t>Metodického pokynu CKO č. 18 k overeniu hospodárnosti výdavkov,</w:t>
      </w:r>
    </w:p>
    <w:p w:rsidR="005739B1" w:rsidRDefault="004229CF" w:rsidP="002F1309">
      <w:pPr>
        <w:pStyle w:val="Odsekzoznamu"/>
        <w:numPr>
          <w:ilvl w:val="0"/>
          <w:numId w:val="17"/>
        </w:numPr>
        <w:spacing w:before="120" w:after="120" w:line="276" w:lineRule="auto"/>
        <w:contextualSpacing w:val="0"/>
        <w:jc w:val="both"/>
      </w:pPr>
      <w:r>
        <w:t>ďalš</w:t>
      </w:r>
      <w:r w:rsidR="00A239B2">
        <w:t>ích</w:t>
      </w:r>
      <w:r>
        <w:t xml:space="preserve"> analýz, ktorými prijímateľ zdôvodni </w:t>
      </w:r>
      <w:r w:rsidR="006A4559">
        <w:t xml:space="preserve">skokový nárast cien a akým spôsobom je dodržaná </w:t>
      </w:r>
      <w:r>
        <w:t xml:space="preserve">hospodárnosť a efektívnosť </w:t>
      </w:r>
      <w:r w:rsidR="006A4559">
        <w:t xml:space="preserve">výdavkov v predmetnom dodatku. </w:t>
      </w:r>
    </w:p>
    <w:p w:rsidR="00F62FE1" w:rsidRDefault="00F62FE1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 w:rsidRPr="00F62FE1">
        <w:t>Upozorňujeme prijímateľov, že každá predložená analýza bude predmetom individuálneho posúdenia zo strany RO/SO pre IROP a musí obsahovať náležité odôvodnenie nepredvídateľnosti nárastu cien tak, ako to vyžaduje zákon č. 343/2015 Z. z. Zákon o verejnom obstarávaní a o zmene a doplnení niektorých zákonov a Všeobecné metodické usmernenie Úradu pre verejné obstarávanie k aplikácii § 18 ods. 1 písm. c) zákona č. 343/2015 Z. z. o verejnom obstarávaní a o zmene a doplnení niektorých zákonov.</w:t>
      </w:r>
    </w:p>
    <w:p w:rsidR="000E2E35" w:rsidRDefault="00EE102C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t>Zároveň</w:t>
      </w:r>
      <w:r w:rsidR="006A4559">
        <w:t xml:space="preserve"> RO/SO pre IROP je oprávnený si vyžiadať aj </w:t>
      </w:r>
      <w:r w:rsidR="000E2E35">
        <w:t xml:space="preserve">ďalšie dokumenty, </w:t>
      </w:r>
      <w:r w:rsidR="006A4559">
        <w:t xml:space="preserve">ktoré </w:t>
      </w:r>
      <w:r w:rsidR="0013148B">
        <w:t>budú predmetom</w:t>
      </w:r>
      <w:r w:rsidR="006A4559">
        <w:t xml:space="preserve"> kontroly. </w:t>
      </w:r>
    </w:p>
    <w:p w:rsidR="00432FDD" w:rsidRPr="00A239B2" w:rsidRDefault="00C31A4E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iCs/>
        </w:rPr>
      </w:pPr>
      <w:r w:rsidRPr="000E2E35">
        <w:rPr>
          <w:b/>
        </w:rPr>
        <w:t xml:space="preserve">Položky nárastu cien </w:t>
      </w:r>
      <w:r w:rsidR="00B816CE" w:rsidRPr="000E2E35">
        <w:rPr>
          <w:b/>
        </w:rPr>
        <w:t xml:space="preserve">stavebných materiálov </w:t>
      </w:r>
      <w:r w:rsidR="00AA1119">
        <w:rPr>
          <w:b/>
        </w:rPr>
        <w:t>uvedené v</w:t>
      </w:r>
      <w:r w:rsidR="00B816CE" w:rsidRPr="000E2E35">
        <w:rPr>
          <w:b/>
        </w:rPr>
        <w:t xml:space="preserve"> </w:t>
      </w:r>
      <w:r w:rsidR="00A7248F" w:rsidRPr="00A7248F">
        <w:rPr>
          <w:b/>
        </w:rPr>
        <w:t>Metodick</w:t>
      </w:r>
      <w:r w:rsidR="00A7248F">
        <w:rPr>
          <w:b/>
        </w:rPr>
        <w:t>om</w:t>
      </w:r>
      <w:r w:rsidR="00A7248F" w:rsidRPr="00A7248F">
        <w:rPr>
          <w:b/>
        </w:rPr>
        <w:t xml:space="preserve"> pokyn</w:t>
      </w:r>
      <w:r w:rsidR="00A7248F">
        <w:rPr>
          <w:b/>
        </w:rPr>
        <w:t>e</w:t>
      </w:r>
      <w:r w:rsidR="00A7248F" w:rsidRPr="00A7248F">
        <w:rPr>
          <w:b/>
        </w:rPr>
        <w:t xml:space="preserve"> Ministerstva dopravy a výstavky Slovenskej republiky č. 27/2022</w:t>
      </w:r>
      <w:r w:rsidR="00350538">
        <w:rPr>
          <w:b/>
        </w:rPr>
        <w:t xml:space="preserve">, </w:t>
      </w:r>
      <w:r w:rsidR="00A7248F" w:rsidRPr="00A7248F">
        <w:rPr>
          <w:b/>
        </w:rPr>
        <w:t>ktorým sa stanovuje mechanizmus úpravy ceny v dôsledku zmien nákladov pri projektoch opravy a údržby, pri výstavbe, modernizácie a rekonštrukcie inžinierskych stavieb a budov – zmena zmluvy, rámcovej dohody a koncesnej zmluvy počas jej trvania</w:t>
      </w:r>
      <w:r w:rsidR="00A7248F">
        <w:rPr>
          <w:b/>
        </w:rPr>
        <w:t xml:space="preserve"> </w:t>
      </w:r>
      <w:r w:rsidRPr="000E2E35">
        <w:rPr>
          <w:b/>
        </w:rPr>
        <w:t xml:space="preserve">môžu byť RO pre IROP doplnené o ďalšie položky, </w:t>
      </w:r>
      <w:r w:rsidR="00B816CE" w:rsidRPr="00B816CE">
        <w:t>a to formou</w:t>
      </w:r>
      <w:r w:rsidR="00C83210">
        <w:t xml:space="preserve"> doplnenia</w:t>
      </w:r>
      <w:r w:rsidR="00B816CE">
        <w:t xml:space="preserve"> príloh</w:t>
      </w:r>
      <w:r w:rsidR="00B816CE" w:rsidRPr="00B816CE">
        <w:t xml:space="preserve"> </w:t>
      </w:r>
      <w:r w:rsidR="00AA1119">
        <w:t xml:space="preserve">tohto usmernenia a následne </w:t>
      </w:r>
      <w:r w:rsidR="00A239B2">
        <w:t>môžu byť použit</w:t>
      </w:r>
      <w:r w:rsidR="0013148B">
        <w:t>é</w:t>
      </w:r>
      <w:r w:rsidR="00A239B2">
        <w:t xml:space="preserve"> na odôvodnenie skokového nárastu cien</w:t>
      </w:r>
      <w:r w:rsidR="00B816CE">
        <w:t>.</w:t>
      </w:r>
    </w:p>
    <w:p w:rsidR="00353EAB" w:rsidRPr="008A22D2" w:rsidRDefault="000A7B05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rPr>
          <w:iCs/>
        </w:rPr>
        <w:t>RO/SO</w:t>
      </w:r>
      <w:r w:rsidR="0073699E">
        <w:rPr>
          <w:iCs/>
        </w:rPr>
        <w:t xml:space="preserve"> </w:t>
      </w:r>
      <w:r w:rsidR="00353EAB" w:rsidRPr="002B7E43">
        <w:rPr>
          <w:iCs/>
        </w:rPr>
        <w:t>pre IROP zabezpeč</w:t>
      </w:r>
      <w:r w:rsidR="008A22D2">
        <w:rPr>
          <w:iCs/>
        </w:rPr>
        <w:t>í pri administratívnom procese posudzovania zmien</w:t>
      </w:r>
      <w:r w:rsidR="00353EAB" w:rsidRPr="002B7E43">
        <w:rPr>
          <w:iCs/>
        </w:rPr>
        <w:t>, aby podmienky oprávnenosti pre dodatočný príspevok boli z hľadiska ich vecnej oprávnenosti zhodné s podmienkami oprávnenosti výdavkov pre nenávratný finančný príspevok</w:t>
      </w:r>
      <w:r w:rsidR="006C7E93">
        <w:rPr>
          <w:iCs/>
        </w:rPr>
        <w:t>.</w:t>
      </w:r>
      <w:r w:rsidR="00046A1D">
        <w:rPr>
          <w:iCs/>
        </w:rPr>
        <w:t xml:space="preserve"> RO zároveň v rámci zmenového konania posúdi</w:t>
      </w:r>
      <w:r w:rsidR="006C7E93">
        <w:rPr>
          <w:iCs/>
        </w:rPr>
        <w:t>,</w:t>
      </w:r>
      <w:r w:rsidR="00046A1D">
        <w:rPr>
          <w:iCs/>
        </w:rPr>
        <w:t xml:space="preserve"> či sú splnené podmienky na poskytnutia podľa §</w:t>
      </w:r>
      <w:r w:rsidR="006C7E93">
        <w:rPr>
          <w:iCs/>
        </w:rPr>
        <w:t xml:space="preserve"> </w:t>
      </w:r>
      <w:r w:rsidR="00046A1D">
        <w:rPr>
          <w:iCs/>
        </w:rPr>
        <w:t xml:space="preserve">25a </w:t>
      </w:r>
      <w:r w:rsidR="006C7E93">
        <w:t>zákona o príspevku z EŠIF,</w:t>
      </w:r>
      <w:r w:rsidR="006C7E93">
        <w:rPr>
          <w:iCs/>
        </w:rPr>
        <w:t xml:space="preserve"> </w:t>
      </w:r>
      <w:r w:rsidR="00046A1D">
        <w:rPr>
          <w:iCs/>
        </w:rPr>
        <w:t>vrátane toho</w:t>
      </w:r>
      <w:r w:rsidR="006C7E93">
        <w:rPr>
          <w:iCs/>
        </w:rPr>
        <w:t>,</w:t>
      </w:r>
      <w:r w:rsidR="00046A1D">
        <w:rPr>
          <w:iCs/>
        </w:rPr>
        <w:t xml:space="preserve"> či by bez poskytnutia dodatočného príspevku nebolo možné dosiahnuť ciele projektu. </w:t>
      </w:r>
    </w:p>
    <w:p w:rsidR="006D6874" w:rsidRPr="00D86DAB" w:rsidRDefault="00B816CE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t>K</w:t>
      </w:r>
      <w:r w:rsidR="00353EAB">
        <w:t xml:space="preserve">aždá platba </w:t>
      </w:r>
      <w:r w:rsidR="00353EAB" w:rsidRPr="002B7E43">
        <w:t xml:space="preserve">musí byť doplnená zdrojmi prijímateľa v pomere schválenom na projekt, tzn. prostriedky na spolufinancovanie sa preplácajú v rámci projektu na dodatočný príspevok </w:t>
      </w:r>
      <w:r w:rsidR="00046A1D">
        <w:t xml:space="preserve">s rovnakou mierou spolufinancovania zo strany prijímateľa </w:t>
      </w:r>
      <w:r w:rsidR="00353EAB" w:rsidRPr="002B7E43">
        <w:t>, ako je stanovené v</w:t>
      </w:r>
      <w:r>
        <w:t xml:space="preserve"> existujúcej </w:t>
      </w:r>
      <w:r w:rsidR="00353EAB">
        <w:t>Z</w:t>
      </w:r>
      <w:r w:rsidR="00353EAB" w:rsidRPr="002B7E43">
        <w:t>mluve</w:t>
      </w:r>
      <w:r w:rsidR="00353EAB">
        <w:t xml:space="preserve"> o poskytnutí NFP.</w:t>
      </w:r>
    </w:p>
    <w:p w:rsidR="00D57543" w:rsidRPr="00D86DAB" w:rsidRDefault="00D07A82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lastRenderedPageBreak/>
        <w:t xml:space="preserve">Výsledkom </w:t>
      </w:r>
      <w:r w:rsidR="002B238F">
        <w:t xml:space="preserve">procesu </w:t>
      </w:r>
      <w:r>
        <w:t xml:space="preserve">zmenovej komisie </w:t>
      </w:r>
      <w:r w:rsidR="005F6FEA">
        <w:t xml:space="preserve">príslušného projektu </w:t>
      </w:r>
      <w:r>
        <w:t>je písomný Dodatok k zmluve o poskytnutí NFP podľa prílohy č. 1</w:t>
      </w:r>
      <w:r w:rsidR="00353EAB">
        <w:t xml:space="preserve"> Dodatok k zmluve o poskytnutí NFP (poskytnutie dodatočného príspevku).</w:t>
      </w:r>
    </w:p>
    <w:p w:rsidR="006D6874" w:rsidRPr="00D86DAB" w:rsidRDefault="006D6874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 w:rsidRPr="00D86DAB">
        <w:t xml:space="preserve">Po </w:t>
      </w:r>
      <w:r w:rsidR="00B816CE">
        <w:t xml:space="preserve">nadobudnutí </w:t>
      </w:r>
      <w:r w:rsidRPr="00D86DAB">
        <w:t>účinnosti Dodatku k zmluve o poskytnutí NFP</w:t>
      </w:r>
      <w:r w:rsidR="005F6FEA">
        <w:t xml:space="preserve"> k poskytnutiu dodatočného príspevku</w:t>
      </w:r>
      <w:r w:rsidRPr="00D86DAB">
        <w:t xml:space="preserve"> nie je možné aplikovať zjednodušené vykazovanie výdavkov na dodatočné poskytnutý príspevok</w:t>
      </w:r>
      <w:r w:rsidR="005F6FEA">
        <w:t>.</w:t>
      </w:r>
      <w:r w:rsidR="00CB10CA" w:rsidDel="00CB10CA">
        <w:t xml:space="preserve"> </w:t>
      </w:r>
      <w:r w:rsidRPr="00D86DAB">
        <w:t xml:space="preserve"> </w:t>
      </w:r>
    </w:p>
    <w:p w:rsidR="000527BB" w:rsidRDefault="000527BB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 w:rsidRPr="00D86DAB">
        <w:t xml:space="preserve">V rámci dodatočného finančného príspevku </w:t>
      </w:r>
      <w:r w:rsidR="00225882">
        <w:t xml:space="preserve">je možné využiť financovanie </w:t>
      </w:r>
      <w:r w:rsidRPr="00D86DAB">
        <w:t>systém</w:t>
      </w:r>
      <w:r w:rsidR="00A07FCD" w:rsidRPr="00D86DAB">
        <w:t>om</w:t>
      </w:r>
      <w:r w:rsidRPr="00D86DAB">
        <w:t xml:space="preserve"> </w:t>
      </w:r>
      <w:proofErr w:type="spellStart"/>
      <w:r w:rsidR="00225882">
        <w:t>predfinancovania</w:t>
      </w:r>
      <w:proofErr w:type="spellEnd"/>
      <w:r w:rsidR="00225882">
        <w:t xml:space="preserve"> a </w:t>
      </w:r>
      <w:r w:rsidRPr="00D86DAB">
        <w:t xml:space="preserve">refundácie. </w:t>
      </w:r>
    </w:p>
    <w:p w:rsidR="007C305C" w:rsidRPr="00BB1B3D" w:rsidRDefault="007C305C" w:rsidP="002F1309">
      <w:pPr>
        <w:pStyle w:val="Odsekzoznamu"/>
        <w:numPr>
          <w:ilvl w:val="0"/>
          <w:numId w:val="9"/>
        </w:numPr>
        <w:spacing w:before="120" w:after="120" w:line="276" w:lineRule="auto"/>
        <w:contextualSpacing w:val="0"/>
        <w:jc w:val="both"/>
      </w:pPr>
      <w:r>
        <w:t>Dodatočný finančný</w:t>
      </w:r>
      <w:r w:rsidR="000A7B05">
        <w:t xml:space="preserve"> príspevok bude zo strany RO/SO </w:t>
      </w:r>
      <w:r>
        <w:t>pre IROP overený administratívnou finančnou kontrolou</w:t>
      </w:r>
      <w:r w:rsidR="002B7E43">
        <w:t>,</w:t>
      </w:r>
      <w:r w:rsidR="00E90173">
        <w:t xml:space="preserve"> ktorej predmetom kontroly bude </w:t>
      </w:r>
      <w:r w:rsidR="002C7CC5" w:rsidRPr="002C7CC5">
        <w:rPr>
          <w:bCs/>
          <w:iCs/>
        </w:rPr>
        <w:t>súlad finančnej operácie alebo jej časti len s určenými skutočnosťami uvedenými v § 6 ods. 4 zákona o finančnej kontrole, ktoré ustanovia osobitné predpisy.</w:t>
      </w:r>
    </w:p>
    <w:p w:rsidR="00BB1B3D" w:rsidRDefault="00BB1B3D" w:rsidP="002F1309">
      <w:pPr>
        <w:spacing w:before="120" w:after="120" w:line="240" w:lineRule="auto"/>
        <w:jc w:val="both"/>
      </w:pPr>
    </w:p>
    <w:p w:rsidR="00BB1B3D" w:rsidRPr="002F1309" w:rsidRDefault="00BB1B3D" w:rsidP="002F1309">
      <w:pPr>
        <w:pStyle w:val="Nadpis2"/>
        <w:numPr>
          <w:ilvl w:val="0"/>
          <w:numId w:val="28"/>
        </w:numPr>
        <w:ind w:left="426" w:hanging="426"/>
        <w:jc w:val="both"/>
        <w:rPr>
          <w:sz w:val="32"/>
          <w:szCs w:val="32"/>
        </w:rPr>
      </w:pPr>
      <w:bookmarkStart w:id="13" w:name="_Kontrola_dodatkov_k"/>
      <w:bookmarkStart w:id="14" w:name="_Toc137108291"/>
      <w:bookmarkEnd w:id="13"/>
      <w:r w:rsidRPr="002E312D">
        <w:rPr>
          <w:sz w:val="32"/>
          <w:szCs w:val="32"/>
        </w:rPr>
        <w:t>Kontrola dodatkov k zmluve o dielo</w:t>
      </w:r>
      <w:bookmarkEnd w:id="14"/>
      <w:r>
        <w:rPr>
          <w:sz w:val="32"/>
          <w:szCs w:val="32"/>
        </w:rPr>
        <w:t xml:space="preserve">  </w:t>
      </w:r>
    </w:p>
    <w:p w:rsidR="0045661B" w:rsidRDefault="004B73F8" w:rsidP="002F1309">
      <w:pPr>
        <w:spacing w:before="120" w:after="120" w:line="276" w:lineRule="auto"/>
        <w:jc w:val="both"/>
      </w:pPr>
      <w:r w:rsidRPr="002F1309">
        <w:t xml:space="preserve">Zákon </w:t>
      </w:r>
      <w:r w:rsidR="0045661B">
        <w:t xml:space="preserve">č. 343/2015 </w:t>
      </w:r>
      <w:proofErr w:type="spellStart"/>
      <w:r w:rsidR="0045661B">
        <w:t>Z.z</w:t>
      </w:r>
      <w:proofErr w:type="spellEnd"/>
      <w:r w:rsidR="0045661B">
        <w:t xml:space="preserve">. zákon </w:t>
      </w:r>
      <w:r w:rsidRPr="002F1309">
        <w:t xml:space="preserve">o verejnom obstarávaní </w:t>
      </w:r>
      <w:r w:rsidR="0045661B" w:rsidRPr="002F1309">
        <w:t>a o zmene a doplnení niektorých zákonov</w:t>
      </w:r>
      <w:r w:rsidR="0045661B">
        <w:t xml:space="preserve">, </w:t>
      </w:r>
      <w:r w:rsidRPr="002F1309">
        <w:t>umožňuje</w:t>
      </w:r>
      <w:r>
        <w:t xml:space="preserve"> prijímateľovi z</w:t>
      </w:r>
      <w:r w:rsidRPr="004B73F8">
        <w:t>mluvu, rámcovú dohodu alebo koncesnú zmluvu zmeniť počas jej trvania bez nového verejného obstarávania</w:t>
      </w:r>
      <w:r w:rsidR="0045661B">
        <w:t xml:space="preserve">, ak sú splnené zákonom stanovené podmienky. </w:t>
      </w:r>
      <w:r w:rsidR="000A1746">
        <w:t xml:space="preserve">Lehota na výkon kontroly dodatkov k zmluve o dielo je uvedená v </w:t>
      </w:r>
      <w:r w:rsidR="000A1746" w:rsidRPr="000A1746">
        <w:t>Jednotn</w:t>
      </w:r>
      <w:r w:rsidR="000A1746">
        <w:t>ej</w:t>
      </w:r>
      <w:r w:rsidR="000A1746" w:rsidRPr="000A1746">
        <w:t xml:space="preserve"> príručk</w:t>
      </w:r>
      <w:r w:rsidR="000A1746">
        <w:t>e</w:t>
      </w:r>
      <w:r w:rsidR="000A1746" w:rsidRPr="000A1746">
        <w:t xml:space="preserve"> pre žiadateľov/prijímateľov k procesu a kontrole verejného obstarávania/obstarávania</w:t>
      </w:r>
      <w:r w:rsidR="000A1746">
        <w:rPr>
          <w:rStyle w:val="Odkaznapoznmkupodiarou"/>
        </w:rPr>
        <w:footnoteReference w:id="9"/>
      </w:r>
      <w:r w:rsidR="000A1746">
        <w:t>.</w:t>
      </w:r>
    </w:p>
    <w:p w:rsidR="0045661B" w:rsidRPr="002F1309" w:rsidRDefault="0045661B" w:rsidP="002F1309">
      <w:pPr>
        <w:spacing w:before="120" w:after="120" w:line="276" w:lineRule="auto"/>
        <w:jc w:val="both"/>
        <w:rPr>
          <w:b/>
          <w:i/>
          <w:u w:val="single"/>
        </w:rPr>
      </w:pPr>
      <w:r w:rsidRPr="002F1309">
        <w:rPr>
          <w:b/>
          <w:i/>
          <w:u w:val="single"/>
        </w:rPr>
        <w:t xml:space="preserve">Uzatváranie dodatkov de </w:t>
      </w:r>
      <w:proofErr w:type="spellStart"/>
      <w:r w:rsidRPr="002F1309">
        <w:rPr>
          <w:b/>
          <w:i/>
          <w:u w:val="single"/>
        </w:rPr>
        <w:t>minimis</w:t>
      </w:r>
      <w:proofErr w:type="spellEnd"/>
    </w:p>
    <w:p w:rsidR="004B73F8" w:rsidRPr="002F1309" w:rsidRDefault="004B73F8" w:rsidP="002F1309">
      <w:pPr>
        <w:spacing w:before="120" w:after="120" w:line="276" w:lineRule="auto"/>
        <w:jc w:val="both"/>
      </w:pPr>
      <w:r w:rsidRPr="002F1309">
        <w:t xml:space="preserve">V zmysle § 18 ods. 3 </w:t>
      </w:r>
      <w:r w:rsidR="00D63D17">
        <w:t>ZVO</w:t>
      </w:r>
      <w:r w:rsidR="0045661B">
        <w:t xml:space="preserve"> </w:t>
      </w:r>
      <w:r w:rsidR="00D84509">
        <w:t xml:space="preserve">je možné </w:t>
      </w:r>
      <w:r w:rsidR="000A1746">
        <w:t xml:space="preserve">zmeniť </w:t>
      </w:r>
      <w:r w:rsidRPr="002F1309">
        <w:t>zmluvu počas jej trvania bez nového verejného obstarávania, ak absolútna hodnota všetkých zmien je nižšia ako finančný limit nadlimitnej zákazky a zároveň je hodnota zmeny nižšia ako:</w:t>
      </w:r>
    </w:p>
    <w:p w:rsidR="004B73F8" w:rsidRPr="002F1309" w:rsidRDefault="004B73F8" w:rsidP="002F1309">
      <w:pPr>
        <w:pStyle w:val="Odsekzoznamu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</w:pPr>
      <w:r w:rsidRPr="002F1309">
        <w:rPr>
          <w:b/>
        </w:rPr>
        <w:t>15 %</w:t>
      </w:r>
      <w:r w:rsidRPr="002F1309">
        <w:t xml:space="preserve"> </w:t>
      </w:r>
      <w:r w:rsidRPr="002F1309">
        <w:rPr>
          <w:b/>
        </w:rPr>
        <w:t>hodnoty pôvodnej zmluvy</w:t>
      </w:r>
      <w:r w:rsidR="00D84509">
        <w:t xml:space="preserve">, </w:t>
      </w:r>
      <w:r w:rsidRPr="002F1309">
        <w:t xml:space="preserve">ak sú jej predmetom </w:t>
      </w:r>
      <w:r w:rsidRPr="002F1309">
        <w:rPr>
          <w:u w:val="single"/>
        </w:rPr>
        <w:t>stavebné práce</w:t>
      </w:r>
      <w:r w:rsidRPr="002F1309">
        <w:t>,</w:t>
      </w:r>
    </w:p>
    <w:p w:rsidR="004B73F8" w:rsidRPr="002F1309" w:rsidRDefault="004B73F8" w:rsidP="002F1309">
      <w:pPr>
        <w:pStyle w:val="Odsekzoznamu"/>
        <w:numPr>
          <w:ilvl w:val="0"/>
          <w:numId w:val="21"/>
        </w:numPr>
        <w:spacing w:before="120" w:after="120" w:line="276" w:lineRule="auto"/>
        <w:ind w:left="714" w:hanging="357"/>
        <w:contextualSpacing w:val="0"/>
        <w:jc w:val="both"/>
      </w:pPr>
      <w:r w:rsidRPr="002F1309">
        <w:rPr>
          <w:b/>
        </w:rPr>
        <w:t>10 %</w:t>
      </w:r>
      <w:r w:rsidRPr="002F1309">
        <w:t xml:space="preserve"> </w:t>
      </w:r>
      <w:r w:rsidRPr="002F1309">
        <w:rPr>
          <w:b/>
        </w:rPr>
        <w:t>hodnoty pôvodnej zmluvy</w:t>
      </w:r>
      <w:r w:rsidRPr="002F1309">
        <w:t xml:space="preserve">, ak je jej predmetom </w:t>
      </w:r>
      <w:r w:rsidRPr="002F1309">
        <w:rPr>
          <w:u w:val="single"/>
        </w:rPr>
        <w:t>dodanie tovaru alebo poskytnutie služby</w:t>
      </w:r>
      <w:r w:rsidRPr="002F1309">
        <w:t>.</w:t>
      </w:r>
    </w:p>
    <w:p w:rsidR="004B73F8" w:rsidRPr="002F1309" w:rsidRDefault="004B73F8" w:rsidP="002F1309">
      <w:pPr>
        <w:spacing w:before="120" w:after="120" w:line="276" w:lineRule="auto"/>
        <w:jc w:val="both"/>
      </w:pPr>
      <w:r w:rsidRPr="002F1309">
        <w:t xml:space="preserve">Dodatkom de </w:t>
      </w:r>
      <w:proofErr w:type="spellStart"/>
      <w:r w:rsidRPr="002F1309">
        <w:t>minimis</w:t>
      </w:r>
      <w:proofErr w:type="spellEnd"/>
      <w:r w:rsidRPr="002F1309">
        <w:t xml:space="preserve"> sa nesmie meniť charakter pôvodnej zmluvy.</w:t>
      </w:r>
      <w:r w:rsidR="0045661B">
        <w:t xml:space="preserve"> </w:t>
      </w:r>
      <w:r w:rsidRPr="002F1309">
        <w:t>Prijímateľ je povinný v prípad</w:t>
      </w:r>
      <w:r w:rsidR="0045661B" w:rsidRPr="00D63D17">
        <w:t xml:space="preserve">e uskutočnenia zmeny de </w:t>
      </w:r>
      <w:proofErr w:type="spellStart"/>
      <w:r w:rsidR="0045661B" w:rsidRPr="00D63D17">
        <w:t>minimis</w:t>
      </w:r>
      <w:proofErr w:type="spellEnd"/>
      <w:r w:rsidRPr="002F1309">
        <w:t>:</w:t>
      </w:r>
    </w:p>
    <w:p w:rsidR="004B73F8" w:rsidRPr="002F1309" w:rsidRDefault="004B73F8" w:rsidP="002F1309">
      <w:pPr>
        <w:numPr>
          <w:ilvl w:val="0"/>
          <w:numId w:val="22"/>
        </w:numPr>
        <w:spacing w:before="120" w:after="120" w:line="276" w:lineRule="auto"/>
        <w:jc w:val="both"/>
      </w:pPr>
      <w:r w:rsidRPr="002F1309">
        <w:t xml:space="preserve">preukázať existenciu relevantných a objektívnych dôvodov pre jej uskutočnenie; </w:t>
      </w:r>
    </w:p>
    <w:p w:rsidR="004B73F8" w:rsidRPr="002F1309" w:rsidRDefault="004B73F8" w:rsidP="002F1309">
      <w:pPr>
        <w:numPr>
          <w:ilvl w:val="0"/>
          <w:numId w:val="22"/>
        </w:numPr>
        <w:spacing w:before="120" w:after="120" w:line="276" w:lineRule="auto"/>
        <w:jc w:val="both"/>
      </w:pPr>
      <w:r w:rsidRPr="002F1309">
        <w:t xml:space="preserve">riadne odôvodniť potrebu uzatvorenia dodatku podľa § 18 ods. 3 </w:t>
      </w:r>
      <w:r w:rsidR="00D63D17">
        <w:t>ZVO</w:t>
      </w:r>
      <w:r w:rsidRPr="002F1309">
        <w:t xml:space="preserve">. </w:t>
      </w:r>
    </w:p>
    <w:p w:rsidR="004B73F8" w:rsidRPr="002F1309" w:rsidRDefault="00B8271C" w:rsidP="002F1309">
      <w:pPr>
        <w:spacing w:before="120" w:after="120" w:line="276" w:lineRule="auto"/>
        <w:jc w:val="both"/>
      </w:pPr>
      <w:r>
        <w:t>RO/SO pre IROP</w:t>
      </w:r>
      <w:r w:rsidR="004B73F8" w:rsidRPr="002F1309">
        <w:t xml:space="preserve"> bude každ</w:t>
      </w:r>
      <w:r>
        <w:t>ý dodatok k zmluve o dielo</w:t>
      </w:r>
      <w:r w:rsidR="004B73F8" w:rsidRPr="002F1309">
        <w:t xml:space="preserve"> vyhodnocovať </w:t>
      </w:r>
      <w:r w:rsidR="004B73F8" w:rsidRPr="002F1309">
        <w:rPr>
          <w:b/>
        </w:rPr>
        <w:t xml:space="preserve">individuálne </w:t>
      </w:r>
      <w:r w:rsidR="004B73F8" w:rsidRPr="002F1309">
        <w:t>vo väzbe na obsah konkrétnej zmluvy</w:t>
      </w:r>
      <w:r>
        <w:t xml:space="preserve"> o dielo</w:t>
      </w:r>
      <w:r w:rsidR="004B73F8" w:rsidRPr="002F1309">
        <w:t xml:space="preserve">, ako aj ostatné okolnosti prípadu. </w:t>
      </w:r>
      <w:r w:rsidR="004B73F8" w:rsidRPr="002F1309">
        <w:rPr>
          <w:u w:val="single"/>
        </w:rPr>
        <w:t>Dôkazné bremeno preukazovania oprávnenosti danej zmeny zmluvy</w:t>
      </w:r>
      <w:r w:rsidRPr="002F1309">
        <w:rPr>
          <w:u w:val="single"/>
        </w:rPr>
        <w:t xml:space="preserve"> o dielo</w:t>
      </w:r>
      <w:r w:rsidR="004B73F8" w:rsidRPr="002F1309">
        <w:rPr>
          <w:u w:val="single"/>
        </w:rPr>
        <w:t xml:space="preserve"> nesie prijímateľ.</w:t>
      </w:r>
    </w:p>
    <w:p w:rsidR="00B8271C" w:rsidRDefault="004B73F8" w:rsidP="002F1309">
      <w:pPr>
        <w:spacing w:before="120" w:after="120" w:line="276" w:lineRule="auto"/>
        <w:jc w:val="both"/>
      </w:pPr>
      <w:r w:rsidRPr="002F1309">
        <w:lastRenderedPageBreak/>
        <w:t>R</w:t>
      </w:r>
      <w:r w:rsidR="00B8271C">
        <w:t>O/SO pre IROP</w:t>
      </w:r>
      <w:r w:rsidRPr="002F1309">
        <w:t xml:space="preserve"> odporúča pri uzatváraní dodatkov</w:t>
      </w:r>
      <w:r w:rsidR="00B8271C">
        <w:t xml:space="preserve"> (de </w:t>
      </w:r>
      <w:proofErr w:type="spellStart"/>
      <w:r w:rsidR="00B8271C">
        <w:t>minimis</w:t>
      </w:r>
      <w:proofErr w:type="spellEnd"/>
      <w:r w:rsidR="00B8271C">
        <w:t>) k zmluve o dielo</w:t>
      </w:r>
      <w:r w:rsidRPr="002F1309">
        <w:t xml:space="preserve"> postupovať v zmysle </w:t>
      </w:r>
      <w:r w:rsidR="00B8271C" w:rsidRPr="002F1309">
        <w:t>Všeobecné</w:t>
      </w:r>
      <w:r w:rsidR="00B8271C">
        <w:t>ho</w:t>
      </w:r>
      <w:r w:rsidR="00B8271C" w:rsidRPr="002F1309">
        <w:t xml:space="preserve"> metodické</w:t>
      </w:r>
      <w:r w:rsidR="00B8271C">
        <w:t>ho</w:t>
      </w:r>
      <w:r w:rsidR="00B8271C" w:rsidRPr="00D63D17">
        <w:t xml:space="preserve"> usmernenia</w:t>
      </w:r>
      <w:r w:rsidR="00B8271C" w:rsidRPr="002F1309">
        <w:t xml:space="preserve"> k zmenám zmluvy, rámcovej dohody a koncesnej zmluvy počas ich trvania 10/2019.</w:t>
      </w:r>
      <w:r w:rsidRPr="002F1309">
        <w:t xml:space="preserve"> </w:t>
      </w:r>
    </w:p>
    <w:p w:rsidR="00B8271C" w:rsidRPr="002F1309" w:rsidRDefault="00B8271C" w:rsidP="002F1309">
      <w:pPr>
        <w:spacing w:before="120" w:after="120" w:line="240" w:lineRule="auto"/>
        <w:jc w:val="both"/>
        <w:rPr>
          <w:b/>
          <w:bCs/>
          <w:i/>
          <w:u w:val="single"/>
        </w:rPr>
      </w:pPr>
      <w:r w:rsidRPr="002F1309">
        <w:rPr>
          <w:b/>
          <w:bCs/>
          <w:i/>
          <w:u w:val="single"/>
        </w:rPr>
        <w:t>Zmena zmluvy v dôsledku nepredvídateľných okolností podľa § 18 ods. 1 písm. c) ZVO</w:t>
      </w:r>
    </w:p>
    <w:p w:rsidR="00B8271C" w:rsidRPr="002F1309" w:rsidRDefault="00B8271C" w:rsidP="002F1309">
      <w:pPr>
        <w:spacing w:before="120" w:after="120" w:line="276" w:lineRule="auto"/>
        <w:jc w:val="both"/>
        <w:rPr>
          <w:iCs/>
        </w:rPr>
      </w:pPr>
      <w:r w:rsidRPr="002F1309">
        <w:rPr>
          <w:iCs/>
        </w:rPr>
        <w:t xml:space="preserve">V zmysle § 18 ods. 1 písm. c) </w:t>
      </w:r>
      <w:r w:rsidR="00D63D17">
        <w:rPr>
          <w:iCs/>
        </w:rPr>
        <w:t>ZVO</w:t>
      </w:r>
      <w:r w:rsidR="000A1746">
        <w:rPr>
          <w:iCs/>
        </w:rPr>
        <w:t xml:space="preserve"> je možné zmeniť z</w:t>
      </w:r>
      <w:r w:rsidRPr="002F1309">
        <w:rPr>
          <w:iCs/>
        </w:rPr>
        <w:t xml:space="preserve">mluvu počas jej trvania bez nového verejného obstarávania, ak </w:t>
      </w:r>
      <w:r w:rsidRPr="002F1309">
        <w:rPr>
          <w:b/>
          <w:bCs/>
          <w:iCs/>
        </w:rPr>
        <w:t>potreba zmeny vyplynula z okolností, ktoré prijímateľ nemohol pri vynaložení náležitej starostlivosti predvídať a zmenou sa nemení charakter zmluvy</w:t>
      </w:r>
      <w:r w:rsidRPr="002F1309">
        <w:rPr>
          <w:iCs/>
        </w:rPr>
        <w:t>.</w:t>
      </w:r>
    </w:p>
    <w:p w:rsidR="00B8271C" w:rsidRPr="002F1309" w:rsidRDefault="00B8271C" w:rsidP="002F1309">
      <w:pPr>
        <w:spacing w:before="120" w:after="120" w:line="276" w:lineRule="auto"/>
        <w:jc w:val="both"/>
        <w:rPr>
          <w:iCs/>
        </w:rPr>
      </w:pPr>
      <w:r w:rsidRPr="002F1309">
        <w:rPr>
          <w:iCs/>
        </w:rPr>
        <w:t xml:space="preserve">Ako vyplýva z dikcie </w:t>
      </w:r>
      <w:proofErr w:type="spellStart"/>
      <w:r w:rsidRPr="002F1309">
        <w:rPr>
          <w:iCs/>
        </w:rPr>
        <w:t>ust</w:t>
      </w:r>
      <w:proofErr w:type="spellEnd"/>
      <w:r w:rsidRPr="002F1309">
        <w:rPr>
          <w:iCs/>
        </w:rPr>
        <w:t xml:space="preserve">. § 18 ods. 1 písm. c) v spojení so </w:t>
      </w:r>
      <w:r w:rsidR="000A1746" w:rsidRPr="002F1309">
        <w:rPr>
          <w:iCs/>
        </w:rPr>
        <w:t xml:space="preserve">Všeobecné metodické usmernenie Úradu pre verejné obstarávanie 6/2022 k aplikácii § 18 ods. 1 písm. c) </w:t>
      </w:r>
      <w:r w:rsidR="00D63D17">
        <w:rPr>
          <w:iCs/>
        </w:rPr>
        <w:t>ZVO</w:t>
      </w:r>
      <w:r w:rsidR="000A1746">
        <w:rPr>
          <w:iCs/>
        </w:rPr>
        <w:t xml:space="preserve">, </w:t>
      </w:r>
      <w:r w:rsidRPr="002F1309">
        <w:rPr>
          <w:iCs/>
        </w:rPr>
        <w:t xml:space="preserve">podmienky aplikácie zmeny zmluvy podľa § 18 ods. 1 písm. c) </w:t>
      </w:r>
      <w:r w:rsidR="00D63D17">
        <w:rPr>
          <w:iCs/>
        </w:rPr>
        <w:t>ZVO</w:t>
      </w:r>
      <w:r w:rsidRPr="002F1309">
        <w:rPr>
          <w:iCs/>
        </w:rPr>
        <w:t xml:space="preserve"> sú nasledovné: </w:t>
      </w:r>
    </w:p>
    <w:p w:rsidR="00973D30" w:rsidRPr="002F1309" w:rsidRDefault="009D66DF" w:rsidP="002F1309">
      <w:pPr>
        <w:numPr>
          <w:ilvl w:val="0"/>
          <w:numId w:val="24"/>
        </w:numPr>
        <w:spacing w:before="120" w:after="120" w:line="276" w:lineRule="auto"/>
        <w:jc w:val="both"/>
        <w:rPr>
          <w:iCs/>
        </w:rPr>
      </w:pPr>
      <w:r w:rsidRPr="002F1309">
        <w:rPr>
          <w:iCs/>
        </w:rPr>
        <w:t xml:space="preserve">potreba zmeny zmluvy vyplynula </w:t>
      </w:r>
      <w:r w:rsidRPr="002F1309">
        <w:rPr>
          <w:b/>
          <w:bCs/>
          <w:iCs/>
        </w:rPr>
        <w:t xml:space="preserve">z okolností, ktoré prijímateľ nemohol </w:t>
      </w:r>
      <w:r w:rsidRPr="002F1309">
        <w:rPr>
          <w:iCs/>
        </w:rPr>
        <w:t xml:space="preserve">pri vynaložení náležitej starostlivosti </w:t>
      </w:r>
      <w:r w:rsidRPr="002F1309">
        <w:rPr>
          <w:b/>
          <w:bCs/>
          <w:iCs/>
        </w:rPr>
        <w:t>predvídať</w:t>
      </w:r>
      <w:r w:rsidRPr="002F1309">
        <w:rPr>
          <w:iCs/>
        </w:rPr>
        <w:t>;</w:t>
      </w:r>
    </w:p>
    <w:p w:rsidR="00973D30" w:rsidRPr="002F1309" w:rsidRDefault="009D66DF" w:rsidP="002F1309">
      <w:pPr>
        <w:numPr>
          <w:ilvl w:val="0"/>
          <w:numId w:val="24"/>
        </w:numPr>
        <w:spacing w:before="120" w:after="120" w:line="276" w:lineRule="auto"/>
        <w:jc w:val="both"/>
        <w:rPr>
          <w:iCs/>
        </w:rPr>
      </w:pPr>
      <w:r w:rsidRPr="002F1309">
        <w:rPr>
          <w:iCs/>
        </w:rPr>
        <w:t xml:space="preserve">zmenou sa </w:t>
      </w:r>
      <w:r w:rsidRPr="002F1309">
        <w:rPr>
          <w:b/>
          <w:bCs/>
          <w:iCs/>
        </w:rPr>
        <w:t>nemení charakter zmluvy</w:t>
      </w:r>
      <w:r w:rsidRPr="002F1309">
        <w:rPr>
          <w:iCs/>
        </w:rPr>
        <w:t xml:space="preserve">; </w:t>
      </w:r>
    </w:p>
    <w:p w:rsidR="00973D30" w:rsidRPr="00B8271C" w:rsidRDefault="009D66DF" w:rsidP="002F1309">
      <w:pPr>
        <w:numPr>
          <w:ilvl w:val="0"/>
          <w:numId w:val="24"/>
        </w:numPr>
        <w:spacing w:before="120" w:after="120" w:line="276" w:lineRule="auto"/>
        <w:jc w:val="both"/>
        <w:rPr>
          <w:i/>
          <w:iCs/>
        </w:rPr>
      </w:pPr>
      <w:r w:rsidRPr="002F1309">
        <w:rPr>
          <w:iCs/>
        </w:rPr>
        <w:t xml:space="preserve">zmenou nemôže dôjsť k </w:t>
      </w:r>
      <w:r w:rsidRPr="002F1309">
        <w:rPr>
          <w:iCs/>
          <w:u w:val="single"/>
        </w:rPr>
        <w:t>navýšeniu hodnoty</w:t>
      </w:r>
      <w:r w:rsidRPr="002F1309">
        <w:rPr>
          <w:i/>
          <w:iCs/>
          <w:u w:val="single"/>
        </w:rPr>
        <w:t xml:space="preserve"> plnenia o viac ako </w:t>
      </w:r>
      <w:r w:rsidRPr="002F1309">
        <w:rPr>
          <w:b/>
          <w:bCs/>
          <w:i/>
          <w:iCs/>
          <w:u w:val="single"/>
        </w:rPr>
        <w:t xml:space="preserve">50 % </w:t>
      </w:r>
      <w:r w:rsidRPr="002F1309">
        <w:rPr>
          <w:i/>
          <w:iCs/>
          <w:u w:val="single"/>
        </w:rPr>
        <w:t>hodnoty pôvodnej zmluvy</w:t>
      </w:r>
      <w:r w:rsidRPr="00B8271C">
        <w:rPr>
          <w:i/>
          <w:iCs/>
        </w:rPr>
        <w:t>.</w:t>
      </w:r>
    </w:p>
    <w:p w:rsidR="00B8271C" w:rsidRPr="002F1309" w:rsidRDefault="00E33ED5" w:rsidP="002F1309">
      <w:pPr>
        <w:spacing w:after="0" w:line="276" w:lineRule="auto"/>
        <w:jc w:val="both"/>
        <w:rPr>
          <w:iCs/>
        </w:rPr>
      </w:pPr>
      <w:r>
        <w:rPr>
          <w:bCs/>
          <w:iCs/>
        </w:rPr>
        <w:t>RO/SO pre IROP</w:t>
      </w:r>
      <w:r w:rsidR="00B8271C" w:rsidRPr="002F1309">
        <w:rPr>
          <w:bCs/>
          <w:iCs/>
        </w:rPr>
        <w:t xml:space="preserve"> bude každ</w:t>
      </w:r>
      <w:r w:rsidR="000F6F22">
        <w:rPr>
          <w:bCs/>
          <w:iCs/>
        </w:rPr>
        <w:t>ý dodatok k </w:t>
      </w:r>
      <w:r w:rsidR="00B8271C" w:rsidRPr="002F1309">
        <w:rPr>
          <w:bCs/>
          <w:iCs/>
        </w:rPr>
        <w:t>zmluv</w:t>
      </w:r>
      <w:r w:rsidR="000F6F22">
        <w:rPr>
          <w:bCs/>
          <w:iCs/>
        </w:rPr>
        <w:t>e o dielo</w:t>
      </w:r>
      <w:r w:rsidR="00B8271C" w:rsidRPr="002F1309">
        <w:rPr>
          <w:bCs/>
          <w:iCs/>
        </w:rPr>
        <w:t xml:space="preserve"> podľa § 18 ods. 1 písm. c) ZVO vyhodnocovať </w:t>
      </w:r>
      <w:r w:rsidR="00B8271C" w:rsidRPr="002F1309">
        <w:rPr>
          <w:b/>
          <w:bCs/>
          <w:iCs/>
        </w:rPr>
        <w:t>individuálne</w:t>
      </w:r>
      <w:r w:rsidR="00B8271C" w:rsidRPr="002F1309">
        <w:rPr>
          <w:bCs/>
          <w:iCs/>
        </w:rPr>
        <w:t xml:space="preserve"> s ohľadom na skutkové okolnosti. </w:t>
      </w:r>
      <w:r w:rsidR="00B8271C" w:rsidRPr="002F1309">
        <w:rPr>
          <w:bCs/>
          <w:iCs/>
          <w:u w:val="single"/>
        </w:rPr>
        <w:t xml:space="preserve">Dôkazné bremeno preukazovania oprávnenosti danej zmeny a naplnenia zákonných podmienok zmeny zmluvy podľa § 18 ods. 1 písm. c) </w:t>
      </w:r>
      <w:r w:rsidR="00D63D17">
        <w:rPr>
          <w:bCs/>
          <w:iCs/>
          <w:u w:val="single"/>
        </w:rPr>
        <w:t>ZVO</w:t>
      </w:r>
      <w:r w:rsidR="00B8271C" w:rsidRPr="002F1309">
        <w:rPr>
          <w:bCs/>
          <w:iCs/>
          <w:u w:val="single"/>
        </w:rPr>
        <w:t xml:space="preserve"> znáša prijímateľ.</w:t>
      </w:r>
    </w:p>
    <w:p w:rsidR="000F6F22" w:rsidRDefault="000F6F22" w:rsidP="000F6F22">
      <w:pPr>
        <w:spacing w:after="0" w:line="240" w:lineRule="auto"/>
        <w:jc w:val="both"/>
        <w:rPr>
          <w:i/>
          <w:iCs/>
        </w:rPr>
      </w:pPr>
    </w:p>
    <w:p w:rsidR="000F6F22" w:rsidRPr="002F1309" w:rsidRDefault="000F6F22" w:rsidP="000F6F22">
      <w:pPr>
        <w:spacing w:after="0" w:line="240" w:lineRule="auto"/>
        <w:jc w:val="both"/>
        <w:rPr>
          <w:b/>
          <w:bCs/>
          <w:i/>
          <w:u w:val="single"/>
        </w:rPr>
      </w:pPr>
      <w:r w:rsidRPr="002F1309">
        <w:rPr>
          <w:b/>
          <w:bCs/>
          <w:i/>
          <w:u w:val="single"/>
        </w:rPr>
        <w:t xml:space="preserve">Riziká spojené so zmenami zmluvy podľa § 18 ZVO </w:t>
      </w:r>
    </w:p>
    <w:p w:rsidR="000F6F22" w:rsidRDefault="000F6F22" w:rsidP="000F6F22">
      <w:pPr>
        <w:spacing w:after="0" w:line="240" w:lineRule="auto"/>
        <w:jc w:val="both"/>
        <w:rPr>
          <w:i/>
          <w:iCs/>
        </w:rPr>
      </w:pPr>
    </w:p>
    <w:p w:rsidR="000F6F22" w:rsidRPr="002F1309" w:rsidRDefault="000F6F22" w:rsidP="002F1309">
      <w:pPr>
        <w:spacing w:after="0" w:line="276" w:lineRule="auto"/>
        <w:jc w:val="both"/>
        <w:rPr>
          <w:iCs/>
        </w:rPr>
      </w:pPr>
      <w:r w:rsidRPr="002F1309">
        <w:rPr>
          <w:iCs/>
        </w:rPr>
        <w:t xml:space="preserve">V nadväznosti na znenie </w:t>
      </w:r>
      <w:r w:rsidR="002313AA" w:rsidRPr="00312B22">
        <w:rPr>
          <w:b/>
          <w:bCs/>
          <w:iCs/>
        </w:rPr>
        <w:t>M</w:t>
      </w:r>
      <w:r w:rsidRPr="002F1309">
        <w:rPr>
          <w:b/>
          <w:bCs/>
          <w:iCs/>
        </w:rPr>
        <w:t>etodického pokynu CKO č. 5</w:t>
      </w:r>
      <w:r w:rsidR="002313AA" w:rsidRPr="00312B22">
        <w:rPr>
          <w:b/>
          <w:bCs/>
          <w:iCs/>
        </w:rPr>
        <w:t xml:space="preserve"> k určovaniu finančných opráv, ktoré má riadiaci orgán uplatňovať pri nedodržaní pravidiel a postupov verejného obstarávania</w:t>
      </w:r>
      <w:r w:rsidR="002313AA" w:rsidRPr="002F1309">
        <w:rPr>
          <w:b/>
          <w:bCs/>
          <w:iCs/>
        </w:rPr>
        <w:t xml:space="preserve"> (</w:t>
      </w:r>
      <w:r w:rsidRPr="002F1309">
        <w:rPr>
          <w:b/>
          <w:bCs/>
          <w:iCs/>
        </w:rPr>
        <w:t>príloha č. 1</w:t>
      </w:r>
      <w:r w:rsidR="002313AA" w:rsidRPr="002F1309">
        <w:rPr>
          <w:b/>
          <w:bCs/>
          <w:iCs/>
        </w:rPr>
        <w:t>)</w:t>
      </w:r>
      <w:r w:rsidR="002313AA">
        <w:rPr>
          <w:rStyle w:val="Odkaznapoznmkupodiarou"/>
          <w:bCs/>
          <w:iCs/>
        </w:rPr>
        <w:footnoteReference w:id="10"/>
      </w:r>
      <w:r w:rsidRPr="002F1309">
        <w:rPr>
          <w:b/>
          <w:bCs/>
          <w:iCs/>
        </w:rPr>
        <w:t xml:space="preserve"> </w:t>
      </w:r>
      <w:r w:rsidRPr="002F1309">
        <w:rPr>
          <w:iCs/>
        </w:rPr>
        <w:t xml:space="preserve">a pravidiel </w:t>
      </w:r>
      <w:r w:rsidRPr="002F1309">
        <w:rPr>
          <w:bCs/>
          <w:iCs/>
        </w:rPr>
        <w:t>nastavených</w:t>
      </w:r>
      <w:r w:rsidRPr="002F1309">
        <w:rPr>
          <w:b/>
          <w:bCs/>
          <w:iCs/>
        </w:rPr>
        <w:t xml:space="preserve"> Rozhodnutím Európskej komisie zo dňa 14.05.2019 č. C(2019) 3452</w:t>
      </w:r>
      <w:r w:rsidRPr="002F1309">
        <w:rPr>
          <w:iCs/>
        </w:rPr>
        <w:t xml:space="preserve"> - </w:t>
      </w:r>
      <w:r w:rsidRPr="002F1309">
        <w:rPr>
          <w:i/>
          <w:iCs/>
          <w:sz w:val="20"/>
          <w:szCs w:val="20"/>
          <w:lang w:val="en-GB"/>
        </w:rPr>
        <w:t>„Commission Decision laying down the guidelines for determining financial corrections to be made to expenditure financed by the Union for noncompliance with the applicable rules on public procurement</w:t>
      </w:r>
      <w:r w:rsidRPr="002F1309">
        <w:rPr>
          <w:i/>
          <w:iCs/>
          <w:sz w:val="20"/>
          <w:szCs w:val="20"/>
        </w:rPr>
        <w:t>"</w:t>
      </w:r>
      <w:r w:rsidRPr="002F1309">
        <w:rPr>
          <w:iCs/>
        </w:rPr>
        <w:t xml:space="preserve"> </w:t>
      </w:r>
      <w:r w:rsidR="002313AA">
        <w:rPr>
          <w:iCs/>
        </w:rPr>
        <w:t xml:space="preserve">RO/SO pre IROP </w:t>
      </w:r>
      <w:r w:rsidRPr="002F1309">
        <w:rPr>
          <w:iCs/>
        </w:rPr>
        <w:t xml:space="preserve">upozorňuje, že v prípade, ak pri administratívnej finančnej kontrole zmeny zmluvy bude zistené, že neboli splnené podmienky vyplývajúce zo znenia § 18 </w:t>
      </w:r>
      <w:r w:rsidR="00D63D17">
        <w:rPr>
          <w:bCs/>
          <w:iCs/>
        </w:rPr>
        <w:t>ZVO</w:t>
      </w:r>
      <w:r w:rsidRPr="002F1309">
        <w:rPr>
          <w:iCs/>
        </w:rPr>
        <w:t xml:space="preserve"> a / alebo Jednotnej príručky pre žiadateľa/prijímateľa k procesu a kontrole verejného obstarávania,</w:t>
      </w:r>
      <w:r w:rsidR="00D63D17">
        <w:rPr>
          <w:iCs/>
        </w:rPr>
        <w:t xml:space="preserve"> </w:t>
      </w:r>
      <w:r w:rsidR="002313AA" w:rsidRPr="002F1309">
        <w:rPr>
          <w:bCs/>
          <w:iCs/>
        </w:rPr>
        <w:t>RO/SO pre IROP</w:t>
      </w:r>
      <w:r w:rsidRPr="002F1309">
        <w:rPr>
          <w:bCs/>
          <w:iCs/>
        </w:rPr>
        <w:t xml:space="preserve"> bude povinný udeliť finančnú opravu v zmysle </w:t>
      </w:r>
      <w:r w:rsidR="002313AA">
        <w:rPr>
          <w:bCs/>
          <w:iCs/>
        </w:rPr>
        <w:t>M</w:t>
      </w:r>
      <w:r w:rsidRPr="002F1309">
        <w:rPr>
          <w:bCs/>
          <w:iCs/>
        </w:rPr>
        <w:t xml:space="preserve">etodického pokynu CKO č. 5 k určovaniu finančných opráv, v zmysle porušenia č. 28 prílohy č. 1 vo výške </w:t>
      </w:r>
      <w:r w:rsidRPr="002F1309">
        <w:rPr>
          <w:b/>
          <w:bCs/>
          <w:iCs/>
        </w:rPr>
        <w:t>25 % z ceny pôvodnej zmluvy</w:t>
      </w:r>
      <w:r w:rsidRPr="002F1309">
        <w:rPr>
          <w:bCs/>
          <w:iCs/>
        </w:rPr>
        <w:t xml:space="preserve"> a zároveň </w:t>
      </w:r>
      <w:r w:rsidRPr="002F1309">
        <w:rPr>
          <w:b/>
          <w:bCs/>
          <w:iCs/>
        </w:rPr>
        <w:t>25% z hodnoty dodatočných výdavkov vychádzajúcich zo zmien zmluvy.</w:t>
      </w:r>
    </w:p>
    <w:p w:rsidR="00D63D17" w:rsidRDefault="00D63D17" w:rsidP="00CB4C57">
      <w:pPr>
        <w:spacing w:before="120" w:after="120"/>
        <w:jc w:val="both"/>
        <w:rPr>
          <w:i/>
          <w:iCs/>
        </w:rPr>
      </w:pPr>
    </w:p>
    <w:p w:rsidR="00D63D17" w:rsidRDefault="00D63D17" w:rsidP="00CB4C57">
      <w:pPr>
        <w:spacing w:before="120" w:after="120"/>
        <w:jc w:val="both"/>
        <w:rPr>
          <w:i/>
          <w:iCs/>
        </w:rPr>
      </w:pPr>
    </w:p>
    <w:p w:rsidR="00CB4C57" w:rsidRPr="002F1309" w:rsidRDefault="008A22D2" w:rsidP="002F1309">
      <w:pPr>
        <w:pStyle w:val="Nadpis2"/>
        <w:numPr>
          <w:ilvl w:val="0"/>
          <w:numId w:val="28"/>
        </w:numPr>
        <w:ind w:left="426" w:hanging="426"/>
        <w:rPr>
          <w:sz w:val="32"/>
          <w:szCs w:val="32"/>
        </w:rPr>
      </w:pPr>
      <w:bookmarkStart w:id="15" w:name="_Toc118454443"/>
      <w:bookmarkStart w:id="16" w:name="_Toc118454444"/>
      <w:bookmarkStart w:id="17" w:name="_Toc118454445"/>
      <w:bookmarkStart w:id="18" w:name="_Toc118454446"/>
      <w:bookmarkStart w:id="19" w:name="_Toc118454447"/>
      <w:bookmarkStart w:id="20" w:name="_Toc118454448"/>
      <w:bookmarkStart w:id="21" w:name="_Toc118454449"/>
      <w:bookmarkStart w:id="22" w:name="_Toc118454450"/>
      <w:bookmarkStart w:id="23" w:name="_Toc118454451"/>
      <w:bookmarkStart w:id="24" w:name="_Toc118454452"/>
      <w:bookmarkStart w:id="25" w:name="_Toc118454453"/>
      <w:bookmarkStart w:id="26" w:name="_Toc118454454"/>
      <w:bookmarkStart w:id="27" w:name="_Toc118454455"/>
      <w:bookmarkStart w:id="28" w:name="_Toc118454456"/>
      <w:bookmarkStart w:id="29" w:name="_Toc118454457"/>
      <w:bookmarkStart w:id="30" w:name="_Toc118454458"/>
      <w:bookmarkStart w:id="31" w:name="_Toc118454459"/>
      <w:bookmarkStart w:id="32" w:name="_Toc118454460"/>
      <w:bookmarkStart w:id="33" w:name="_Toc118454461"/>
      <w:bookmarkStart w:id="34" w:name="_Toc118454462"/>
      <w:bookmarkStart w:id="35" w:name="_Toc118454463"/>
      <w:bookmarkStart w:id="36" w:name="_Toc118454464"/>
      <w:bookmarkStart w:id="37" w:name="_Toc118454465"/>
      <w:bookmarkStart w:id="38" w:name="_Toc118454466"/>
      <w:bookmarkStart w:id="39" w:name="_Toc118454467"/>
      <w:bookmarkStart w:id="40" w:name="_Toc118454468"/>
      <w:bookmarkStart w:id="41" w:name="_Toc137108292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2F1309">
        <w:rPr>
          <w:sz w:val="32"/>
          <w:szCs w:val="32"/>
        </w:rPr>
        <w:lastRenderedPageBreak/>
        <w:t>Prílohy</w:t>
      </w:r>
      <w:bookmarkEnd w:id="41"/>
    </w:p>
    <w:p w:rsidR="008A22D2" w:rsidRDefault="002B7290" w:rsidP="00D84509">
      <w:pPr>
        <w:pStyle w:val="Odsekzoznamu"/>
        <w:numPr>
          <w:ilvl w:val="0"/>
          <w:numId w:val="10"/>
        </w:numPr>
        <w:spacing w:before="120" w:after="120"/>
        <w:ind w:left="426" w:hanging="426"/>
        <w:jc w:val="both"/>
      </w:pPr>
      <w:r>
        <w:t xml:space="preserve">Vzor </w:t>
      </w:r>
      <w:r w:rsidR="005F7C35">
        <w:t xml:space="preserve">- </w:t>
      </w:r>
      <w:r w:rsidR="008A22D2">
        <w:t xml:space="preserve">Dodatok k zmluve o poskytnutí NFP (poskytnutie dodatočného príspevku) </w:t>
      </w:r>
    </w:p>
    <w:p w:rsidR="005D7886" w:rsidRDefault="00EF2CCF" w:rsidP="005D7886">
      <w:pPr>
        <w:pStyle w:val="Odsekzoznamu"/>
        <w:numPr>
          <w:ilvl w:val="0"/>
          <w:numId w:val="10"/>
        </w:numPr>
        <w:spacing w:before="120" w:after="120"/>
        <w:ind w:left="426" w:hanging="426"/>
        <w:jc w:val="both"/>
      </w:pPr>
      <w:r>
        <w:t>Ž</w:t>
      </w:r>
      <w:r w:rsidRPr="002B7E43">
        <w:t>iados</w:t>
      </w:r>
      <w:r w:rsidR="005F7C35">
        <w:t>ť</w:t>
      </w:r>
      <w:r w:rsidRPr="002B7E43">
        <w:t xml:space="preserve"> o povolenie vykonania zmeny Zmluvy o poskytnutí NFP</w:t>
      </w:r>
      <w:r>
        <w:t xml:space="preserve"> formou poskytnutia dodatočného príspevku</w:t>
      </w:r>
    </w:p>
    <w:p w:rsidR="004A464F" w:rsidRPr="00A714D0" w:rsidRDefault="00530A6A" w:rsidP="000064E4">
      <w:pPr>
        <w:pStyle w:val="Odsekzoznamu"/>
        <w:numPr>
          <w:ilvl w:val="0"/>
          <w:numId w:val="10"/>
        </w:numPr>
        <w:spacing w:before="120" w:after="120"/>
        <w:ind w:left="426" w:hanging="426"/>
        <w:jc w:val="both"/>
      </w:pPr>
      <w:r w:rsidRPr="00530A6A">
        <w:t>Tabuľka hodnotiacich kôl výziev, ktoré splnili kritéri</w:t>
      </w:r>
      <w:r w:rsidR="002B7290">
        <w:t>á</w:t>
      </w:r>
      <w:r w:rsidRPr="00530A6A">
        <w:t xml:space="preserve"> v rámci bodu </w:t>
      </w:r>
      <w:r w:rsidR="005A71BF">
        <w:t>2</w:t>
      </w:r>
      <w:r w:rsidRPr="00530A6A">
        <w:t>.1. usmernenia</w:t>
      </w:r>
    </w:p>
    <w:sectPr w:rsidR="004A464F" w:rsidRPr="00A714D0" w:rsidSect="000064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C4" w:rsidRDefault="00A736C4" w:rsidP="000E5C18">
      <w:pPr>
        <w:spacing w:after="0" w:line="240" w:lineRule="auto"/>
      </w:pPr>
      <w:r>
        <w:separator/>
      </w:r>
    </w:p>
  </w:endnote>
  <w:endnote w:type="continuationSeparator" w:id="0">
    <w:p w:rsidR="00A736C4" w:rsidRDefault="00A736C4" w:rsidP="000E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922368"/>
      <w:docPartObj>
        <w:docPartGallery w:val="Page Numbers (Bottom of Page)"/>
        <w:docPartUnique/>
      </w:docPartObj>
    </w:sdtPr>
    <w:sdtEndPr/>
    <w:sdtContent>
      <w:p w:rsidR="00027121" w:rsidRDefault="0002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A4D">
          <w:rPr>
            <w:noProof/>
          </w:rPr>
          <w:t>12</w:t>
        </w:r>
        <w:r>
          <w:fldChar w:fldCharType="end"/>
        </w:r>
      </w:p>
    </w:sdtContent>
  </w:sdt>
  <w:p w:rsidR="00027121" w:rsidRDefault="0002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C4" w:rsidRDefault="00A736C4" w:rsidP="000E5C18">
      <w:pPr>
        <w:spacing w:after="0" w:line="240" w:lineRule="auto"/>
      </w:pPr>
      <w:r>
        <w:separator/>
      </w:r>
    </w:p>
  </w:footnote>
  <w:footnote w:type="continuationSeparator" w:id="0">
    <w:p w:rsidR="00A736C4" w:rsidRDefault="00A736C4" w:rsidP="000E5C18">
      <w:pPr>
        <w:spacing w:after="0" w:line="240" w:lineRule="auto"/>
      </w:pPr>
      <w:r>
        <w:continuationSeparator/>
      </w:r>
    </w:p>
  </w:footnote>
  <w:footnote w:id="1">
    <w:p w:rsidR="000E5C18" w:rsidRDefault="000E5C18" w:rsidP="000E5C1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E5C18">
        <w:t>Napríklad § 19 ods. 3 zákona č. 523/2004 Z. z. v znení neskorších predpisov, zákon č. 343/2015 Z. z. v znení neskorších predpisov, zákon č. 357/2015 Z. z. v znení neskorších predpisov.</w:t>
      </w:r>
    </w:p>
  </w:footnote>
  <w:footnote w:id="2">
    <w:p w:rsidR="008C564E" w:rsidRDefault="008C564E" w:rsidP="000064E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064E4">
        <w:t>Národná stratégia vychádza z Dohovoru OSN o právach osôb so zdravotným postihnutím a jeho Opčného protokolu a zároveň reflektuje aj ďalšie dokumenty OSN, napr. v oblasti seniorov sú významné Princípy OSN vo vzťahu k starším osobám.</w:t>
      </w:r>
    </w:p>
  </w:footnote>
  <w:footnote w:id="3">
    <w:p w:rsidR="00F43DF9" w:rsidRDefault="00F43DF9" w:rsidP="00F43DF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Dodatočným príspevkom nie je možné navýšiť finančné a percentuálne limity pre vybrané typy výdavkov uvedené v prílohe č. 2. b, Príručky pre žiadateľa IROP </w:t>
      </w:r>
    </w:p>
  </w:footnote>
  <w:footnote w:id="4">
    <w:p w:rsidR="00DB05A7" w:rsidRDefault="00DB05A7" w:rsidP="00733B6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E65627">
        <w:t>A</w:t>
      </w:r>
      <w:r w:rsidR="00980C22">
        <w:t>k prijímateľ</w:t>
      </w:r>
      <w:r w:rsidR="00E65627">
        <w:t>,</w:t>
      </w:r>
      <w:r w:rsidR="00980C22">
        <w:t xml:space="preserve"> má reálne </w:t>
      </w:r>
      <w:r w:rsidR="00E65627">
        <w:t>na</w:t>
      </w:r>
      <w:r w:rsidR="00980C22">
        <w:t>výšenie výdavkov</w:t>
      </w:r>
      <w:r w:rsidR="00E65627">
        <w:t xml:space="preserve"> hlavnej aktivity projektu</w:t>
      </w:r>
      <w:r w:rsidR="00980C22">
        <w:t xml:space="preserve"> v rozpočte </w:t>
      </w:r>
      <w:r w:rsidR="00E65627">
        <w:t>o</w:t>
      </w:r>
      <w:r w:rsidR="00980C22">
        <w:t xml:space="preserve"> 40% sumy uvedenej v Rozhodnutí o schválení ŽoNFP</w:t>
      </w:r>
      <w:r w:rsidR="00E65627">
        <w:t>,</w:t>
      </w:r>
      <w:r w:rsidR="00980C22">
        <w:t xml:space="preserve"> RO poskytne pri</w:t>
      </w:r>
      <w:r w:rsidR="00E65627">
        <w:t xml:space="preserve">jímateľovi dodatočný príspevok na hlavné </w:t>
      </w:r>
      <w:r w:rsidR="00DB21BB">
        <w:t xml:space="preserve">aktivity projektu </w:t>
      </w:r>
      <w:r w:rsidR="00980C22">
        <w:t xml:space="preserve">vo výške 20% COV. Z uvedeného príkladu </w:t>
      </w:r>
      <w:r w:rsidR="00E65627">
        <w:t>vyplýva</w:t>
      </w:r>
      <w:r w:rsidR="001526F1">
        <w:t xml:space="preserve">, že aj v týchto prípadoch si prijímatelia </w:t>
      </w:r>
      <w:r w:rsidR="00980C22">
        <w:t>môž</w:t>
      </w:r>
      <w:r w:rsidR="001526F1">
        <w:t>u</w:t>
      </w:r>
      <w:r w:rsidR="00980C22">
        <w:t xml:space="preserve"> požiadať o</w:t>
      </w:r>
      <w:r w:rsidR="001526F1">
        <w:t> poskytnutie dodatočného</w:t>
      </w:r>
      <w:r w:rsidR="00980C22">
        <w:t xml:space="preserve"> príspev</w:t>
      </w:r>
      <w:r w:rsidR="001526F1">
        <w:t>ku</w:t>
      </w:r>
      <w:r w:rsidR="00980C22">
        <w:t xml:space="preserve"> a čiastočne dofinancovať hlavné aktivity projektu.  </w:t>
      </w:r>
    </w:p>
  </w:footnote>
  <w:footnote w:id="5">
    <w:p w:rsidR="005F4685" w:rsidRDefault="005F46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</w:t>
      </w:r>
      <w:r w:rsidR="001526F1" w:rsidRPr="005F4685">
        <w:t>erejn</w:t>
      </w:r>
      <w:r>
        <w:t>é</w:t>
      </w:r>
      <w:r w:rsidR="001526F1" w:rsidRPr="005F4685">
        <w:t xml:space="preserve"> obstarávan</w:t>
      </w:r>
      <w:r>
        <w:t>ie</w:t>
      </w:r>
      <w:r w:rsidR="001526F1" w:rsidRPr="005F4685">
        <w:t xml:space="preserve"> </w:t>
      </w:r>
      <w:r w:rsidR="00EF073C">
        <w:t>na hlavné aktivity projektu</w:t>
      </w:r>
    </w:p>
  </w:footnote>
  <w:footnote w:id="6">
    <w:p w:rsidR="00F62FE1" w:rsidRDefault="00F62FE1" w:rsidP="00A7248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Predmetné usmernenie ÚVO je </w:t>
      </w:r>
      <w:r w:rsidR="0013148B">
        <w:t>zverejnené na webovom sídle</w:t>
      </w:r>
      <w:r>
        <w:t xml:space="preserve"> (</w:t>
      </w:r>
      <w:hyperlink r:id="rId1" w:history="1">
        <w:r w:rsidRPr="00934C68">
          <w:rPr>
            <w:rStyle w:val="Hypertextovprepojenie"/>
          </w:rPr>
          <w:t>https://www.uvo.gov.sk/legislativametodika-dohlad/metodicke-usmernenia/vseobecne-metodicke-usmernenia-zakon-c-3432015-z-z--51e.html?id=4618</w:t>
        </w:r>
      </w:hyperlink>
      <w:r>
        <w:t>).</w:t>
      </w:r>
    </w:p>
  </w:footnote>
  <w:footnote w:id="7">
    <w:p w:rsidR="00F62FE1" w:rsidRDefault="00F62FE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Predmetné usmernenie ÚVO je </w:t>
      </w:r>
      <w:r w:rsidR="0013148B">
        <w:t xml:space="preserve">zverejnené na webovom sídle </w:t>
      </w:r>
      <w:r>
        <w:t>(</w:t>
      </w:r>
      <w:hyperlink r:id="rId2" w:history="1">
        <w:r w:rsidRPr="00934C68">
          <w:rPr>
            <w:rStyle w:val="Hypertextovprepojenie"/>
          </w:rPr>
          <w:t>https://www.uvo.gov.sk/legislativametodika-dohlad/metodicke-usmernenia/vseobecne-metodicke-usmernenia-zakon-c-3432015-z-z--51e.html?id=2505</w:t>
        </w:r>
      </w:hyperlink>
      <w:r>
        <w:t xml:space="preserve">) </w:t>
      </w:r>
    </w:p>
  </w:footnote>
  <w:footnote w:id="8">
    <w:p w:rsidR="00F62FE1" w:rsidRDefault="00F62FE1" w:rsidP="000064E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63D17">
        <w:t>Predmetný dokument je zverejnený na webovom sídle (</w:t>
      </w:r>
      <w:hyperlink r:id="rId3" w:history="1">
        <w:r w:rsidR="00A7248F" w:rsidRPr="00716C1E">
          <w:rPr>
            <w:rStyle w:val="Hypertextovprepojenie"/>
          </w:rPr>
          <w:t>https://www.mindop.sk/ministerstvo-1/doprava-3/institut-dopravnej-politiky/indexacne-vzorce</w:t>
        </w:r>
      </w:hyperlink>
      <w:r w:rsidR="00D63D17">
        <w:t>)</w:t>
      </w:r>
    </w:p>
  </w:footnote>
  <w:footnote w:id="9">
    <w:p w:rsidR="000A1746" w:rsidRDefault="000A174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A1746">
        <w:t>Príručka je zverejnená na webovom sídle (</w:t>
      </w:r>
      <w:hyperlink r:id="rId4" w:history="1">
        <w:r w:rsidRPr="000A1746">
          <w:rPr>
            <w:rStyle w:val="Hypertextovprepojenie"/>
          </w:rPr>
          <w:t>https://partnerskadohoda.gov.sk/zakladne-dokumenty/</w:t>
        </w:r>
      </w:hyperlink>
      <w:r w:rsidRPr="000A1746">
        <w:t>).</w:t>
      </w:r>
    </w:p>
  </w:footnote>
  <w:footnote w:id="10">
    <w:p w:rsidR="002313AA" w:rsidRDefault="002313AA" w:rsidP="002F130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Metodický pokyn CKO č. 5</w:t>
      </w:r>
      <w:r w:rsidRPr="002313AA">
        <w:t xml:space="preserve"> je zverejnen</w:t>
      </w:r>
      <w:r>
        <w:t>ý</w:t>
      </w:r>
      <w:r w:rsidRPr="002313AA">
        <w:t xml:space="preserve"> na webovom sídle</w:t>
      </w:r>
      <w:r>
        <w:t xml:space="preserve"> (</w:t>
      </w:r>
      <w:hyperlink r:id="rId5" w:history="1">
        <w:r w:rsidRPr="003B5DAB">
          <w:rPr>
            <w:rStyle w:val="Hypertextovprepojenie"/>
          </w:rPr>
          <w:t>https://partnerskadohoda.gov.sk/metodicke-pokyny-cko-a-uv-sr/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A9" w:rsidRDefault="007021A9" w:rsidP="007021A9">
    <w:pPr>
      <w:pStyle w:val="Hlavika"/>
      <w:tabs>
        <w:tab w:val="left" w:pos="927"/>
        <w:tab w:val="left" w:pos="2415"/>
      </w:tabs>
      <w:rPr>
        <w:rFonts w:ascii="Arial Narrow" w:hAnsi="Arial Narrow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639879F" wp14:editId="3814990F">
          <wp:simplePos x="0" y="0"/>
          <wp:positionH relativeFrom="column">
            <wp:posOffset>-106045</wp:posOffset>
          </wp:positionH>
          <wp:positionV relativeFrom="paragraph">
            <wp:posOffset>117475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9409411" wp14:editId="0D7D0BD2">
          <wp:simplePos x="0" y="0"/>
          <wp:positionH relativeFrom="column">
            <wp:posOffset>4119880</wp:posOffset>
          </wp:positionH>
          <wp:positionV relativeFrom="paragraph">
            <wp:posOffset>169545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noProof/>
        <w:sz w:val="20"/>
        <w:szCs w:val="20"/>
        <w:lang w:eastAsia="sk-SK"/>
      </w:rPr>
      <w:drawing>
        <wp:inline distT="0" distB="0" distL="0" distR="0" wp14:anchorId="113B413F" wp14:editId="2942CC14">
          <wp:extent cx="2400300" cy="6381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  <w:p w:rsidR="00027121" w:rsidRDefault="00027121" w:rsidP="00027121">
    <w:pPr>
      <w:pStyle w:val="Hlavika"/>
    </w:pPr>
  </w:p>
  <w:p w:rsidR="00027121" w:rsidRDefault="000271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155"/>
    <w:multiLevelType w:val="hybridMultilevel"/>
    <w:tmpl w:val="2C1229A2"/>
    <w:lvl w:ilvl="0" w:tplc="80A00E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2D0808"/>
    <w:multiLevelType w:val="hybridMultilevel"/>
    <w:tmpl w:val="8A14A6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8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A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C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722F89"/>
    <w:multiLevelType w:val="hybridMultilevel"/>
    <w:tmpl w:val="12861CC8"/>
    <w:lvl w:ilvl="0" w:tplc="64ACA6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E31C5B"/>
    <w:multiLevelType w:val="hybridMultilevel"/>
    <w:tmpl w:val="1CC407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6B6"/>
    <w:multiLevelType w:val="hybridMultilevel"/>
    <w:tmpl w:val="799857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9460D"/>
    <w:multiLevelType w:val="hybridMultilevel"/>
    <w:tmpl w:val="31A266BC"/>
    <w:lvl w:ilvl="0" w:tplc="178EF516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30720D4"/>
    <w:multiLevelType w:val="hybridMultilevel"/>
    <w:tmpl w:val="3C96B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BED"/>
    <w:multiLevelType w:val="hybridMultilevel"/>
    <w:tmpl w:val="4BEE427C"/>
    <w:lvl w:ilvl="0" w:tplc="041B000F">
      <w:start w:val="1"/>
      <w:numFmt w:val="decimal"/>
      <w:lvlText w:val="%1.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A0A275E"/>
    <w:multiLevelType w:val="hybridMultilevel"/>
    <w:tmpl w:val="BDB8E802"/>
    <w:lvl w:ilvl="0" w:tplc="49AA6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40952"/>
    <w:multiLevelType w:val="hybridMultilevel"/>
    <w:tmpl w:val="9B908576"/>
    <w:lvl w:ilvl="0" w:tplc="178EF516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1" w:tplc="8F565FC0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AB763DB"/>
    <w:multiLevelType w:val="hybridMultilevel"/>
    <w:tmpl w:val="491AE07E"/>
    <w:lvl w:ilvl="0" w:tplc="56A0AB12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10CD"/>
    <w:multiLevelType w:val="hybridMultilevel"/>
    <w:tmpl w:val="81924AB4"/>
    <w:lvl w:ilvl="0" w:tplc="913C44F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22536D"/>
    <w:multiLevelType w:val="hybridMultilevel"/>
    <w:tmpl w:val="231E7CAC"/>
    <w:lvl w:ilvl="0" w:tplc="38162F42">
      <w:start w:val="4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32005"/>
    <w:multiLevelType w:val="hybridMultilevel"/>
    <w:tmpl w:val="2AE03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B9C"/>
    <w:multiLevelType w:val="hybridMultilevel"/>
    <w:tmpl w:val="674AE4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C2BCE"/>
    <w:multiLevelType w:val="hybridMultilevel"/>
    <w:tmpl w:val="78EED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5EB"/>
    <w:multiLevelType w:val="hybridMultilevel"/>
    <w:tmpl w:val="0D1C5B6C"/>
    <w:lvl w:ilvl="0" w:tplc="C6983C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984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8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2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C23E1D"/>
    <w:multiLevelType w:val="hybridMultilevel"/>
    <w:tmpl w:val="8C225940"/>
    <w:lvl w:ilvl="0" w:tplc="3D94B6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C1ADF"/>
    <w:multiLevelType w:val="hybridMultilevel"/>
    <w:tmpl w:val="559461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215B"/>
    <w:multiLevelType w:val="hybridMultilevel"/>
    <w:tmpl w:val="2FC035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92E8D"/>
    <w:multiLevelType w:val="hybridMultilevel"/>
    <w:tmpl w:val="E166AB2E"/>
    <w:lvl w:ilvl="0" w:tplc="9718E2C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563C1" w:themeColor="hyperlink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48133883"/>
    <w:multiLevelType w:val="hybridMultilevel"/>
    <w:tmpl w:val="1444B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6657F"/>
    <w:multiLevelType w:val="hybridMultilevel"/>
    <w:tmpl w:val="EEB65A62"/>
    <w:lvl w:ilvl="0" w:tplc="E516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6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8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6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6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26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9A5AC5"/>
    <w:multiLevelType w:val="hybridMultilevel"/>
    <w:tmpl w:val="1DE678FC"/>
    <w:lvl w:ilvl="0" w:tplc="BA6E9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2D61B4"/>
    <w:multiLevelType w:val="hybridMultilevel"/>
    <w:tmpl w:val="FFCE12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054B3"/>
    <w:multiLevelType w:val="hybridMultilevel"/>
    <w:tmpl w:val="2FC035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75516"/>
    <w:multiLevelType w:val="hybridMultilevel"/>
    <w:tmpl w:val="DC52D404"/>
    <w:lvl w:ilvl="0" w:tplc="54246E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C4824"/>
    <w:multiLevelType w:val="hybridMultilevel"/>
    <w:tmpl w:val="A3CA2D3E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6043F4"/>
    <w:multiLevelType w:val="hybridMultilevel"/>
    <w:tmpl w:val="5E381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F4A3B"/>
    <w:multiLevelType w:val="hybridMultilevel"/>
    <w:tmpl w:val="5C164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F2390"/>
    <w:multiLevelType w:val="hybridMultilevel"/>
    <w:tmpl w:val="9D429E1A"/>
    <w:lvl w:ilvl="0" w:tplc="67E424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00E3490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  <w:color w:val="auto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0B5527"/>
    <w:multiLevelType w:val="hybridMultilevel"/>
    <w:tmpl w:val="DBCA8CA6"/>
    <w:lvl w:ilvl="0" w:tplc="4FCE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8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3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A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C2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A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4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11"/>
  </w:num>
  <w:num w:numId="5">
    <w:abstractNumId w:val="17"/>
  </w:num>
  <w:num w:numId="6">
    <w:abstractNumId w:val="18"/>
  </w:num>
  <w:num w:numId="7">
    <w:abstractNumId w:val="23"/>
  </w:num>
  <w:num w:numId="8">
    <w:abstractNumId w:val="10"/>
  </w:num>
  <w:num w:numId="9">
    <w:abstractNumId w:val="2"/>
  </w:num>
  <w:num w:numId="10">
    <w:abstractNumId w:val="21"/>
  </w:num>
  <w:num w:numId="11">
    <w:abstractNumId w:val="20"/>
  </w:num>
  <w:num w:numId="12">
    <w:abstractNumId w:val="0"/>
  </w:num>
  <w:num w:numId="13">
    <w:abstractNumId w:val="19"/>
  </w:num>
  <w:num w:numId="14">
    <w:abstractNumId w:val="30"/>
  </w:num>
  <w:num w:numId="15">
    <w:abstractNumId w:val="9"/>
  </w:num>
  <w:num w:numId="16">
    <w:abstractNumId w:val="5"/>
  </w:num>
  <w:num w:numId="17">
    <w:abstractNumId w:val="27"/>
  </w:num>
  <w:num w:numId="18">
    <w:abstractNumId w:val="8"/>
  </w:num>
  <w:num w:numId="19">
    <w:abstractNumId w:val="31"/>
  </w:num>
  <w:num w:numId="20">
    <w:abstractNumId w:val="4"/>
  </w:num>
  <w:num w:numId="21">
    <w:abstractNumId w:val="14"/>
  </w:num>
  <w:num w:numId="22">
    <w:abstractNumId w:val="1"/>
  </w:num>
  <w:num w:numId="23">
    <w:abstractNumId w:val="22"/>
  </w:num>
  <w:num w:numId="24">
    <w:abstractNumId w:val="16"/>
  </w:num>
  <w:num w:numId="25">
    <w:abstractNumId w:val="12"/>
  </w:num>
  <w:num w:numId="26">
    <w:abstractNumId w:val="15"/>
  </w:num>
  <w:num w:numId="27">
    <w:abstractNumId w:val="29"/>
  </w:num>
  <w:num w:numId="28">
    <w:abstractNumId w:val="28"/>
  </w:num>
  <w:num w:numId="29">
    <w:abstractNumId w:val="13"/>
  </w:num>
  <w:num w:numId="30">
    <w:abstractNumId w:val="3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0"/>
    <w:rsid w:val="000064E4"/>
    <w:rsid w:val="00017057"/>
    <w:rsid w:val="0002063C"/>
    <w:rsid w:val="00021A10"/>
    <w:rsid w:val="0002299F"/>
    <w:rsid w:val="00027121"/>
    <w:rsid w:val="00046A1D"/>
    <w:rsid w:val="00047C36"/>
    <w:rsid w:val="000527BB"/>
    <w:rsid w:val="00056A75"/>
    <w:rsid w:val="00071110"/>
    <w:rsid w:val="00074EB1"/>
    <w:rsid w:val="00077761"/>
    <w:rsid w:val="00090618"/>
    <w:rsid w:val="000A1746"/>
    <w:rsid w:val="000A7B05"/>
    <w:rsid w:val="000E2E35"/>
    <w:rsid w:val="000E5C18"/>
    <w:rsid w:val="000E6A58"/>
    <w:rsid w:val="000F2616"/>
    <w:rsid w:val="000F4130"/>
    <w:rsid w:val="000F6F22"/>
    <w:rsid w:val="00124E0D"/>
    <w:rsid w:val="0013148B"/>
    <w:rsid w:val="00132AB8"/>
    <w:rsid w:val="00136653"/>
    <w:rsid w:val="00142193"/>
    <w:rsid w:val="00143136"/>
    <w:rsid w:val="00144243"/>
    <w:rsid w:val="001526F1"/>
    <w:rsid w:val="00155D5D"/>
    <w:rsid w:val="00155E5B"/>
    <w:rsid w:val="00156968"/>
    <w:rsid w:val="00167C4F"/>
    <w:rsid w:val="001813E9"/>
    <w:rsid w:val="001824E8"/>
    <w:rsid w:val="00186E11"/>
    <w:rsid w:val="001B11D4"/>
    <w:rsid w:val="001B5916"/>
    <w:rsid w:val="001B7628"/>
    <w:rsid w:val="001B79AD"/>
    <w:rsid w:val="001C42F8"/>
    <w:rsid w:val="001D4D4C"/>
    <w:rsid w:val="001E6018"/>
    <w:rsid w:val="00201B62"/>
    <w:rsid w:val="00207342"/>
    <w:rsid w:val="00212C1F"/>
    <w:rsid w:val="00213706"/>
    <w:rsid w:val="00225882"/>
    <w:rsid w:val="002313AA"/>
    <w:rsid w:val="00231506"/>
    <w:rsid w:val="002456E2"/>
    <w:rsid w:val="002460FD"/>
    <w:rsid w:val="0029398A"/>
    <w:rsid w:val="002B238F"/>
    <w:rsid w:val="002B32EE"/>
    <w:rsid w:val="002B7290"/>
    <w:rsid w:val="002B7E43"/>
    <w:rsid w:val="002C7CC5"/>
    <w:rsid w:val="002D0D89"/>
    <w:rsid w:val="002E06EA"/>
    <w:rsid w:val="002E5736"/>
    <w:rsid w:val="002F1309"/>
    <w:rsid w:val="002F3544"/>
    <w:rsid w:val="002F79E4"/>
    <w:rsid w:val="003023AE"/>
    <w:rsid w:val="00311012"/>
    <w:rsid w:val="00312B22"/>
    <w:rsid w:val="00321748"/>
    <w:rsid w:val="00330B62"/>
    <w:rsid w:val="00346471"/>
    <w:rsid w:val="00350538"/>
    <w:rsid w:val="00353EAB"/>
    <w:rsid w:val="00354A4D"/>
    <w:rsid w:val="003555AF"/>
    <w:rsid w:val="0036097F"/>
    <w:rsid w:val="00390A8E"/>
    <w:rsid w:val="003A5765"/>
    <w:rsid w:val="003B71AF"/>
    <w:rsid w:val="003C3E1C"/>
    <w:rsid w:val="003F23B8"/>
    <w:rsid w:val="003F4F9E"/>
    <w:rsid w:val="003F7B40"/>
    <w:rsid w:val="00405A1E"/>
    <w:rsid w:val="004205E8"/>
    <w:rsid w:val="004229CF"/>
    <w:rsid w:val="004229DC"/>
    <w:rsid w:val="00432A99"/>
    <w:rsid w:val="00432FDD"/>
    <w:rsid w:val="00437F34"/>
    <w:rsid w:val="00450945"/>
    <w:rsid w:val="0045661B"/>
    <w:rsid w:val="00457A08"/>
    <w:rsid w:val="004606CB"/>
    <w:rsid w:val="00483D16"/>
    <w:rsid w:val="00485AE3"/>
    <w:rsid w:val="004A099A"/>
    <w:rsid w:val="004A464F"/>
    <w:rsid w:val="004B73F8"/>
    <w:rsid w:val="004C4FBC"/>
    <w:rsid w:val="004D0970"/>
    <w:rsid w:val="004D5C0B"/>
    <w:rsid w:val="004E0758"/>
    <w:rsid w:val="004F0C71"/>
    <w:rsid w:val="004F0F67"/>
    <w:rsid w:val="004F0FD2"/>
    <w:rsid w:val="004F2C18"/>
    <w:rsid w:val="004F4718"/>
    <w:rsid w:val="00501C92"/>
    <w:rsid w:val="00503876"/>
    <w:rsid w:val="005135E6"/>
    <w:rsid w:val="00513DCD"/>
    <w:rsid w:val="005163F7"/>
    <w:rsid w:val="00530A6A"/>
    <w:rsid w:val="00537F7F"/>
    <w:rsid w:val="00546979"/>
    <w:rsid w:val="00551387"/>
    <w:rsid w:val="00552934"/>
    <w:rsid w:val="00560784"/>
    <w:rsid w:val="005739B1"/>
    <w:rsid w:val="005828DD"/>
    <w:rsid w:val="005836FE"/>
    <w:rsid w:val="0058493F"/>
    <w:rsid w:val="005A71BF"/>
    <w:rsid w:val="005C7B61"/>
    <w:rsid w:val="005D7886"/>
    <w:rsid w:val="005F4685"/>
    <w:rsid w:val="005F4ADA"/>
    <w:rsid w:val="005F6FEA"/>
    <w:rsid w:val="005F7C35"/>
    <w:rsid w:val="00600D7C"/>
    <w:rsid w:val="0060111F"/>
    <w:rsid w:val="00635B5B"/>
    <w:rsid w:val="00656198"/>
    <w:rsid w:val="0066576C"/>
    <w:rsid w:val="006A4559"/>
    <w:rsid w:val="006A5630"/>
    <w:rsid w:val="006A5EDB"/>
    <w:rsid w:val="006B51A0"/>
    <w:rsid w:val="006C1F23"/>
    <w:rsid w:val="006C24C8"/>
    <w:rsid w:val="006C7E93"/>
    <w:rsid w:val="006D2049"/>
    <w:rsid w:val="006D6874"/>
    <w:rsid w:val="006E0EBB"/>
    <w:rsid w:val="006E18CD"/>
    <w:rsid w:val="006F325D"/>
    <w:rsid w:val="006F6F18"/>
    <w:rsid w:val="007021A9"/>
    <w:rsid w:val="00707209"/>
    <w:rsid w:val="007166C6"/>
    <w:rsid w:val="00716C23"/>
    <w:rsid w:val="00733B6F"/>
    <w:rsid w:val="00734A85"/>
    <w:rsid w:val="0073699E"/>
    <w:rsid w:val="007609F5"/>
    <w:rsid w:val="00762497"/>
    <w:rsid w:val="00764926"/>
    <w:rsid w:val="00766280"/>
    <w:rsid w:val="00775128"/>
    <w:rsid w:val="007764C9"/>
    <w:rsid w:val="00782897"/>
    <w:rsid w:val="00795085"/>
    <w:rsid w:val="007952EE"/>
    <w:rsid w:val="00796CD1"/>
    <w:rsid w:val="007977B6"/>
    <w:rsid w:val="007B3FA7"/>
    <w:rsid w:val="007C2DE5"/>
    <w:rsid w:val="007C305C"/>
    <w:rsid w:val="007D391D"/>
    <w:rsid w:val="007D7DC3"/>
    <w:rsid w:val="007F1AF6"/>
    <w:rsid w:val="00800D9F"/>
    <w:rsid w:val="0082758A"/>
    <w:rsid w:val="008408DA"/>
    <w:rsid w:val="0086150E"/>
    <w:rsid w:val="00864279"/>
    <w:rsid w:val="00866785"/>
    <w:rsid w:val="00872B2D"/>
    <w:rsid w:val="008734BF"/>
    <w:rsid w:val="008736E6"/>
    <w:rsid w:val="00883BAE"/>
    <w:rsid w:val="00884E45"/>
    <w:rsid w:val="008864F3"/>
    <w:rsid w:val="00887439"/>
    <w:rsid w:val="00893911"/>
    <w:rsid w:val="00894ECB"/>
    <w:rsid w:val="008A22D2"/>
    <w:rsid w:val="008A2C64"/>
    <w:rsid w:val="008A52F4"/>
    <w:rsid w:val="008B72CA"/>
    <w:rsid w:val="008B7FCB"/>
    <w:rsid w:val="008C564E"/>
    <w:rsid w:val="008C7FD1"/>
    <w:rsid w:val="008D4A60"/>
    <w:rsid w:val="008E0094"/>
    <w:rsid w:val="008F71CD"/>
    <w:rsid w:val="00917257"/>
    <w:rsid w:val="00927E81"/>
    <w:rsid w:val="009325A8"/>
    <w:rsid w:val="0093339E"/>
    <w:rsid w:val="00942D61"/>
    <w:rsid w:val="00943803"/>
    <w:rsid w:val="00955B80"/>
    <w:rsid w:val="00973D30"/>
    <w:rsid w:val="00976A60"/>
    <w:rsid w:val="00980C22"/>
    <w:rsid w:val="00983014"/>
    <w:rsid w:val="009875CF"/>
    <w:rsid w:val="00993166"/>
    <w:rsid w:val="009B1FB2"/>
    <w:rsid w:val="009B322D"/>
    <w:rsid w:val="009C1434"/>
    <w:rsid w:val="009C68C1"/>
    <w:rsid w:val="009D66DF"/>
    <w:rsid w:val="009F3E87"/>
    <w:rsid w:val="00A07FCD"/>
    <w:rsid w:val="00A11A26"/>
    <w:rsid w:val="00A133FB"/>
    <w:rsid w:val="00A16609"/>
    <w:rsid w:val="00A239B2"/>
    <w:rsid w:val="00A332B9"/>
    <w:rsid w:val="00A37C84"/>
    <w:rsid w:val="00A54BF1"/>
    <w:rsid w:val="00A668D6"/>
    <w:rsid w:val="00A714D0"/>
    <w:rsid w:val="00A7248F"/>
    <w:rsid w:val="00A736C4"/>
    <w:rsid w:val="00A86C46"/>
    <w:rsid w:val="00AA1119"/>
    <w:rsid w:val="00AB4431"/>
    <w:rsid w:val="00AB7063"/>
    <w:rsid w:val="00AC358F"/>
    <w:rsid w:val="00AD5C68"/>
    <w:rsid w:val="00AF2A54"/>
    <w:rsid w:val="00B031FB"/>
    <w:rsid w:val="00B0727F"/>
    <w:rsid w:val="00B107BC"/>
    <w:rsid w:val="00B32650"/>
    <w:rsid w:val="00B36B3D"/>
    <w:rsid w:val="00B40027"/>
    <w:rsid w:val="00B420A3"/>
    <w:rsid w:val="00B45AD3"/>
    <w:rsid w:val="00B45B73"/>
    <w:rsid w:val="00B70B09"/>
    <w:rsid w:val="00B73ED7"/>
    <w:rsid w:val="00B74034"/>
    <w:rsid w:val="00B816CE"/>
    <w:rsid w:val="00B8271C"/>
    <w:rsid w:val="00B8701A"/>
    <w:rsid w:val="00B911BA"/>
    <w:rsid w:val="00BB16CD"/>
    <w:rsid w:val="00BB1B3D"/>
    <w:rsid w:val="00BB646C"/>
    <w:rsid w:val="00BF2ECE"/>
    <w:rsid w:val="00C2789A"/>
    <w:rsid w:val="00C31A4E"/>
    <w:rsid w:val="00C41062"/>
    <w:rsid w:val="00C42E8A"/>
    <w:rsid w:val="00C5079E"/>
    <w:rsid w:val="00C601D8"/>
    <w:rsid w:val="00C831DA"/>
    <w:rsid w:val="00C83210"/>
    <w:rsid w:val="00C84ABA"/>
    <w:rsid w:val="00C8767C"/>
    <w:rsid w:val="00CA615E"/>
    <w:rsid w:val="00CB0DD6"/>
    <w:rsid w:val="00CB10CA"/>
    <w:rsid w:val="00CB4C57"/>
    <w:rsid w:val="00CC64CC"/>
    <w:rsid w:val="00CC6AB6"/>
    <w:rsid w:val="00CC7775"/>
    <w:rsid w:val="00CD1091"/>
    <w:rsid w:val="00CD6C4B"/>
    <w:rsid w:val="00CE6212"/>
    <w:rsid w:val="00CF6EE2"/>
    <w:rsid w:val="00D07A82"/>
    <w:rsid w:val="00D2121E"/>
    <w:rsid w:val="00D264CA"/>
    <w:rsid w:val="00D32E0D"/>
    <w:rsid w:val="00D5024A"/>
    <w:rsid w:val="00D57543"/>
    <w:rsid w:val="00D6260A"/>
    <w:rsid w:val="00D63D17"/>
    <w:rsid w:val="00D76246"/>
    <w:rsid w:val="00D770C3"/>
    <w:rsid w:val="00D77B46"/>
    <w:rsid w:val="00D84509"/>
    <w:rsid w:val="00D86DAB"/>
    <w:rsid w:val="00D87562"/>
    <w:rsid w:val="00D91133"/>
    <w:rsid w:val="00DA57E9"/>
    <w:rsid w:val="00DB05A7"/>
    <w:rsid w:val="00DB21BB"/>
    <w:rsid w:val="00DD106B"/>
    <w:rsid w:val="00DE6E65"/>
    <w:rsid w:val="00DF2F72"/>
    <w:rsid w:val="00E037EA"/>
    <w:rsid w:val="00E04846"/>
    <w:rsid w:val="00E05111"/>
    <w:rsid w:val="00E07967"/>
    <w:rsid w:val="00E07C8F"/>
    <w:rsid w:val="00E33ED5"/>
    <w:rsid w:val="00E41B1B"/>
    <w:rsid w:val="00E65627"/>
    <w:rsid w:val="00E65CFE"/>
    <w:rsid w:val="00E90173"/>
    <w:rsid w:val="00E94C92"/>
    <w:rsid w:val="00E9608C"/>
    <w:rsid w:val="00EA32A7"/>
    <w:rsid w:val="00EB4173"/>
    <w:rsid w:val="00EB4391"/>
    <w:rsid w:val="00EC5BEF"/>
    <w:rsid w:val="00EC6ED6"/>
    <w:rsid w:val="00ED347B"/>
    <w:rsid w:val="00EE102C"/>
    <w:rsid w:val="00EE158F"/>
    <w:rsid w:val="00EE1801"/>
    <w:rsid w:val="00EF0092"/>
    <w:rsid w:val="00EF073C"/>
    <w:rsid w:val="00EF2CCF"/>
    <w:rsid w:val="00EF3B12"/>
    <w:rsid w:val="00EF580A"/>
    <w:rsid w:val="00F0028A"/>
    <w:rsid w:val="00F01DAF"/>
    <w:rsid w:val="00F02543"/>
    <w:rsid w:val="00F0443F"/>
    <w:rsid w:val="00F10F80"/>
    <w:rsid w:val="00F12197"/>
    <w:rsid w:val="00F20083"/>
    <w:rsid w:val="00F20D08"/>
    <w:rsid w:val="00F4396E"/>
    <w:rsid w:val="00F43DF9"/>
    <w:rsid w:val="00F62FE1"/>
    <w:rsid w:val="00F652D4"/>
    <w:rsid w:val="00F7541F"/>
    <w:rsid w:val="00F87DD7"/>
    <w:rsid w:val="00F926C2"/>
    <w:rsid w:val="00F92C7A"/>
    <w:rsid w:val="00FB3E04"/>
    <w:rsid w:val="00FC2C9B"/>
    <w:rsid w:val="00FC5FC4"/>
    <w:rsid w:val="00FD747B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E8B851D"/>
  <w15:chartTrackingRefBased/>
  <w15:docId w15:val="{C044132D-20C3-48F5-A81E-EE379CC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B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3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1.,Odsek,body,Odsek zoznamu2"/>
    <w:basedOn w:val="Normlny"/>
    <w:link w:val="OdsekzoznamuChar"/>
    <w:uiPriority w:val="34"/>
    <w:qFormat/>
    <w:rsid w:val="00A714D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E5C1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E5C1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E5C1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E5C18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B4C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2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121"/>
  </w:style>
  <w:style w:type="paragraph" w:styleId="Pta">
    <w:name w:val="footer"/>
    <w:basedOn w:val="Normlny"/>
    <w:link w:val="PtaChar"/>
    <w:uiPriority w:val="99"/>
    <w:unhideWhenUsed/>
    <w:rsid w:val="0002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7121"/>
  </w:style>
  <w:style w:type="paragraph" w:customStyle="1" w:styleId="BodyText1">
    <w:name w:val="Body Text1"/>
    <w:qFormat/>
    <w:rsid w:val="0002712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Odsek 1. Char,Odsek Char,body Char,Odsek zoznamu2 Char"/>
    <w:link w:val="Odsekzoznamu"/>
    <w:uiPriority w:val="34"/>
    <w:locked/>
    <w:rsid w:val="00405A1E"/>
  </w:style>
  <w:style w:type="paragraph" w:styleId="Textbubliny">
    <w:name w:val="Balloon Text"/>
    <w:basedOn w:val="Normlny"/>
    <w:link w:val="TextbublinyChar"/>
    <w:uiPriority w:val="99"/>
    <w:semiHidden/>
    <w:unhideWhenUsed/>
    <w:rsid w:val="0007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11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00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00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00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00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0027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AC35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AC35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C358F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AC358F"/>
    <w:pPr>
      <w:spacing w:after="100"/>
      <w:ind w:left="440"/>
    </w:pPr>
    <w:rPr>
      <w:rFonts w:eastAsiaTheme="minorEastAsia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35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zia">
    <w:name w:val="Revision"/>
    <w:hidden/>
    <w:uiPriority w:val="99"/>
    <w:semiHidden/>
    <w:rsid w:val="00927E8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6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4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1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8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p.sk/ministerstvo-1/doprava-3/institut-dopravnej-politiky/indexacne-vzo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ndop.sk/ministerstvo-1/doprava-3/institut-dopravnej-politiky/indexacne-vzorce" TargetMode="External"/><Relationship Id="rId2" Type="http://schemas.openxmlformats.org/officeDocument/2006/relationships/hyperlink" Target="https://www.uvo.gov.sk/legislativametodika-dohlad/metodicke-usmernenia/vseobecne-metodicke-usmernenia-zakon-c-3432015-z-z--51e.html?id=2505" TargetMode="External"/><Relationship Id="rId1" Type="http://schemas.openxmlformats.org/officeDocument/2006/relationships/hyperlink" Target="https://www.uvo.gov.sk/legislativametodika-dohlad/metodicke-usmernenia/vseobecne-metodicke-usmernenia-zakon-c-3432015-z-z--51e.html?id=4618" TargetMode="External"/><Relationship Id="rId5" Type="http://schemas.openxmlformats.org/officeDocument/2006/relationships/hyperlink" Target="https://partnerskadohoda.gov.sk/metodicke-pokyny-cko-a-uv-sr/" TargetMode="External"/><Relationship Id="rId4" Type="http://schemas.openxmlformats.org/officeDocument/2006/relationships/hyperlink" Target="https://partnerskadohoda.gov.sk/zakladne-dokument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66D0-9914-4FD9-831D-09DFECDE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MIRRI</Company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Kurejko, Marcel</dc:creator>
  <cp:keywords/>
  <dc:description/>
  <cp:lastModifiedBy>OM1</cp:lastModifiedBy>
  <cp:revision>56</cp:revision>
  <cp:lastPrinted>2022-11-04T11:24:00Z</cp:lastPrinted>
  <dcterms:created xsi:type="dcterms:W3CDTF">2022-08-09T10:43:00Z</dcterms:created>
  <dcterms:modified xsi:type="dcterms:W3CDTF">2023-07-14T11:51:00Z</dcterms:modified>
</cp:coreProperties>
</file>