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D06B" w14:textId="77777777" w:rsidR="001A252B" w:rsidRPr="0094509A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en-US"/>
        </w:rPr>
      </w:pPr>
      <w:bookmarkStart w:id="0" w:name="_Hlk117590511"/>
      <w:bookmarkStart w:id="1" w:name="_Hlk117590585"/>
    </w:p>
    <w:p w14:paraId="7B9AA1F0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3AE2D4CE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2AEA6EEA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  <w:bookmarkStart w:id="2" w:name="_GoBack"/>
      <w:bookmarkEnd w:id="2"/>
    </w:p>
    <w:p w14:paraId="16162545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04C8094E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29DC42CD" w14:textId="7A94B977" w:rsidR="00F45A2F" w:rsidRPr="00C25003" w:rsidRDefault="00176EF1" w:rsidP="00C22353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>Smernica výkonu</w:t>
      </w:r>
      <w:r w:rsidR="00ED35A9" w:rsidRPr="00ED35A9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 xml:space="preserve"> analýzy rizík</w:t>
      </w:r>
      <w:r w:rsidR="00BA5472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 xml:space="preserve"> a analýzy dopadov</w:t>
      </w:r>
    </w:p>
    <w:p w14:paraId="60738A02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bookmarkEnd w:id="0"/>
    <w:p w14:paraId="08B22A21" w14:textId="6A9D95D5" w:rsidR="006F7654" w:rsidRPr="00C25003" w:rsidRDefault="00F75860" w:rsidP="0077631D">
      <w:pPr>
        <w:pStyle w:val="Zkladntext"/>
        <w:spacing w:before="120"/>
        <w:rPr>
          <w:rFonts w:cs="Times New Roman"/>
          <w:noProof/>
          <w:color w:val="0055A1"/>
          <w:sz w:val="19"/>
          <w:lang w:val="sk-SK"/>
        </w:rPr>
      </w:pPr>
      <w:r w:rsidRPr="00C25003">
        <w:rPr>
          <w:rFonts w:cs="Times New Roman"/>
          <w:noProof/>
          <w:color w:val="0055A1"/>
          <w:lang w:val="sk-SK" w:eastAsia="sk-SK"/>
        </w:rPr>
        <w:drawing>
          <wp:anchor distT="0" distB="0" distL="114300" distR="114300" simplePos="0" relativeHeight="251654144" behindDoc="1" locked="1" layoutInCell="1" allowOverlap="1" wp14:anchorId="4E15222C" wp14:editId="3A8A02EB">
            <wp:simplePos x="0" y="0"/>
            <wp:positionH relativeFrom="column">
              <wp:posOffset>70485</wp:posOffset>
            </wp:positionH>
            <wp:positionV relativeFrom="paragraph">
              <wp:posOffset>174625</wp:posOffset>
            </wp:positionV>
            <wp:extent cx="6552565" cy="38100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40A8A063" w14:textId="77777777" w:rsidR="006F7654" w:rsidRPr="00C25003" w:rsidRDefault="006F7654" w:rsidP="0077631D">
      <w:pPr>
        <w:spacing w:before="120"/>
        <w:rPr>
          <w:rFonts w:ascii="Times New Roman" w:hAnsi="Times New Roman" w:cs="Times New Roman"/>
          <w:noProof/>
          <w:color w:val="0055A1"/>
          <w:sz w:val="8"/>
          <w:lang w:val="sk-SK"/>
        </w:rPr>
        <w:sectPr w:rsidR="006F7654" w:rsidRPr="00C25003" w:rsidSect="00E70331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10" w:h="16840"/>
          <w:pgMar w:top="0" w:right="680" w:bottom="0" w:left="680" w:header="708" w:footer="794" w:gutter="0"/>
          <w:cols w:space="708"/>
          <w:docGrid w:linePitch="299"/>
        </w:sectPr>
      </w:pPr>
    </w:p>
    <w:bookmarkStart w:id="3" w:name="_Toc136531172" w:displacedByCustomXml="next"/>
    <w:sdt>
      <w:sdtPr>
        <w:rPr>
          <w:rFonts w:ascii="Arial" w:eastAsia="Arial" w:hAnsi="Arial" w:cs="Arial"/>
          <w:b w:val="0"/>
          <w:bCs w:val="0"/>
          <w:noProof/>
          <w:color w:val="auto"/>
          <w:sz w:val="22"/>
          <w:szCs w:val="22"/>
          <w:lang w:val="ca-ES" w:eastAsia="en-US"/>
        </w:rPr>
        <w:id w:val="377363964"/>
        <w:docPartObj>
          <w:docPartGallery w:val="Table of Contents"/>
          <w:docPartUnique/>
        </w:docPartObj>
      </w:sdtPr>
      <w:sdtEndPr/>
      <w:sdtContent>
        <w:p w14:paraId="7D222B5F" w14:textId="5D71E204" w:rsidR="00C62455" w:rsidRPr="00C25003" w:rsidRDefault="00C62455" w:rsidP="00E25C4C">
          <w:pPr>
            <w:pStyle w:val="Nadpis1"/>
            <w:pageBreakBefore/>
            <w:numPr>
              <w:ilvl w:val="0"/>
              <w:numId w:val="0"/>
            </w:numPr>
            <w:rPr>
              <w:noProof/>
            </w:rPr>
          </w:pPr>
          <w:r w:rsidRPr="00C25003">
            <w:rPr>
              <w:noProof/>
            </w:rPr>
            <w:t>Obsah</w:t>
          </w:r>
          <w:bookmarkEnd w:id="3"/>
        </w:p>
        <w:p w14:paraId="64B1A2BC" w14:textId="1AF2D103" w:rsidR="00CC03AF" w:rsidRDefault="00C62455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r w:rsidRPr="00C25003">
            <w:rPr>
              <w:noProof/>
            </w:rPr>
            <w:fldChar w:fldCharType="begin"/>
          </w:r>
          <w:r w:rsidRPr="00C25003">
            <w:rPr>
              <w:noProof/>
            </w:rPr>
            <w:instrText xml:space="preserve"> TOC \o "1-3" \h \z \u </w:instrText>
          </w:r>
          <w:r w:rsidRPr="00C25003">
            <w:rPr>
              <w:noProof/>
            </w:rPr>
            <w:fldChar w:fldCharType="separate"/>
          </w:r>
          <w:hyperlink w:anchor="_Toc136531172" w:history="1">
            <w:r w:rsidR="00CC03AF" w:rsidRPr="00A670C0">
              <w:rPr>
                <w:rStyle w:val="Hypertextovprepojenie"/>
                <w:noProof/>
              </w:rPr>
              <w:t>Obsah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_Toc136531172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2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0DBCFAAA" w14:textId="70FA6813" w:rsidR="00CC03AF" w:rsidRDefault="00152ED4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73" w:history="1">
            <w:r w:rsidR="00CC03AF" w:rsidRPr="00A670C0">
              <w:rPr>
                <w:rStyle w:val="Hypertextovprepojenie"/>
                <w:noProof/>
              </w:rPr>
              <w:t>1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Správa dokumentu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_Toc136531173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3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25E9029B" w14:textId="74A8E359" w:rsidR="00CC03AF" w:rsidRDefault="00152ED4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74" w:history="1">
            <w:r w:rsidR="00CC03AF" w:rsidRPr="00A670C0">
              <w:rPr>
                <w:rStyle w:val="Hypertextovprepojenie"/>
                <w:noProof/>
              </w:rPr>
              <w:t>2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Účel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_Toc136531174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4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7715CCA5" w14:textId="7EA29560" w:rsidR="00CC03AF" w:rsidRDefault="00152ED4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75" w:history="1">
            <w:r w:rsidR="00CC03AF" w:rsidRPr="00A670C0">
              <w:rPr>
                <w:rStyle w:val="Hypertextovprepojenie"/>
                <w:noProof/>
              </w:rPr>
              <w:t>2.1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Právny základ a normatívne odkazy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_Toc136531175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4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1A58DC11" w14:textId="26C9D4AA" w:rsidR="00CC03AF" w:rsidRDefault="00152ED4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76" w:history="1">
            <w:r w:rsidR="00CC03AF" w:rsidRPr="00A670C0">
              <w:rPr>
                <w:rStyle w:val="Hypertextovprepojenie"/>
                <w:noProof/>
              </w:rPr>
              <w:t>3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Výkon analýzy rizík – kvalitatívna analýza rizík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_Toc136531176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5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5DFF310B" w14:textId="48B10D86" w:rsidR="00CC03AF" w:rsidRDefault="00152ED4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77" w:history="1">
            <w:r w:rsidR="00CC03AF" w:rsidRPr="00A670C0">
              <w:rPr>
                <w:rStyle w:val="Hypertextovprepojenie"/>
                <w:noProof/>
              </w:rPr>
              <w:t>3.1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Stanovenie kontextu rizika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_Toc136531177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5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22096E08" w14:textId="55FECB60" w:rsidR="00CC03AF" w:rsidRDefault="00152ED4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78" w:history="1">
            <w:r w:rsidR="00CC03AF" w:rsidRPr="00A670C0">
              <w:rPr>
                <w:rStyle w:val="Hypertextovprepojenie"/>
                <w:noProof/>
              </w:rPr>
              <w:t>3.1.1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Identifikácia aktív a ich vlastníkov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_Toc136531178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5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5ECEE61F" w14:textId="16AA7898" w:rsidR="00CC03AF" w:rsidRDefault="00152ED4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79" w:history="1">
            <w:r w:rsidR="00CC03AF" w:rsidRPr="00A670C0">
              <w:rPr>
                <w:rStyle w:val="Hypertextovprepojenie"/>
                <w:noProof/>
              </w:rPr>
              <w:t>3.1.2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Identifikácia hrozieb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_Toc136531179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5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425F1C76" w14:textId="690FEE69" w:rsidR="00CC03AF" w:rsidRDefault="00152ED4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80" w:history="1">
            <w:r w:rsidR="00CC03AF" w:rsidRPr="00A670C0">
              <w:rPr>
                <w:rStyle w:val="Hypertextovprepojenie"/>
                <w:noProof/>
              </w:rPr>
              <w:t>3.1.3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Identifikácia zraniteľností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_Toc136531180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5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55D3B59B" w14:textId="0AE0EF8D" w:rsidR="00CC03AF" w:rsidRDefault="00152ED4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81" w:history="1">
            <w:r w:rsidR="00CC03AF" w:rsidRPr="00A670C0">
              <w:rPr>
                <w:rStyle w:val="Hypertextovprepojenie"/>
                <w:noProof/>
              </w:rPr>
              <w:t>3.1.4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Odhad dopadov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_Toc136531181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6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35EAD3E0" w14:textId="67AAB330" w:rsidR="00CC03AF" w:rsidRDefault="00152ED4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82" w:history="1">
            <w:r w:rsidR="00CC03AF" w:rsidRPr="00A670C0">
              <w:rPr>
                <w:rStyle w:val="Hypertextovprepojenie"/>
                <w:noProof/>
              </w:rPr>
              <w:t>3.1.5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Identifikácia existujúcich opatrení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_Toc136531182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6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0CCF06AE" w14:textId="684DC47D" w:rsidR="00CC03AF" w:rsidRDefault="00152ED4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83" w:history="1">
            <w:r w:rsidR="00CC03AF" w:rsidRPr="00A670C0">
              <w:rPr>
                <w:rStyle w:val="Hypertextovprepojenie"/>
                <w:noProof/>
              </w:rPr>
              <w:t>3.1.6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Závažnosť rizík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_Toc136531183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6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7D3FED91" w14:textId="3635EB73" w:rsidR="00CC03AF" w:rsidRDefault="00152ED4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84" w:history="1">
            <w:r w:rsidR="00CC03AF" w:rsidRPr="00A670C0">
              <w:rPr>
                <w:rStyle w:val="Hypertextovprepojenie"/>
                <w:noProof/>
              </w:rPr>
              <w:t>3.2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Fázy kvalitatívnej analýzy rizík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_Toc136531184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6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1889C1E6" w14:textId="1EB73213" w:rsidR="00CC03AF" w:rsidRDefault="00152ED4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85" w:history="1">
            <w:r w:rsidR="00CC03AF" w:rsidRPr="00A670C0">
              <w:rPr>
                <w:rStyle w:val="Hypertextovprepojenie"/>
                <w:noProof/>
              </w:rPr>
              <w:t>3.3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Identifikácia scenárov rizík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_Toc136531185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7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77E04F85" w14:textId="6CDE9B2A" w:rsidR="00CC03AF" w:rsidRDefault="00152ED4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86" w:history="1">
            <w:r w:rsidR="00CC03AF" w:rsidRPr="00A670C0">
              <w:rPr>
                <w:rStyle w:val="Hypertextovprepojenie"/>
                <w:noProof/>
              </w:rPr>
              <w:t>3.4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Posúdenie rizika kvalitatívnou metódou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_Toc136531186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7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73579FA5" w14:textId="4257A235" w:rsidR="00CC03AF" w:rsidRDefault="00152ED4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87" w:history="1">
            <w:r w:rsidR="00CC03AF" w:rsidRPr="00A670C0">
              <w:rPr>
                <w:rStyle w:val="Hypertextovprepojenie"/>
                <w:noProof/>
              </w:rPr>
              <w:t>3.5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Závažnosť rizika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_Toc136531187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10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03946060" w14:textId="2D708F2E" w:rsidR="00CC03AF" w:rsidRDefault="00152ED4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88" w:history="1">
            <w:r w:rsidR="00CC03AF" w:rsidRPr="00A670C0">
              <w:rPr>
                <w:rStyle w:val="Hypertextovprepojenie"/>
                <w:noProof/>
              </w:rPr>
              <w:t>3.6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Návrh bezpečnostných opatrení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_Toc136531188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10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6E41F7D9" w14:textId="5425460B" w:rsidR="00CC03AF" w:rsidRDefault="00152ED4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89" w:history="1">
            <w:r w:rsidR="00CC03AF" w:rsidRPr="00A670C0">
              <w:rPr>
                <w:rStyle w:val="Hypertextovprepojenie"/>
                <w:noProof/>
              </w:rPr>
              <w:t>4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Výkon analýzy dopadov (BIA)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_Toc136531189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11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73CE29C7" w14:textId="6A226F89" w:rsidR="00CC03AF" w:rsidRDefault="00152ED4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90" w:history="1">
            <w:r w:rsidR="00CC03AF" w:rsidRPr="00A670C0">
              <w:rPr>
                <w:rStyle w:val="Hypertextovprepojenie"/>
                <w:noProof/>
              </w:rPr>
              <w:t>4.1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Fázy výkonu analýzy dopadov na činnosti organizácie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_Toc136531190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11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4725B180" w14:textId="00BFC725" w:rsidR="00CC03AF" w:rsidRDefault="00152ED4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91" w:history="1">
            <w:r w:rsidR="00CC03AF" w:rsidRPr="00A670C0">
              <w:rPr>
                <w:rStyle w:val="Hypertextovprepojenie"/>
                <w:noProof/>
              </w:rPr>
              <w:t>4.2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Zber vstupných dát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_Toc136531191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11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0C175F3C" w14:textId="4A3DFCA8" w:rsidR="00CC03AF" w:rsidRDefault="00152ED4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92" w:history="1">
            <w:r w:rsidR="00CC03AF" w:rsidRPr="00A670C0">
              <w:rPr>
                <w:rStyle w:val="Hypertextovprepojenie"/>
                <w:noProof/>
              </w:rPr>
              <w:t>4.3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Výstupy z analýzy dopadov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_Toc136531192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12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77AD2B34" w14:textId="310BEA7E" w:rsidR="00CC03AF" w:rsidRDefault="00152ED4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6531193" w:history="1">
            <w:r w:rsidR="00CC03AF" w:rsidRPr="00A670C0">
              <w:rPr>
                <w:rStyle w:val="Hypertextovprepojenie"/>
                <w:noProof/>
              </w:rPr>
              <w:t>4.3.1</w:t>
            </w:r>
            <w:r w:rsidR="00CC03A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C03AF" w:rsidRPr="00A670C0">
              <w:rPr>
                <w:rStyle w:val="Hypertextovprepojenie"/>
                <w:noProof/>
              </w:rPr>
              <w:t>Stanovenie hodnôt RTO a RPO</w:t>
            </w:r>
            <w:r w:rsidR="00CC03AF">
              <w:rPr>
                <w:noProof/>
                <w:webHidden/>
              </w:rPr>
              <w:tab/>
            </w:r>
            <w:r w:rsidR="00CC03AF">
              <w:rPr>
                <w:noProof/>
                <w:webHidden/>
              </w:rPr>
              <w:fldChar w:fldCharType="begin"/>
            </w:r>
            <w:r w:rsidR="00CC03AF">
              <w:rPr>
                <w:noProof/>
                <w:webHidden/>
              </w:rPr>
              <w:instrText xml:space="preserve"> PAGEREF _Toc136531193 \h </w:instrText>
            </w:r>
            <w:r w:rsidR="00CC03AF">
              <w:rPr>
                <w:noProof/>
                <w:webHidden/>
              </w:rPr>
            </w:r>
            <w:r w:rsidR="00CC03AF">
              <w:rPr>
                <w:noProof/>
                <w:webHidden/>
              </w:rPr>
              <w:fldChar w:fldCharType="separate"/>
            </w:r>
            <w:r w:rsidR="00F128B5">
              <w:rPr>
                <w:noProof/>
                <w:webHidden/>
              </w:rPr>
              <w:t>12</w:t>
            </w:r>
            <w:r w:rsidR="00CC03AF">
              <w:rPr>
                <w:noProof/>
                <w:webHidden/>
              </w:rPr>
              <w:fldChar w:fldCharType="end"/>
            </w:r>
          </w:hyperlink>
        </w:p>
        <w:p w14:paraId="5607FAAF" w14:textId="495F62C0" w:rsidR="001953A6" w:rsidRPr="00565CD5" w:rsidRDefault="00C62455" w:rsidP="006D4D62">
          <w:pPr>
            <w:spacing w:before="120"/>
            <w:rPr>
              <w:rFonts w:ascii="Times New Roman" w:hAnsi="Times New Roman" w:cs="Times New Roman"/>
              <w:b/>
              <w:bCs/>
              <w:noProof/>
              <w:lang w:val="sk-SK"/>
            </w:rPr>
          </w:pPr>
          <w:r w:rsidRPr="00C25003">
            <w:rPr>
              <w:rFonts w:ascii="Times New Roman" w:hAnsi="Times New Roman" w:cs="Times New Roman"/>
              <w:b/>
              <w:bCs/>
              <w:noProof/>
              <w:lang w:val="sk-SK"/>
            </w:rPr>
            <w:fldChar w:fldCharType="end"/>
          </w:r>
        </w:p>
      </w:sdtContent>
    </w:sdt>
    <w:bookmarkStart w:id="4" w:name="_Toc75944777" w:displacedByCustomXml="prev"/>
    <w:p w14:paraId="6990446D" w14:textId="68CB2F44" w:rsidR="00CB126F" w:rsidRDefault="00CB126F" w:rsidP="0063622C">
      <w:pPr>
        <w:pStyle w:val="Nadpis1"/>
        <w:pageBreakBefore/>
        <w:ind w:left="431" w:hanging="431"/>
        <w:rPr>
          <w:noProof/>
        </w:rPr>
      </w:pPr>
      <w:bookmarkStart w:id="5" w:name="_Toc120884414"/>
      <w:bookmarkStart w:id="6" w:name="_Toc136531173"/>
      <w:r>
        <w:rPr>
          <w:noProof/>
        </w:rPr>
        <w:lastRenderedPageBreak/>
        <w:t>Správa dokumentu</w:t>
      </w:r>
      <w:bookmarkEnd w:id="5"/>
      <w:bookmarkEnd w:id="6"/>
    </w:p>
    <w:p w14:paraId="5687326C" w14:textId="32AFEAF3" w:rsidR="00CE45CF" w:rsidRDefault="00CE45CF" w:rsidP="00CE45CF">
      <w:pPr>
        <w:pStyle w:val="Zkladntext"/>
        <w:rPr>
          <w:lang w:val="sk-SK"/>
        </w:rPr>
      </w:pPr>
      <w:r>
        <w:rPr>
          <w:lang w:val="sk-SK"/>
        </w:rPr>
        <w:t>Dokument „</w:t>
      </w:r>
      <w:r w:rsidRPr="0014329C">
        <w:rPr>
          <w:lang w:val="sk-SK"/>
        </w:rPr>
        <w:t xml:space="preserve">Smernica </w:t>
      </w:r>
      <w:r>
        <w:rPr>
          <w:lang w:val="sk-SK"/>
        </w:rPr>
        <w:t xml:space="preserve">výkonu analýzy rizík a analýzy dopadov“ je vzorovým dokumentom slúžiacim pre potreby orgánov verejnej moci. </w:t>
      </w:r>
      <w:r w:rsidRPr="0014329C">
        <w:rPr>
          <w:lang w:val="sk-SK"/>
        </w:rPr>
        <w:t>Vytvoren</w:t>
      </w:r>
      <w:r>
        <w:rPr>
          <w:lang w:val="sk-SK"/>
        </w:rPr>
        <w:t>ý</w:t>
      </w:r>
      <w:r w:rsidRPr="0014329C">
        <w:rPr>
          <w:lang w:val="sk-SK"/>
        </w:rPr>
        <w:t xml:space="preserve"> vzor</w:t>
      </w:r>
      <w:r>
        <w:rPr>
          <w:lang w:val="sk-SK"/>
        </w:rPr>
        <w:t xml:space="preserve"> dokumentu</w:t>
      </w:r>
      <w:r w:rsidRPr="0014329C">
        <w:rPr>
          <w:lang w:val="sk-SK"/>
        </w:rPr>
        <w:t xml:space="preserve"> nie</w:t>
      </w:r>
      <w:r>
        <w:rPr>
          <w:lang w:val="sk-SK"/>
        </w:rPr>
        <w:t xml:space="preserve"> je</w:t>
      </w:r>
      <w:r w:rsidRPr="0014329C">
        <w:rPr>
          <w:lang w:val="sk-SK"/>
        </w:rPr>
        <w:t xml:space="preserve"> povinn</w:t>
      </w:r>
      <w:r>
        <w:rPr>
          <w:lang w:val="sk-SK"/>
        </w:rPr>
        <w:t>ý</w:t>
      </w:r>
      <w:r w:rsidRPr="0014329C">
        <w:rPr>
          <w:lang w:val="sk-SK"/>
        </w:rPr>
        <w:t xml:space="preserve"> na použitie</w:t>
      </w:r>
      <w:r>
        <w:rPr>
          <w:lang w:val="sk-SK"/>
        </w:rPr>
        <w:t xml:space="preserve"> a</w:t>
      </w:r>
      <w:r w:rsidRPr="0014329C">
        <w:rPr>
          <w:lang w:val="sk-SK"/>
        </w:rPr>
        <w:t xml:space="preserve"> ani nie </w:t>
      </w:r>
      <w:r>
        <w:rPr>
          <w:lang w:val="sk-SK"/>
        </w:rPr>
        <w:t>je</w:t>
      </w:r>
      <w:r w:rsidRPr="0014329C">
        <w:rPr>
          <w:lang w:val="sk-SK"/>
        </w:rPr>
        <w:t xml:space="preserve"> záväzn</w:t>
      </w:r>
      <w:r>
        <w:rPr>
          <w:lang w:val="sk-SK"/>
        </w:rPr>
        <w:t>ý</w:t>
      </w:r>
      <w:r w:rsidRPr="0014329C">
        <w:rPr>
          <w:lang w:val="sk-SK"/>
        </w:rPr>
        <w:t xml:space="preserve">. </w:t>
      </w:r>
      <w:r>
        <w:rPr>
          <w:lang w:val="sk-SK"/>
        </w:rPr>
        <w:t>Dokument je poskytnutý voľne a bezplatne na využitie podľa potrieb konkrétnej organizácie.</w:t>
      </w:r>
    </w:p>
    <w:p w14:paraId="1BA634B9" w14:textId="77777777" w:rsidR="00CE45CF" w:rsidRPr="0014329C" w:rsidRDefault="00CE45CF" w:rsidP="00CE45CF">
      <w:pPr>
        <w:pStyle w:val="Zkladntext"/>
        <w:rPr>
          <w:lang w:val="sk-SK"/>
        </w:rPr>
      </w:pPr>
      <w:r w:rsidRPr="0014329C">
        <w:rPr>
          <w:lang w:val="sk-SK"/>
        </w:rPr>
        <w:t>Vytvoren</w:t>
      </w:r>
      <w:r>
        <w:rPr>
          <w:lang w:val="sk-SK"/>
        </w:rPr>
        <w:t>ý</w:t>
      </w:r>
      <w:r w:rsidRPr="0014329C">
        <w:rPr>
          <w:lang w:val="sk-SK"/>
        </w:rPr>
        <w:t xml:space="preserve"> dokument m</w:t>
      </w:r>
      <w:r>
        <w:rPr>
          <w:lang w:val="sk-SK"/>
        </w:rPr>
        <w:t>á</w:t>
      </w:r>
      <w:r w:rsidRPr="0014329C">
        <w:rPr>
          <w:lang w:val="sk-SK"/>
        </w:rPr>
        <w:t xml:space="preserve"> aj svoj metodický rozmer, takže je </w:t>
      </w:r>
      <w:r>
        <w:rPr>
          <w:lang w:val="sk-SK"/>
        </w:rPr>
        <w:t>ho</w:t>
      </w:r>
      <w:r w:rsidRPr="0014329C">
        <w:rPr>
          <w:lang w:val="sk-SK"/>
        </w:rPr>
        <w:t xml:space="preserve"> možné použiť i pre potreby vzdelávania pracovníkov organizácií v oblasti kybernetickej a informačnej bezpečnosti.</w:t>
      </w:r>
    </w:p>
    <w:p w14:paraId="52416EBA" w14:textId="77777777" w:rsidR="00CE45CF" w:rsidRPr="0014329C" w:rsidRDefault="00CE45CF" w:rsidP="00CE45CF">
      <w:pPr>
        <w:pStyle w:val="Zkladntext"/>
        <w:rPr>
          <w:lang w:val="sk-SK"/>
        </w:rPr>
      </w:pPr>
      <w:r w:rsidRPr="0014329C">
        <w:rPr>
          <w:lang w:val="sk-SK"/>
        </w:rPr>
        <w:t xml:space="preserve">Vytvorené dokument nie </w:t>
      </w:r>
      <w:r>
        <w:rPr>
          <w:lang w:val="sk-SK"/>
        </w:rPr>
        <w:t>je</w:t>
      </w:r>
      <w:r w:rsidRPr="0014329C">
        <w:rPr>
          <w:lang w:val="sk-SK"/>
        </w:rPr>
        <w:t xml:space="preserve"> určen</w:t>
      </w:r>
      <w:r>
        <w:rPr>
          <w:lang w:val="sk-SK"/>
        </w:rPr>
        <w:t>ý</w:t>
      </w:r>
      <w:r w:rsidRPr="0014329C">
        <w:rPr>
          <w:lang w:val="sk-SK"/>
        </w:rPr>
        <w:t xml:space="preserve"> na ďalší predaj alebo akúkoľvek inú komerčnú či obchodnú činnosť.</w:t>
      </w:r>
    </w:p>
    <w:p w14:paraId="3341C763" w14:textId="77777777" w:rsidR="00CE45CF" w:rsidRPr="0014329C" w:rsidRDefault="00CE45CF" w:rsidP="00CE45CF">
      <w:pPr>
        <w:pStyle w:val="Zkladntext"/>
        <w:rPr>
          <w:lang w:val="sk-SK"/>
        </w:rPr>
      </w:pPr>
      <w:r w:rsidRPr="0014329C">
        <w:rPr>
          <w:lang w:val="sk-SK"/>
        </w:rPr>
        <w:t>M</w:t>
      </w:r>
      <w:r>
        <w:rPr>
          <w:lang w:val="sk-SK"/>
        </w:rPr>
        <w:t>inisterstvo investícií, regionálneho rozvoja a informatizácie Slovenskej republiky (ďalej aj „MIRRI“)</w:t>
      </w:r>
      <w:r w:rsidRPr="0014329C">
        <w:rPr>
          <w:lang w:val="sk-SK"/>
        </w:rPr>
        <w:t xml:space="preserve"> nezodpovedá za nesprávne použitie predmetn</w:t>
      </w:r>
      <w:r>
        <w:rPr>
          <w:lang w:val="sk-SK"/>
        </w:rPr>
        <w:t>ého</w:t>
      </w:r>
      <w:r w:rsidRPr="0014329C">
        <w:rPr>
          <w:lang w:val="sk-SK"/>
        </w:rPr>
        <w:t xml:space="preserve"> dokument</w:t>
      </w:r>
      <w:r>
        <w:rPr>
          <w:lang w:val="sk-SK"/>
        </w:rPr>
        <w:t>u</w:t>
      </w:r>
      <w:r w:rsidRPr="0014329C">
        <w:rPr>
          <w:lang w:val="sk-SK"/>
        </w:rPr>
        <w:t xml:space="preserve"> zo strany </w:t>
      </w:r>
      <w:r>
        <w:rPr>
          <w:lang w:val="sk-SK"/>
        </w:rPr>
        <w:t>organizácie</w:t>
      </w:r>
      <w:r w:rsidRPr="0014329C">
        <w:rPr>
          <w:lang w:val="sk-SK"/>
        </w:rPr>
        <w:t>. Správne použitie a</w:t>
      </w:r>
      <w:r>
        <w:rPr>
          <w:lang w:val="sk-SK"/>
        </w:rPr>
        <w:t> </w:t>
      </w:r>
      <w:r w:rsidRPr="0014329C">
        <w:rPr>
          <w:lang w:val="sk-SK"/>
        </w:rPr>
        <w:t>implementácia bezpečnostný</w:t>
      </w:r>
      <w:r>
        <w:rPr>
          <w:lang w:val="sk-SK"/>
        </w:rPr>
        <w:t>ch</w:t>
      </w:r>
      <w:r w:rsidRPr="0014329C">
        <w:rPr>
          <w:lang w:val="sk-SK"/>
        </w:rPr>
        <w:t xml:space="preserve"> opatrení je plne v kompetencii a zodpovednosti konkrétne</w:t>
      </w:r>
      <w:r>
        <w:rPr>
          <w:lang w:val="sk-SK"/>
        </w:rPr>
        <w:t>j</w:t>
      </w:r>
      <w:r w:rsidRPr="0014329C">
        <w:rPr>
          <w:lang w:val="sk-SK"/>
        </w:rPr>
        <w:t xml:space="preserve"> </w:t>
      </w:r>
      <w:r>
        <w:rPr>
          <w:lang w:val="sk-SK"/>
        </w:rPr>
        <w:t>organizácie</w:t>
      </w:r>
      <w:r w:rsidRPr="0014329C">
        <w:rPr>
          <w:lang w:val="sk-SK"/>
        </w:rPr>
        <w:t>.</w:t>
      </w:r>
      <w:r>
        <w:rPr>
          <w:lang w:val="sk-SK"/>
        </w:rPr>
        <w:t xml:space="preserve"> Dokument je potrebné upraviť na základe reálnych potrieb a špecifického prostredia organizácie.</w:t>
      </w:r>
    </w:p>
    <w:p w14:paraId="7D8AF76E" w14:textId="77777777" w:rsidR="00CE45CF" w:rsidRDefault="00CE45CF" w:rsidP="00CE45CF">
      <w:pPr>
        <w:pStyle w:val="Zkladntext"/>
        <w:rPr>
          <w:lang w:val="sk-SK"/>
        </w:rPr>
      </w:pPr>
      <w:r w:rsidRPr="0014329C">
        <w:rPr>
          <w:lang w:val="sk-SK"/>
        </w:rPr>
        <w:t>MIRRI si vyhradzuje právo na zmenu/úpravu p</w:t>
      </w:r>
      <w:r>
        <w:rPr>
          <w:lang w:val="sk-SK"/>
        </w:rPr>
        <w:t>redmetného</w:t>
      </w:r>
      <w:r w:rsidRPr="0014329C">
        <w:rPr>
          <w:lang w:val="sk-SK"/>
        </w:rPr>
        <w:t xml:space="preserve"> dokument</w:t>
      </w:r>
      <w:r>
        <w:rPr>
          <w:lang w:val="sk-SK"/>
        </w:rPr>
        <w:t>u</w:t>
      </w:r>
      <w:r w:rsidRPr="0014329C">
        <w:rPr>
          <w:lang w:val="sk-SK"/>
        </w:rPr>
        <w:t xml:space="preserve"> alebo čiastkových textov a</w:t>
      </w:r>
      <w:r>
        <w:rPr>
          <w:lang w:val="sk-SK"/>
        </w:rPr>
        <w:t> </w:t>
      </w:r>
      <w:r w:rsidRPr="0014329C">
        <w:rPr>
          <w:lang w:val="sk-SK"/>
        </w:rPr>
        <w:t>tabuliek, a to v potrebnom rozsahu vrátane zmien verzií dokumentov.</w:t>
      </w:r>
      <w:r>
        <w:rPr>
          <w:lang w:val="sk-SK"/>
        </w:rPr>
        <w:t xml:space="preserve"> Dokument je výstupom pilotného projektu na ktorý nadväzuje Reforma Štandardizácia technických a procesných riešení kybernetickej a informačnej bezpečnosti (Plán obnovy a odolnosti).</w:t>
      </w:r>
    </w:p>
    <w:p w14:paraId="57432854" w14:textId="77777777" w:rsidR="00CE45CF" w:rsidRDefault="00CE45CF" w:rsidP="00CE45CF">
      <w:pPr>
        <w:pStyle w:val="Zkladntext"/>
        <w:rPr>
          <w:lang w:val="sk-SK"/>
        </w:rPr>
      </w:pPr>
      <w:r>
        <w:rPr>
          <w:lang w:val="sk-SK"/>
        </w:rPr>
        <w:t>Súčasťou každého dokumentu adaptovaného do prostredia organizácie je aj nasledovný zmenový list obsahujúci informácie minimálne v nasledovnom rozsahu: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23"/>
        <w:gridCol w:w="6143"/>
      </w:tblGrid>
      <w:tr w:rsidR="00CE45CF" w14:paraId="5E748129" w14:textId="77777777" w:rsidTr="001D38FA">
        <w:tc>
          <w:tcPr>
            <w:tcW w:w="2943" w:type="dxa"/>
          </w:tcPr>
          <w:p w14:paraId="466EF19C" w14:textId="77777777" w:rsidR="00CE45CF" w:rsidRPr="00D92A2C" w:rsidRDefault="00CE45CF" w:rsidP="001D38FA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Verzia</w:t>
            </w:r>
          </w:p>
        </w:tc>
        <w:tc>
          <w:tcPr>
            <w:tcW w:w="6273" w:type="dxa"/>
          </w:tcPr>
          <w:p w14:paraId="2937D85F" w14:textId="77777777" w:rsidR="00CE45CF" w:rsidRDefault="00CE45CF" w:rsidP="001D38FA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E45CF" w14:paraId="05612FAD" w14:textId="77777777" w:rsidTr="001D38FA">
        <w:tc>
          <w:tcPr>
            <w:tcW w:w="2943" w:type="dxa"/>
          </w:tcPr>
          <w:p w14:paraId="368BFB21" w14:textId="77777777" w:rsidR="00CE45CF" w:rsidRPr="00D92A2C" w:rsidRDefault="00CE45CF" w:rsidP="001D38FA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Garant dokumentu</w:t>
            </w:r>
          </w:p>
        </w:tc>
        <w:tc>
          <w:tcPr>
            <w:tcW w:w="6273" w:type="dxa"/>
          </w:tcPr>
          <w:p w14:paraId="332DF6C8" w14:textId="77777777" w:rsidR="00CE45CF" w:rsidRDefault="00CE45CF" w:rsidP="001D38FA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E45CF" w14:paraId="275BF400" w14:textId="77777777" w:rsidTr="001D38FA">
        <w:tc>
          <w:tcPr>
            <w:tcW w:w="2943" w:type="dxa"/>
          </w:tcPr>
          <w:p w14:paraId="7C6EAB3A" w14:textId="77777777" w:rsidR="00CE45CF" w:rsidRPr="00D92A2C" w:rsidRDefault="00CE45CF" w:rsidP="001D38FA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poslednej revízie</w:t>
            </w:r>
          </w:p>
        </w:tc>
        <w:tc>
          <w:tcPr>
            <w:tcW w:w="6273" w:type="dxa"/>
          </w:tcPr>
          <w:p w14:paraId="3CABD6CB" w14:textId="77777777" w:rsidR="00CE45CF" w:rsidRDefault="00CE45CF" w:rsidP="001D38FA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E45CF" w14:paraId="4C67535B" w14:textId="77777777" w:rsidTr="001D38FA">
        <w:tc>
          <w:tcPr>
            <w:tcW w:w="2943" w:type="dxa"/>
          </w:tcPr>
          <w:p w14:paraId="0DAC7E11" w14:textId="77777777" w:rsidR="00CE45CF" w:rsidRPr="00D92A2C" w:rsidRDefault="00CE45CF" w:rsidP="001D38FA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vydania</w:t>
            </w:r>
          </w:p>
        </w:tc>
        <w:tc>
          <w:tcPr>
            <w:tcW w:w="6273" w:type="dxa"/>
          </w:tcPr>
          <w:p w14:paraId="2D6D1264" w14:textId="77777777" w:rsidR="00CE45CF" w:rsidRDefault="00CE45CF" w:rsidP="001D38FA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CE45CF" w14:paraId="2ACB21C5" w14:textId="77777777" w:rsidTr="001D38FA">
        <w:tc>
          <w:tcPr>
            <w:tcW w:w="2943" w:type="dxa"/>
          </w:tcPr>
          <w:p w14:paraId="32F59969" w14:textId="77777777" w:rsidR="00CE45CF" w:rsidRPr="00D92A2C" w:rsidRDefault="00CE45CF" w:rsidP="001D38FA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účinnosti</w:t>
            </w:r>
          </w:p>
        </w:tc>
        <w:tc>
          <w:tcPr>
            <w:tcW w:w="6273" w:type="dxa"/>
          </w:tcPr>
          <w:p w14:paraId="130B1256" w14:textId="77777777" w:rsidR="00CE45CF" w:rsidRDefault="00CE45CF" w:rsidP="001D38FA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76EA91D8" w14:textId="3D4CE55C" w:rsidR="00CE45CF" w:rsidRDefault="00CE45CF" w:rsidP="00CB126F">
      <w:pPr>
        <w:pStyle w:val="Zkladntext"/>
        <w:rPr>
          <w:lang w:val="sk-SK"/>
        </w:rPr>
      </w:pPr>
    </w:p>
    <w:p w14:paraId="7FEC5513" w14:textId="39509974" w:rsidR="00C62455" w:rsidRDefault="00ED35A9" w:rsidP="00565CD5">
      <w:pPr>
        <w:pStyle w:val="Nadpis1"/>
        <w:pageBreakBefore/>
        <w:ind w:left="431" w:hanging="431"/>
        <w:rPr>
          <w:noProof/>
        </w:rPr>
      </w:pPr>
      <w:bookmarkStart w:id="7" w:name="_Toc136531174"/>
      <w:bookmarkEnd w:id="4"/>
      <w:r>
        <w:rPr>
          <w:noProof/>
        </w:rPr>
        <w:lastRenderedPageBreak/>
        <w:t>Ú</w:t>
      </w:r>
      <w:r w:rsidR="002B577A">
        <w:rPr>
          <w:noProof/>
        </w:rPr>
        <w:t>čel</w:t>
      </w:r>
      <w:bookmarkEnd w:id="7"/>
    </w:p>
    <w:p w14:paraId="50072FAF" w14:textId="003BF91D" w:rsidR="002B577A" w:rsidRDefault="002B577A" w:rsidP="002B577A">
      <w:pPr>
        <w:pStyle w:val="Zkladntext"/>
        <w:rPr>
          <w:lang w:val="sk-SK"/>
        </w:rPr>
      </w:pPr>
      <w:r>
        <w:rPr>
          <w:lang w:val="sk-SK"/>
        </w:rPr>
        <w:t>Účelom tohto dokumentu je popísať postup výkonu analýzy rizík a analýzy dopadov v organizácii.</w:t>
      </w:r>
    </w:p>
    <w:p w14:paraId="17D07DA4" w14:textId="3F370A9B" w:rsidR="001E5785" w:rsidRDefault="001E5785" w:rsidP="002B577A">
      <w:pPr>
        <w:pStyle w:val="Zkladntext"/>
        <w:rPr>
          <w:lang w:val="sk-SK"/>
        </w:rPr>
      </w:pPr>
      <w:r>
        <w:rPr>
          <w:lang w:val="sk-SK"/>
        </w:rPr>
        <w:t>Nakoľko je podrobný postupy výkonu analýzy rizík a analýzy dopadov bližšie popísaný v rámci dokumentu „Metodika analýzy rizík a analýzy dopadov“, cieľom tohto dokumentu je organizáciám priblížiť konkrétne kroky týkajúce sa výkonu oboch analýz.</w:t>
      </w:r>
    </w:p>
    <w:p w14:paraId="455AD522" w14:textId="0B06D544" w:rsidR="00E73796" w:rsidRDefault="002B577A" w:rsidP="00E73796">
      <w:pPr>
        <w:pStyle w:val="Zkladntext"/>
        <w:rPr>
          <w:lang w:val="sk-SK"/>
        </w:rPr>
      </w:pPr>
      <w:r>
        <w:rPr>
          <w:lang w:val="sk-SK"/>
        </w:rPr>
        <w:t>Táto smernic</w:t>
      </w:r>
      <w:r w:rsidR="001E5785">
        <w:rPr>
          <w:lang w:val="sk-SK"/>
        </w:rPr>
        <w:t>a</w:t>
      </w:r>
      <w:r>
        <w:rPr>
          <w:lang w:val="sk-SK"/>
        </w:rPr>
        <w:t xml:space="preserve"> </w:t>
      </w:r>
      <w:r w:rsidR="00E73796" w:rsidRPr="00873E6D">
        <w:rPr>
          <w:lang w:val="sk-SK"/>
        </w:rPr>
        <w:t>spĺňa požiadavky zákona č. 69/2018 Z.</w:t>
      </w:r>
      <w:r w:rsidR="00E73796">
        <w:rPr>
          <w:lang w:val="sk-SK"/>
        </w:rPr>
        <w:t xml:space="preserve"> </w:t>
      </w:r>
      <w:r w:rsidR="00E73796" w:rsidRPr="00873E6D">
        <w:rPr>
          <w:lang w:val="sk-SK"/>
        </w:rPr>
        <w:t>z. o kybernetickej bezpečnosti resp. zákona č.</w:t>
      </w:r>
      <w:r w:rsidR="00E73796">
        <w:rPr>
          <w:lang w:val="sk-SK"/>
        </w:rPr>
        <w:t> </w:t>
      </w:r>
      <w:r w:rsidR="00E73796" w:rsidRPr="00873E6D">
        <w:rPr>
          <w:lang w:val="sk-SK"/>
        </w:rPr>
        <w:t>95/2019 Z.</w:t>
      </w:r>
      <w:r w:rsidR="00E73796">
        <w:rPr>
          <w:lang w:val="sk-SK"/>
        </w:rPr>
        <w:t xml:space="preserve"> </w:t>
      </w:r>
      <w:r w:rsidR="00E73796" w:rsidRPr="00873E6D">
        <w:rPr>
          <w:lang w:val="sk-SK"/>
        </w:rPr>
        <w:t>z. informačných technológiách vo verejnej správe.</w:t>
      </w:r>
    </w:p>
    <w:p w14:paraId="3E31A824" w14:textId="109D57E6" w:rsidR="00E73796" w:rsidRPr="00634A79" w:rsidRDefault="00E73796" w:rsidP="00634A79">
      <w:pPr>
        <w:pStyle w:val="Nadpis2"/>
        <w:spacing w:after="240" w:line="240" w:lineRule="auto"/>
        <w:ind w:left="578" w:hanging="578"/>
        <w:rPr>
          <w:rFonts w:ascii="Times New Roman" w:hAnsi="Times New Roman"/>
          <w:noProof/>
        </w:rPr>
      </w:pPr>
      <w:bookmarkStart w:id="8" w:name="_Toc136531175"/>
      <w:r w:rsidRPr="00634A79">
        <w:rPr>
          <w:rFonts w:ascii="Times New Roman" w:hAnsi="Times New Roman"/>
          <w:noProof/>
        </w:rPr>
        <w:t>Právny základ a normatívne odkazy</w:t>
      </w:r>
      <w:bookmarkEnd w:id="8"/>
    </w:p>
    <w:p w14:paraId="3EBD4369" w14:textId="7DA57AC3" w:rsidR="009F4347" w:rsidRPr="009F4347" w:rsidRDefault="009F4347" w:rsidP="009F4347">
      <w:pPr>
        <w:pStyle w:val="Zkladntext"/>
      </w:pPr>
      <w:r w:rsidRPr="009F4347">
        <w:t xml:space="preserve">Táto </w:t>
      </w:r>
      <w:r w:rsidR="002B577A">
        <w:t>smernica</w:t>
      </w:r>
      <w:r w:rsidRPr="009F4347">
        <w:t xml:space="preserve"> sa opiera najmä o nasledovné právne predpisy a technické normy:</w:t>
      </w:r>
    </w:p>
    <w:p w14:paraId="16CE4BAE" w14:textId="2479572F" w:rsidR="002B577A" w:rsidRDefault="002B577A" w:rsidP="00B81933">
      <w:pPr>
        <w:pStyle w:val="Zkladntext"/>
        <w:numPr>
          <w:ilvl w:val="0"/>
          <w:numId w:val="45"/>
        </w:numPr>
        <w:ind w:left="284" w:hanging="284"/>
      </w:pPr>
      <w:r>
        <w:t>Metodika analýzy rizík kybernetickej bezpečnosti vypracovaná Národným bezpečnostným úradom</w:t>
      </w:r>
      <w:r w:rsidR="00947754">
        <w:t>,</w:t>
      </w:r>
    </w:p>
    <w:p w14:paraId="7DCFF6A5" w14:textId="76F8E5FC" w:rsidR="009F4347" w:rsidRPr="009F4347" w:rsidRDefault="00947754" w:rsidP="00B81933">
      <w:pPr>
        <w:pStyle w:val="Zkladntext"/>
        <w:numPr>
          <w:ilvl w:val="0"/>
          <w:numId w:val="45"/>
        </w:numPr>
        <w:ind w:left="284" w:hanging="284"/>
      </w:pPr>
      <w:r>
        <w:t>Z</w:t>
      </w:r>
      <w:r w:rsidR="009F4347" w:rsidRPr="009F4347">
        <w:t>ákon č. 69/2018 Z.z. o kybernetickej bezpečnosti,</w:t>
      </w:r>
    </w:p>
    <w:p w14:paraId="2E362089" w14:textId="07F59EF0" w:rsidR="009F4347" w:rsidRDefault="00947754" w:rsidP="00B81933">
      <w:pPr>
        <w:pStyle w:val="Zkladntext"/>
        <w:numPr>
          <w:ilvl w:val="0"/>
          <w:numId w:val="45"/>
        </w:numPr>
        <w:ind w:left="284" w:hanging="284"/>
      </w:pPr>
      <w:r>
        <w:t>V</w:t>
      </w:r>
      <w:r w:rsidR="009F4347" w:rsidRPr="009F4347">
        <w:t>yhláška NBÚ č. 362/2018 Z.z. ktorou sa ustanovuje obsah bezpečnostných opatrení, obsah a štruktúra bezpečnostnej dokumentácie a rozsah všeobecných bezpečnostných opatrení,</w:t>
      </w:r>
    </w:p>
    <w:p w14:paraId="01E34C57" w14:textId="2A4795AF" w:rsidR="00947754" w:rsidRPr="00FC63B2" w:rsidRDefault="00947754" w:rsidP="00D36C21">
      <w:pPr>
        <w:pStyle w:val="Zkladntext"/>
        <w:numPr>
          <w:ilvl w:val="0"/>
          <w:numId w:val="63"/>
        </w:numPr>
        <w:ind w:left="284" w:hanging="284"/>
      </w:pPr>
      <w:r>
        <w:t>Z</w:t>
      </w:r>
      <w:r w:rsidRPr="00FC63B2">
        <w:t>ákon č. 95/2019 Z. z. o informačných technológiách vo verejnej správe a o zmene a doplnení niektorých zákonov v znení neskorších predpisov,</w:t>
      </w:r>
    </w:p>
    <w:p w14:paraId="07F46706" w14:textId="04E88496" w:rsidR="00947754" w:rsidRPr="00FC63B2" w:rsidRDefault="00947754" w:rsidP="00D36C21">
      <w:pPr>
        <w:pStyle w:val="Zkladntext"/>
        <w:numPr>
          <w:ilvl w:val="0"/>
          <w:numId w:val="63"/>
        </w:numPr>
        <w:ind w:left="284" w:hanging="284"/>
      </w:pPr>
      <w:r>
        <w:t>V</w:t>
      </w:r>
      <w:r w:rsidRPr="00FC63B2">
        <w:t>yhláška Úradu podpredsedu vlády Slovenskej republiky pre investície a informatizáciu č.</w:t>
      </w:r>
      <w:r w:rsidR="00C711C8">
        <w:t> </w:t>
      </w:r>
      <w:r w:rsidRPr="00FC63B2">
        <w:t>179/2020, ktorou sa ustanovuje spôsob kategorizácie a obsah bezpečnostných opatrení informačných technológií verejnej správy,</w:t>
      </w:r>
    </w:p>
    <w:p w14:paraId="06510B9F" w14:textId="1A9324A8" w:rsidR="00624537" w:rsidRDefault="00624537" w:rsidP="00B81933">
      <w:pPr>
        <w:pStyle w:val="Zkladntext"/>
        <w:numPr>
          <w:ilvl w:val="0"/>
          <w:numId w:val="45"/>
        </w:numPr>
        <w:ind w:left="284" w:hanging="284"/>
      </w:pPr>
      <w:r w:rsidRPr="00624537">
        <w:t>ISO/IEC 27001:2022 Information security, cybersecurity and privacy protection — Information security management systems — Requirements (ku dňu prijatia tohto dokumentu nebol ešte vydaný slovenský preklad danej normy)</w:t>
      </w:r>
      <w:r>
        <w:t>,</w:t>
      </w:r>
    </w:p>
    <w:p w14:paraId="19F1F376" w14:textId="1806EBEC" w:rsidR="00624537" w:rsidRDefault="00624537" w:rsidP="00B81933">
      <w:pPr>
        <w:pStyle w:val="Zkladntext"/>
        <w:numPr>
          <w:ilvl w:val="0"/>
          <w:numId w:val="45"/>
        </w:numPr>
        <w:ind w:left="284" w:hanging="284"/>
      </w:pPr>
      <w:r w:rsidRPr="00624537">
        <w:t>ISO/IEC 27002:2022 Information security, cybersecurity and privacy protection — Information security controls (ku dňu prijatia tohto dokumentu nebol ešte vydaný slovenský preklad danej normy)</w:t>
      </w:r>
    </w:p>
    <w:p w14:paraId="098D068E" w14:textId="7FD70EAE" w:rsidR="009F4347" w:rsidRPr="009F4347" w:rsidRDefault="009F4347" w:rsidP="00B81933">
      <w:pPr>
        <w:pStyle w:val="Zkladntext"/>
        <w:numPr>
          <w:ilvl w:val="0"/>
          <w:numId w:val="45"/>
        </w:numPr>
        <w:ind w:left="284" w:hanging="284"/>
      </w:pPr>
      <w:r w:rsidRPr="009F4347">
        <w:t>ISO/IEC 27005:20</w:t>
      </w:r>
      <w:r w:rsidR="008C697F">
        <w:t>22</w:t>
      </w:r>
      <w:r w:rsidRPr="009F4347">
        <w:t xml:space="preserve"> </w:t>
      </w:r>
      <w:r w:rsidR="00624537" w:rsidRPr="00624537">
        <w:t>Information security, cybersecurity and privacy protection — Guidance on</w:t>
      </w:r>
      <w:r w:rsidR="00624537">
        <w:t> </w:t>
      </w:r>
      <w:r w:rsidR="00624537" w:rsidRPr="00624537">
        <w:t>managing information security risks (ku dňu prijatia tohto dokumentu nebol ešte vydaný slovenský preklad danej normy)</w:t>
      </w:r>
      <w:r w:rsidRPr="009F4347">
        <w:t>,</w:t>
      </w:r>
    </w:p>
    <w:p w14:paraId="1E9FEE5D" w14:textId="794A8B51" w:rsidR="00581D91" w:rsidRPr="00B6278E" w:rsidRDefault="009F4347" w:rsidP="00B6278E">
      <w:pPr>
        <w:pStyle w:val="Zkladntext"/>
      </w:pPr>
      <w:r>
        <w:br w:type="page"/>
      </w:r>
    </w:p>
    <w:p w14:paraId="4843FE00" w14:textId="2CA38405" w:rsidR="006E3583" w:rsidRDefault="00051FC8" w:rsidP="00E25C4C">
      <w:pPr>
        <w:pStyle w:val="Nadpis1"/>
        <w:pageBreakBefore/>
        <w:spacing w:before="240" w:after="240" w:line="240" w:lineRule="auto"/>
        <w:ind w:left="431" w:hanging="431"/>
      </w:pPr>
      <w:bookmarkStart w:id="9" w:name="_Toc136531176"/>
      <w:r>
        <w:lastRenderedPageBreak/>
        <w:t>Výkon a</w:t>
      </w:r>
      <w:r w:rsidR="00581D91">
        <w:t>nalýzy rizík</w:t>
      </w:r>
      <w:r w:rsidR="00461F75">
        <w:t xml:space="preserve"> – kvalitatívna </w:t>
      </w:r>
      <w:r w:rsidR="00D305CD">
        <w:t>analýza rizík</w:t>
      </w:r>
      <w:bookmarkEnd w:id="9"/>
    </w:p>
    <w:p w14:paraId="42B452AA" w14:textId="7F3C02E8" w:rsidR="00D305CD" w:rsidRDefault="00D305CD" w:rsidP="00BB39A8">
      <w:pPr>
        <w:pStyle w:val="Zkladntext"/>
        <w:rPr>
          <w:lang w:val="sk-SK"/>
        </w:rPr>
      </w:pPr>
      <w:r>
        <w:rPr>
          <w:lang w:val="sk-SK"/>
        </w:rPr>
        <w:t xml:space="preserve">Táto kapitola v krátkosti popisuje postup výkonu kvalitatívnej analýzy rizík. Tento spôsob výkonu analýzy rizík používa na definovanie rizikových faktorov slovné hodnoty, ktoré sú pre </w:t>
      </w:r>
      <w:r w:rsidRPr="00E76BC0">
        <w:rPr>
          <w:lang w:val="sk-SK"/>
        </w:rPr>
        <w:t>väčšinu používateľov</w:t>
      </w:r>
      <w:r>
        <w:rPr>
          <w:lang w:val="sk-SK"/>
        </w:rPr>
        <w:t xml:space="preserve"> </w:t>
      </w:r>
      <w:r w:rsidRPr="00E76BC0">
        <w:rPr>
          <w:lang w:val="sk-SK"/>
        </w:rPr>
        <w:t>zrozumiteľnejši</w:t>
      </w:r>
      <w:r>
        <w:rPr>
          <w:lang w:val="sk-SK"/>
        </w:rPr>
        <w:t>e</w:t>
      </w:r>
      <w:r w:rsidRPr="00E76BC0">
        <w:rPr>
          <w:lang w:val="sk-SK"/>
        </w:rPr>
        <w:t xml:space="preserve"> a</w:t>
      </w:r>
      <w:r>
        <w:rPr>
          <w:lang w:val="sk-SK"/>
        </w:rPr>
        <w:t> </w:t>
      </w:r>
      <w:r w:rsidRPr="00E76BC0">
        <w:rPr>
          <w:lang w:val="sk-SK"/>
        </w:rPr>
        <w:t>prijateľnejši</w:t>
      </w:r>
      <w:r>
        <w:rPr>
          <w:lang w:val="sk-SK"/>
        </w:rPr>
        <w:t>e.</w:t>
      </w:r>
    </w:p>
    <w:p w14:paraId="377259A5" w14:textId="3B36CDAA" w:rsidR="005C2F04" w:rsidRPr="00461F75" w:rsidRDefault="00F54051" w:rsidP="00461F75">
      <w:pPr>
        <w:pStyle w:val="Nadpis2"/>
        <w:spacing w:after="240" w:line="240" w:lineRule="auto"/>
        <w:ind w:left="578" w:hanging="578"/>
        <w:rPr>
          <w:rFonts w:ascii="Times New Roman" w:hAnsi="Times New Roman"/>
          <w:noProof/>
        </w:rPr>
      </w:pPr>
      <w:bookmarkStart w:id="10" w:name="_Toc136531177"/>
      <w:r w:rsidRPr="00461F75">
        <w:rPr>
          <w:rFonts w:ascii="Times New Roman" w:hAnsi="Times New Roman"/>
          <w:noProof/>
        </w:rPr>
        <w:t xml:space="preserve">Stanovenie </w:t>
      </w:r>
      <w:r w:rsidR="000925EA" w:rsidRPr="00461F75">
        <w:rPr>
          <w:rFonts w:ascii="Times New Roman" w:hAnsi="Times New Roman"/>
          <w:noProof/>
        </w:rPr>
        <w:t>kontextu rizika</w:t>
      </w:r>
      <w:bookmarkEnd w:id="10"/>
    </w:p>
    <w:p w14:paraId="31A4F096" w14:textId="67D938A9" w:rsidR="00CF5481" w:rsidRPr="00CF5481" w:rsidRDefault="00D305CD" w:rsidP="00CF5481">
      <w:pPr>
        <w:pStyle w:val="Zkladntext"/>
      </w:pPr>
      <w:r>
        <w:t>Pred začiatkom výkonu analýzy rizík je potrebné si bližšie zadefinovať kontext, ktorom organizácia analýzu rizík vykonáva. Na tento účel je potrebné zaoberať sa najmenej nasledujúcimi činnosťami:</w:t>
      </w:r>
    </w:p>
    <w:p w14:paraId="1FAE78CB" w14:textId="77777777" w:rsidR="00CF5481" w:rsidRPr="00CF5481" w:rsidRDefault="00CF5481" w:rsidP="00B81933">
      <w:pPr>
        <w:pStyle w:val="Zkladntext"/>
        <w:numPr>
          <w:ilvl w:val="0"/>
          <w:numId w:val="45"/>
        </w:numPr>
        <w:ind w:left="284" w:hanging="284"/>
      </w:pPr>
      <w:r w:rsidRPr="00CF5481">
        <w:t>identifikácia aktív a ich vlastníkov,</w:t>
      </w:r>
    </w:p>
    <w:p w14:paraId="035CD679" w14:textId="77777777" w:rsidR="00CF5481" w:rsidRPr="00CF5481" w:rsidRDefault="00CF5481" w:rsidP="00B81933">
      <w:pPr>
        <w:pStyle w:val="Zkladntext"/>
        <w:numPr>
          <w:ilvl w:val="0"/>
          <w:numId w:val="45"/>
        </w:numPr>
        <w:ind w:left="284" w:hanging="284"/>
      </w:pPr>
      <w:r w:rsidRPr="00CF5481">
        <w:t>identifikácia zraniteľností,</w:t>
      </w:r>
    </w:p>
    <w:p w14:paraId="1B9C8174" w14:textId="77777777" w:rsidR="00CF5481" w:rsidRPr="00CF5481" w:rsidRDefault="00CF5481" w:rsidP="00B81933">
      <w:pPr>
        <w:pStyle w:val="Zkladntext"/>
        <w:numPr>
          <w:ilvl w:val="0"/>
          <w:numId w:val="45"/>
        </w:numPr>
        <w:ind w:left="284" w:hanging="284"/>
      </w:pPr>
      <w:r w:rsidRPr="00CF5481">
        <w:t>identifikácia potenciálnych hrozieb,</w:t>
      </w:r>
    </w:p>
    <w:p w14:paraId="5E1EFA08" w14:textId="77777777" w:rsidR="00CF5481" w:rsidRPr="00CF5481" w:rsidRDefault="00CF5481" w:rsidP="00B81933">
      <w:pPr>
        <w:pStyle w:val="Zkladntext"/>
        <w:numPr>
          <w:ilvl w:val="0"/>
          <w:numId w:val="45"/>
        </w:numPr>
        <w:ind w:left="284" w:hanging="284"/>
      </w:pPr>
      <w:r w:rsidRPr="00CF5481">
        <w:t>odhad dopadov,</w:t>
      </w:r>
    </w:p>
    <w:p w14:paraId="656AFC44" w14:textId="77777777" w:rsidR="00CF5481" w:rsidRPr="00CF5481" w:rsidRDefault="00CF5481" w:rsidP="00B81933">
      <w:pPr>
        <w:pStyle w:val="Zkladntext"/>
        <w:numPr>
          <w:ilvl w:val="0"/>
          <w:numId w:val="45"/>
        </w:numPr>
        <w:ind w:left="284" w:hanging="284"/>
      </w:pPr>
      <w:r w:rsidRPr="00CF5481">
        <w:t>odhad pravdepodobností,</w:t>
      </w:r>
    </w:p>
    <w:p w14:paraId="545CA41A" w14:textId="77777777" w:rsidR="00CF5481" w:rsidRPr="00CF5481" w:rsidRDefault="00CF5481" w:rsidP="00B81933">
      <w:pPr>
        <w:pStyle w:val="Zkladntext"/>
        <w:numPr>
          <w:ilvl w:val="0"/>
          <w:numId w:val="45"/>
        </w:numPr>
        <w:ind w:left="284" w:hanging="284"/>
      </w:pPr>
      <w:r w:rsidRPr="00CF5481">
        <w:t>identifikácia existujúcich opatrení.</w:t>
      </w:r>
    </w:p>
    <w:p w14:paraId="00EFCDB1" w14:textId="0FB66971" w:rsidR="00CF5481" w:rsidRPr="00D305CD" w:rsidRDefault="00CF5481" w:rsidP="00D305CD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1" w:name="_Toc136531178"/>
      <w:r w:rsidRPr="00D305CD">
        <w:rPr>
          <w:rFonts w:ascii="Times New Roman" w:hAnsi="Times New Roman"/>
          <w:sz w:val="24"/>
          <w:szCs w:val="24"/>
        </w:rPr>
        <w:t>Identifikácia aktív a ich vlastníkov</w:t>
      </w:r>
      <w:bookmarkEnd w:id="11"/>
    </w:p>
    <w:p w14:paraId="1FBE9E45" w14:textId="46F199D6" w:rsidR="00D305CD" w:rsidRDefault="00D305CD" w:rsidP="00610B7E">
      <w:pPr>
        <w:pStyle w:val="Zkladntext"/>
        <w:rPr>
          <w:lang w:val="sk-SK"/>
        </w:rPr>
      </w:pPr>
      <w:r>
        <w:rPr>
          <w:lang w:val="sk-SK"/>
        </w:rPr>
        <w:t xml:space="preserve">V rámci prípravy na výkon analýzy rizík si organizácia vytvára prehľadný zoznam informačných aktív a ich vlastníkov. Vytvorenie daného zoznamu je kľúčové, pretože </w:t>
      </w:r>
      <w:r w:rsidR="00FC6C75">
        <w:rPr>
          <w:lang w:val="sk-SK"/>
        </w:rPr>
        <w:t>takýto zoznam je jedným z hlavných vstupov do analýzy rizík a tiež smeruje k tomu, aby nedošlo k opomenutiu žiadneho kľúčového informačného aktíva v rámci procesu určovania závažnosti rizika.</w:t>
      </w:r>
    </w:p>
    <w:p w14:paraId="14B42F97" w14:textId="2C8FF476" w:rsidR="00916435" w:rsidRPr="00D305CD" w:rsidRDefault="00916435" w:rsidP="00D305CD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2" w:name="_Toc136531179"/>
      <w:r w:rsidRPr="00D305CD">
        <w:rPr>
          <w:rFonts w:ascii="Times New Roman" w:hAnsi="Times New Roman"/>
          <w:sz w:val="24"/>
          <w:szCs w:val="24"/>
        </w:rPr>
        <w:t>Identifikácia hrozieb</w:t>
      </w:r>
      <w:bookmarkEnd w:id="12"/>
    </w:p>
    <w:p w14:paraId="71420559" w14:textId="60C2A5DB" w:rsidR="00790842" w:rsidRDefault="00790842" w:rsidP="00790842">
      <w:pPr>
        <w:pStyle w:val="Zkladntext"/>
      </w:pPr>
      <w:r w:rsidRPr="00790842">
        <w:t>Hrozba má vo všeobecnosti potenciál poškodenia aktív, môže byť úmyselná, alebo náhodná, príp. spôsobená vplyvom prostredia pre udalosti, ktoré vznikajú nezávisle od ľudskej činnosti.</w:t>
      </w:r>
    </w:p>
    <w:p w14:paraId="2661ADDC" w14:textId="4A30C3E2" w:rsidR="00FC6C75" w:rsidRDefault="00FC6C75" w:rsidP="00790842">
      <w:pPr>
        <w:pStyle w:val="Zkladntext"/>
      </w:pPr>
      <w:r>
        <w:t>V rámci výkonu analýzy rizík pracuje organizácia s katalógom hrozieb, ktorý napomáha lepšej identifikácii všetkých relevantých hrozieb.</w:t>
      </w:r>
    </w:p>
    <w:p w14:paraId="4BD79C47" w14:textId="7E8A78C4" w:rsidR="00FC6C75" w:rsidRPr="00790842" w:rsidRDefault="00FC6C75" w:rsidP="00790842">
      <w:pPr>
        <w:pStyle w:val="Zkladntext"/>
      </w:pPr>
      <w:r>
        <w:t>Národný bezpečnostný úrad (NBÚ) v rámci svojej činnosti pripravil Katalóg hrozieb obsahujúci viac ako 100 rôznych hrozieb v 15 kategóriách. Organizácia môže tento katalóg vytvorený zo strany NBÚ využiť pri príprave vlastného relevantného katalógu hrozieb.</w:t>
      </w:r>
    </w:p>
    <w:p w14:paraId="1E7CE8F2" w14:textId="0FA20E11" w:rsidR="00790842" w:rsidRPr="00790842" w:rsidRDefault="00FC6C75" w:rsidP="00790842">
      <w:pPr>
        <w:pStyle w:val="Zkladntext"/>
      </w:pPr>
      <w:r>
        <w:t xml:space="preserve">Ďalšími zdrojmi </w:t>
      </w:r>
      <w:r w:rsidR="00790842" w:rsidRPr="00790842">
        <w:t>pre katalóg hrozieb sú informácie o hrozbách získané v rámci poučenia z incidentov, informácie od vlastníkov aktív, od používateľov a informácie z ďalších zdrojov vrátane externých katalógov hrozieb</w:t>
      </w:r>
      <w:r>
        <w:t>.</w:t>
      </w:r>
    </w:p>
    <w:p w14:paraId="0E152C34" w14:textId="76C2AC3E" w:rsidR="00AD3156" w:rsidRPr="00D305CD" w:rsidRDefault="00AD3156" w:rsidP="00D305CD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3" w:name="_Toc136531180"/>
      <w:r w:rsidRPr="00D305CD">
        <w:rPr>
          <w:rFonts w:ascii="Times New Roman" w:hAnsi="Times New Roman"/>
          <w:sz w:val="24"/>
          <w:szCs w:val="24"/>
        </w:rPr>
        <w:t xml:space="preserve">Identifikácia </w:t>
      </w:r>
      <w:r w:rsidR="00701134" w:rsidRPr="00D305CD">
        <w:rPr>
          <w:rFonts w:ascii="Times New Roman" w:hAnsi="Times New Roman"/>
          <w:sz w:val="24"/>
          <w:szCs w:val="24"/>
        </w:rPr>
        <w:t>zraniteľností</w:t>
      </w:r>
      <w:bookmarkEnd w:id="13"/>
    </w:p>
    <w:p w14:paraId="69F3F85C" w14:textId="77777777" w:rsidR="00B43522" w:rsidRDefault="00AD148C" w:rsidP="00AD148C">
      <w:pPr>
        <w:pStyle w:val="Zkladntext"/>
        <w:rPr>
          <w:lang w:val="sk-SK"/>
        </w:rPr>
      </w:pPr>
      <w:r w:rsidRPr="007B2292">
        <w:rPr>
          <w:lang w:val="sk-SK"/>
        </w:rPr>
        <w:t>Zraniteľnosť je takým miestom v prostredí IS resp. organizácie, ktoré má potenciál byť zneužité hrozbou</w:t>
      </w:r>
      <w:r>
        <w:rPr>
          <w:lang w:val="sk-SK"/>
        </w:rPr>
        <w:t xml:space="preserve"> </w:t>
      </w:r>
      <w:r w:rsidRPr="007B2292">
        <w:rPr>
          <w:lang w:val="sk-SK"/>
        </w:rPr>
        <w:t xml:space="preserve">a spôsobiť negatívny dopad na informačné aktíva organizácie, alebo organizáciu ako celok. </w:t>
      </w:r>
    </w:p>
    <w:p w14:paraId="12A96AE0" w14:textId="3DF881DB" w:rsidR="00AD148C" w:rsidRDefault="00AD148C" w:rsidP="00AD148C">
      <w:pPr>
        <w:pStyle w:val="Zkladntext"/>
        <w:rPr>
          <w:lang w:val="sk-SK"/>
        </w:rPr>
      </w:pPr>
      <w:r w:rsidRPr="007B2292">
        <w:rPr>
          <w:lang w:val="sk-SK"/>
        </w:rPr>
        <w:t xml:space="preserve">Identifikáciu uvažovaných zraniteľností </w:t>
      </w:r>
      <w:r w:rsidR="00461F75">
        <w:rPr>
          <w:lang w:val="sk-SK"/>
        </w:rPr>
        <w:t xml:space="preserve">organizácia udržiava v rámci </w:t>
      </w:r>
      <w:r w:rsidRPr="007B2292">
        <w:rPr>
          <w:lang w:val="sk-SK"/>
        </w:rPr>
        <w:t>Katalógu zraniteľností.</w:t>
      </w:r>
    </w:p>
    <w:p w14:paraId="20B9F96C" w14:textId="47E32144" w:rsidR="00AD148C" w:rsidRPr="00D305CD" w:rsidRDefault="00AD148C" w:rsidP="00D305CD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4" w:name="_Toc136531181"/>
      <w:r w:rsidRPr="00D305CD">
        <w:rPr>
          <w:rFonts w:ascii="Times New Roman" w:hAnsi="Times New Roman"/>
          <w:sz w:val="24"/>
          <w:szCs w:val="24"/>
        </w:rPr>
        <w:lastRenderedPageBreak/>
        <w:t>Odhad dopadov</w:t>
      </w:r>
      <w:bookmarkEnd w:id="14"/>
    </w:p>
    <w:p w14:paraId="2454AF01" w14:textId="58C2B4A2" w:rsidR="00E00713" w:rsidRPr="007B2292" w:rsidRDefault="00E00713" w:rsidP="00E00713">
      <w:pPr>
        <w:pStyle w:val="Zkladntext"/>
        <w:rPr>
          <w:lang w:val="sk-SK"/>
        </w:rPr>
      </w:pPr>
      <w:r w:rsidRPr="007B2292">
        <w:rPr>
          <w:lang w:val="sk-SK"/>
        </w:rPr>
        <w:t>Identifikované typy dopadov na aktíva v dôsledku straty dôvernosti, integrity a</w:t>
      </w:r>
      <w:r w:rsidR="00461F75">
        <w:rPr>
          <w:lang w:val="sk-SK"/>
        </w:rPr>
        <w:t> </w:t>
      </w:r>
      <w:r w:rsidRPr="007B2292">
        <w:rPr>
          <w:lang w:val="sk-SK"/>
        </w:rPr>
        <w:t>dostupnosti</w:t>
      </w:r>
      <w:r w:rsidR="00461F75">
        <w:rPr>
          <w:lang w:val="sk-SK"/>
        </w:rPr>
        <w:t xml:space="preserve"> sú uvedené</w:t>
      </w:r>
      <w:r w:rsidRPr="007B2292">
        <w:rPr>
          <w:lang w:val="sk-SK"/>
        </w:rPr>
        <w:t xml:space="preserve"> v zozname typov dopadov.</w:t>
      </w:r>
    </w:p>
    <w:p w14:paraId="5FCA7C1F" w14:textId="77777777" w:rsidR="00E00713" w:rsidRDefault="00E00713" w:rsidP="00E00713">
      <w:pPr>
        <w:pStyle w:val="Zkladntext"/>
        <w:rPr>
          <w:lang w:val="sk-SK"/>
        </w:rPr>
      </w:pPr>
      <w:r w:rsidRPr="007B2292">
        <w:rPr>
          <w:lang w:val="sk-SK"/>
        </w:rPr>
        <w:t>Popis dopadov v rámci scenárov rizík je realizovaný uvedením typu alebo identifikátora typu dopadu podľa skutočného stavu v oblasti pôsobnosti príslušných aktív a relevantnosti pre daný scenár rizika.</w:t>
      </w:r>
    </w:p>
    <w:p w14:paraId="492F05A5" w14:textId="5A8691E2" w:rsidR="00667F8C" w:rsidRPr="00D305CD" w:rsidRDefault="00E00713" w:rsidP="00D305CD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5" w:name="_Toc136531182"/>
      <w:r w:rsidRPr="00D305CD">
        <w:rPr>
          <w:rFonts w:ascii="Times New Roman" w:hAnsi="Times New Roman"/>
          <w:sz w:val="24"/>
          <w:szCs w:val="24"/>
        </w:rPr>
        <w:t xml:space="preserve">Identifikácia existujúcich </w:t>
      </w:r>
      <w:r w:rsidR="00667F8C" w:rsidRPr="00D305CD">
        <w:rPr>
          <w:rFonts w:ascii="Times New Roman" w:hAnsi="Times New Roman"/>
          <w:sz w:val="24"/>
          <w:szCs w:val="24"/>
        </w:rPr>
        <w:t>opatrení</w:t>
      </w:r>
      <w:bookmarkEnd w:id="15"/>
    </w:p>
    <w:p w14:paraId="02E19FA3" w14:textId="2C62A071" w:rsidR="00597873" w:rsidRDefault="00B43522" w:rsidP="00597873">
      <w:pPr>
        <w:pStyle w:val="Zkladntext"/>
        <w:rPr>
          <w:lang w:val="sk-SK"/>
        </w:rPr>
      </w:pPr>
      <w:r>
        <w:rPr>
          <w:lang w:val="sk-SK"/>
        </w:rPr>
        <w:t xml:space="preserve">Pri výkone analýzy rizík je potrebné uvažovať aj s existujúcimi implementovanými bezpečnostnými opatreniami. </w:t>
      </w:r>
      <w:r w:rsidR="00597873" w:rsidRPr="007B2292">
        <w:rPr>
          <w:lang w:val="sk-SK"/>
        </w:rPr>
        <w:t>Tieto</w:t>
      </w:r>
      <w:r>
        <w:rPr>
          <w:lang w:val="sk-SK"/>
        </w:rPr>
        <w:t xml:space="preserve"> opatrenia musia byť zohľadnené</w:t>
      </w:r>
      <w:r w:rsidR="00597873" w:rsidRPr="007B2292">
        <w:rPr>
          <w:lang w:val="sk-SK"/>
        </w:rPr>
        <w:t xml:space="preserve"> pri určovaní výslednej hodnoty rizika</w:t>
      </w:r>
      <w:r>
        <w:rPr>
          <w:lang w:val="sk-SK"/>
        </w:rPr>
        <w:t xml:space="preserve">. </w:t>
      </w:r>
      <w:r w:rsidR="00597873" w:rsidRPr="007B2292">
        <w:rPr>
          <w:lang w:val="sk-SK"/>
        </w:rPr>
        <w:t>Súčasťou identifikácie existujúcich opatrení môže byť pri niektorých analyzovaných rizikách aj popis aktuálneho stavu, resp.</w:t>
      </w:r>
      <w:r w:rsidR="00597873">
        <w:rPr>
          <w:lang w:val="sk-SK"/>
        </w:rPr>
        <w:t> </w:t>
      </w:r>
      <w:r w:rsidR="00597873" w:rsidRPr="007B2292">
        <w:rPr>
          <w:lang w:val="sk-SK"/>
        </w:rPr>
        <w:t>zistený nesúlad (s legislatívou, s internými predpismi, atď.).</w:t>
      </w:r>
    </w:p>
    <w:p w14:paraId="0F9F30D8" w14:textId="1E80AA1D" w:rsidR="00597873" w:rsidRPr="00D305CD" w:rsidRDefault="00597873" w:rsidP="00D305CD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6" w:name="_Toc136531183"/>
      <w:r w:rsidRPr="00D305CD">
        <w:rPr>
          <w:rFonts w:ascii="Times New Roman" w:hAnsi="Times New Roman"/>
          <w:sz w:val="24"/>
          <w:szCs w:val="24"/>
        </w:rPr>
        <w:t>Závažnosť rizík</w:t>
      </w:r>
      <w:bookmarkEnd w:id="16"/>
    </w:p>
    <w:p w14:paraId="1757691E" w14:textId="7EFD8FCE" w:rsidR="00594D4C" w:rsidRDefault="00953BA7" w:rsidP="00594D4C">
      <w:pPr>
        <w:pStyle w:val="Zkladntext"/>
      </w:pPr>
      <w:r>
        <w:t>Nasledovná tabuľka popisuje rôzne úrovne závažnosti rizík</w:t>
      </w:r>
      <w:r w:rsidR="00594D4C" w:rsidRPr="00850BDF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7"/>
        <w:gridCol w:w="6689"/>
      </w:tblGrid>
      <w:tr w:rsidR="00594D4C" w:rsidRPr="00594D4C" w14:paraId="1CCED3F4" w14:textId="77777777" w:rsidTr="00594D4C">
        <w:tc>
          <w:tcPr>
            <w:tcW w:w="2377" w:type="dxa"/>
            <w:shd w:val="clear" w:color="auto" w:fill="000000" w:themeFill="text1"/>
          </w:tcPr>
          <w:p w14:paraId="0F68750D" w14:textId="77777777" w:rsidR="00594D4C" w:rsidRPr="00594D4C" w:rsidRDefault="00594D4C" w:rsidP="00594D4C">
            <w:pPr>
              <w:pStyle w:val="Zkladntext"/>
            </w:pPr>
            <w:bookmarkStart w:id="17" w:name="_Hlk112768385"/>
            <w:r w:rsidRPr="00594D4C">
              <w:t>Úroveň závažnosti</w:t>
            </w:r>
          </w:p>
        </w:tc>
        <w:tc>
          <w:tcPr>
            <w:tcW w:w="6689" w:type="dxa"/>
            <w:shd w:val="clear" w:color="auto" w:fill="000000" w:themeFill="text1"/>
          </w:tcPr>
          <w:p w14:paraId="355F1C56" w14:textId="77777777" w:rsidR="00594D4C" w:rsidRPr="00594D4C" w:rsidRDefault="00594D4C" w:rsidP="00594D4C">
            <w:pPr>
              <w:pStyle w:val="Zkladntext"/>
            </w:pPr>
            <w:r w:rsidRPr="00594D4C">
              <w:t>Slovný opis závažnosti</w:t>
            </w:r>
          </w:p>
        </w:tc>
      </w:tr>
      <w:tr w:rsidR="00594D4C" w:rsidRPr="00594D4C" w14:paraId="028ED7D6" w14:textId="77777777" w:rsidTr="00594D4C">
        <w:tc>
          <w:tcPr>
            <w:tcW w:w="2377" w:type="dxa"/>
          </w:tcPr>
          <w:p w14:paraId="45A600C5" w14:textId="77777777" w:rsidR="00594D4C" w:rsidRPr="00594D4C" w:rsidRDefault="00594D4C" w:rsidP="00594D4C">
            <w:pPr>
              <w:pStyle w:val="Zkladntext"/>
            </w:pPr>
            <w:r w:rsidRPr="00594D4C">
              <w:t>Mimoriadne vysoké</w:t>
            </w:r>
          </w:p>
        </w:tc>
        <w:tc>
          <w:tcPr>
            <w:tcW w:w="6689" w:type="dxa"/>
          </w:tcPr>
          <w:p w14:paraId="0C786A33" w14:textId="77777777" w:rsidR="00594D4C" w:rsidRPr="00594D4C" w:rsidRDefault="00594D4C" w:rsidP="00594D4C">
            <w:pPr>
              <w:pStyle w:val="Zkladntext"/>
              <w:ind w:left="357" w:firstLine="0"/>
            </w:pPr>
            <w:r w:rsidRPr="00594D4C">
              <w:t>riziko bezprostredne ohrozuje poskytovanie základnej služby, bezpečnosť organizácie, resp. kritického procesu, alebo systému (typicky prekročenie stanoveného limitu tolerancie rizika, katastrofálna finančná strata alebo škoda na majetku, dopady na zdravie a život, dopad na životné prostredie, atď.)</w:t>
            </w:r>
          </w:p>
        </w:tc>
      </w:tr>
      <w:tr w:rsidR="00594D4C" w:rsidRPr="00594D4C" w14:paraId="587646BE" w14:textId="77777777" w:rsidTr="00594D4C">
        <w:tc>
          <w:tcPr>
            <w:tcW w:w="2377" w:type="dxa"/>
          </w:tcPr>
          <w:p w14:paraId="3CFACDC9" w14:textId="77777777" w:rsidR="00594D4C" w:rsidRPr="00594D4C" w:rsidRDefault="00594D4C" w:rsidP="00594D4C">
            <w:pPr>
              <w:pStyle w:val="Zkladntext"/>
            </w:pPr>
            <w:r w:rsidRPr="00594D4C">
              <w:t>Vysoké</w:t>
            </w:r>
          </w:p>
        </w:tc>
        <w:tc>
          <w:tcPr>
            <w:tcW w:w="6689" w:type="dxa"/>
          </w:tcPr>
          <w:p w14:paraId="7CB575D4" w14:textId="77777777" w:rsidR="00594D4C" w:rsidRPr="00594D4C" w:rsidRDefault="00594D4C" w:rsidP="00594D4C">
            <w:pPr>
              <w:pStyle w:val="Zkladntext"/>
              <w:ind w:left="357" w:firstLine="0"/>
            </w:pPr>
            <w:r w:rsidRPr="00594D4C">
              <w:t>riziko potenciálne ohrozuje poskytovanie základnej služby, bezpečnosť organizácie resp. kritického procesu, alebo systému</w:t>
            </w:r>
          </w:p>
        </w:tc>
      </w:tr>
      <w:tr w:rsidR="00594D4C" w:rsidRPr="00594D4C" w14:paraId="6B235FE4" w14:textId="77777777" w:rsidTr="00594D4C">
        <w:tc>
          <w:tcPr>
            <w:tcW w:w="2377" w:type="dxa"/>
          </w:tcPr>
          <w:p w14:paraId="4C84C342" w14:textId="77777777" w:rsidR="00594D4C" w:rsidRPr="00594D4C" w:rsidRDefault="00594D4C" w:rsidP="00594D4C">
            <w:pPr>
              <w:pStyle w:val="Zkladntext"/>
            </w:pPr>
            <w:r w:rsidRPr="00594D4C">
              <w:t>Nízke</w:t>
            </w:r>
          </w:p>
        </w:tc>
        <w:tc>
          <w:tcPr>
            <w:tcW w:w="6689" w:type="dxa"/>
          </w:tcPr>
          <w:p w14:paraId="1C43ABD2" w14:textId="77777777" w:rsidR="00594D4C" w:rsidRPr="00594D4C" w:rsidRDefault="00594D4C" w:rsidP="00594D4C">
            <w:pPr>
              <w:pStyle w:val="Zkladntext"/>
              <w:ind w:left="357" w:firstLine="0"/>
            </w:pPr>
            <w:r w:rsidRPr="00594D4C">
              <w:t>riziko neohrozuje poskytovanie základnej služby, ohrozuje výkon niektorých podporných procesov, kritické procesy, alebo systémy však nie sú rizikom ohrozené</w:t>
            </w:r>
          </w:p>
        </w:tc>
      </w:tr>
      <w:tr w:rsidR="00594D4C" w:rsidRPr="00594D4C" w14:paraId="71E32A9B" w14:textId="77777777" w:rsidTr="00594D4C">
        <w:tc>
          <w:tcPr>
            <w:tcW w:w="2377" w:type="dxa"/>
          </w:tcPr>
          <w:p w14:paraId="4722AE68" w14:textId="77777777" w:rsidR="00594D4C" w:rsidRPr="00594D4C" w:rsidRDefault="00594D4C" w:rsidP="00594D4C">
            <w:pPr>
              <w:pStyle w:val="Zkladntext"/>
            </w:pPr>
            <w:r w:rsidRPr="00594D4C">
              <w:t>Zanedbateľné</w:t>
            </w:r>
          </w:p>
        </w:tc>
        <w:tc>
          <w:tcPr>
            <w:tcW w:w="6689" w:type="dxa"/>
          </w:tcPr>
          <w:p w14:paraId="188999EF" w14:textId="13BE1275" w:rsidR="00594D4C" w:rsidRPr="00594D4C" w:rsidRDefault="00594D4C" w:rsidP="00594D4C">
            <w:pPr>
              <w:pStyle w:val="Zkladntext"/>
              <w:ind w:left="357" w:firstLine="0"/>
            </w:pPr>
            <w:r w:rsidRPr="00594D4C">
              <w:t>riziko neohrozuje poskytovanie základnej služby, výkon procesov a</w:t>
            </w:r>
            <w:r w:rsidR="00953BA7">
              <w:t> </w:t>
            </w:r>
            <w:r w:rsidRPr="00594D4C">
              <w:t>prevádzka systémov nie sú rizikom ohrozené</w:t>
            </w:r>
          </w:p>
        </w:tc>
      </w:tr>
    </w:tbl>
    <w:p w14:paraId="79A44281" w14:textId="4F096FBE" w:rsidR="00A20C1A" w:rsidRPr="00634A79" w:rsidRDefault="00B43522" w:rsidP="00634A79">
      <w:pPr>
        <w:pStyle w:val="Nadpis2"/>
        <w:spacing w:after="240" w:line="240" w:lineRule="auto"/>
        <w:ind w:left="578" w:hanging="578"/>
        <w:rPr>
          <w:rFonts w:ascii="Times New Roman" w:hAnsi="Times New Roman"/>
          <w:noProof/>
        </w:rPr>
      </w:pPr>
      <w:bookmarkStart w:id="18" w:name="_Toc136531184"/>
      <w:bookmarkEnd w:id="17"/>
      <w:r>
        <w:rPr>
          <w:rFonts w:ascii="Times New Roman" w:hAnsi="Times New Roman"/>
          <w:noProof/>
        </w:rPr>
        <w:t>F</w:t>
      </w:r>
      <w:r w:rsidR="00543F19" w:rsidRPr="00634A79">
        <w:rPr>
          <w:rFonts w:ascii="Times New Roman" w:hAnsi="Times New Roman"/>
          <w:noProof/>
        </w:rPr>
        <w:t>áz</w:t>
      </w:r>
      <w:r>
        <w:rPr>
          <w:rFonts w:ascii="Times New Roman" w:hAnsi="Times New Roman"/>
          <w:noProof/>
        </w:rPr>
        <w:t>y</w:t>
      </w:r>
      <w:r w:rsidR="00543F19" w:rsidRPr="00634A79">
        <w:rPr>
          <w:rFonts w:ascii="Times New Roman" w:hAnsi="Times New Roman"/>
          <w:noProof/>
        </w:rPr>
        <w:t xml:space="preserve"> kvalitatívnej analýzy rizík</w:t>
      </w:r>
      <w:bookmarkEnd w:id="18"/>
    </w:p>
    <w:p w14:paraId="0F57A399" w14:textId="2173CBCA" w:rsidR="004E3CC2" w:rsidRPr="004E3CC2" w:rsidRDefault="00461F75" w:rsidP="004E3CC2">
      <w:pPr>
        <w:pStyle w:val="Zkladntext"/>
      </w:pPr>
      <w:r>
        <w:t>K</w:t>
      </w:r>
      <w:r w:rsidR="004E3CC2" w:rsidRPr="004E3CC2">
        <w:t>valitatívn</w:t>
      </w:r>
      <w:r>
        <w:t>a</w:t>
      </w:r>
      <w:r w:rsidR="004E3CC2" w:rsidRPr="004E3CC2">
        <w:t xml:space="preserve"> analýz</w:t>
      </w:r>
      <w:r>
        <w:t>a</w:t>
      </w:r>
      <w:r w:rsidR="004E3CC2" w:rsidRPr="004E3CC2">
        <w:t xml:space="preserve"> rizík popísaná v tomto dokumente pozostáva z nasledujúcich fáz:</w:t>
      </w:r>
    </w:p>
    <w:p w14:paraId="302BED57" w14:textId="7DD6CE4B" w:rsidR="004E3CC2" w:rsidRPr="004E3CC2" w:rsidRDefault="004E3CC2" w:rsidP="00B81933">
      <w:pPr>
        <w:pStyle w:val="Zkladntext"/>
        <w:numPr>
          <w:ilvl w:val="0"/>
          <w:numId w:val="45"/>
        </w:numPr>
        <w:ind w:left="284" w:hanging="284"/>
      </w:pPr>
      <w:r w:rsidRPr="004E3CC2">
        <w:t>identifikácia scenárov rizík</w:t>
      </w:r>
      <w:r w:rsidR="00953BA7">
        <w:t>,</w:t>
      </w:r>
    </w:p>
    <w:p w14:paraId="203CE465" w14:textId="1AA89535" w:rsidR="004E3CC2" w:rsidRPr="004E3CC2" w:rsidRDefault="004E3CC2" w:rsidP="00B81933">
      <w:pPr>
        <w:pStyle w:val="Zkladntext"/>
        <w:numPr>
          <w:ilvl w:val="0"/>
          <w:numId w:val="45"/>
        </w:numPr>
        <w:ind w:left="284" w:hanging="284"/>
      </w:pPr>
      <w:r w:rsidRPr="004E3CC2">
        <w:t>vyhodnotenie výsledného rizika pre identifikované hrozby</w:t>
      </w:r>
      <w:r w:rsidR="00953BA7">
        <w:t>:</w:t>
      </w:r>
    </w:p>
    <w:p w14:paraId="5B12BC99" w14:textId="3874DF28" w:rsidR="004E3CC2" w:rsidRPr="004E3CC2" w:rsidRDefault="004E3CC2" w:rsidP="00D36C21">
      <w:pPr>
        <w:pStyle w:val="Zkladntext"/>
        <w:numPr>
          <w:ilvl w:val="0"/>
          <w:numId w:val="47"/>
        </w:numPr>
        <w:ind w:left="567" w:hanging="283"/>
      </w:pPr>
      <w:r w:rsidRPr="004E3CC2">
        <w:t>odhad pravdepodobnosti</w:t>
      </w:r>
      <w:r w:rsidR="00953BA7">
        <w:t>,</w:t>
      </w:r>
    </w:p>
    <w:p w14:paraId="78DA257A" w14:textId="77777777" w:rsidR="004E3CC2" w:rsidRPr="004E3CC2" w:rsidRDefault="004E3CC2" w:rsidP="00D36C21">
      <w:pPr>
        <w:pStyle w:val="Zkladntext"/>
        <w:numPr>
          <w:ilvl w:val="0"/>
          <w:numId w:val="47"/>
        </w:numPr>
        <w:ind w:left="567" w:hanging="283"/>
      </w:pPr>
      <w:r w:rsidRPr="004E3CC2">
        <w:t>odhad dopadov,</w:t>
      </w:r>
    </w:p>
    <w:p w14:paraId="63DCA8BD" w14:textId="5FCF9392" w:rsidR="004E3CC2" w:rsidRPr="004E3CC2" w:rsidRDefault="004E3CC2" w:rsidP="00D36C21">
      <w:pPr>
        <w:pStyle w:val="Zkladntext"/>
        <w:numPr>
          <w:ilvl w:val="0"/>
          <w:numId w:val="47"/>
        </w:numPr>
        <w:ind w:left="567" w:hanging="283"/>
      </w:pPr>
      <w:r w:rsidRPr="004E3CC2">
        <w:t>určenie úrovne</w:t>
      </w:r>
      <w:r w:rsidR="00953BA7">
        <w:t xml:space="preserve"> závažnosti</w:t>
      </w:r>
      <w:r w:rsidRPr="004E3CC2">
        <w:t xml:space="preserve"> výsledných rizík.</w:t>
      </w:r>
    </w:p>
    <w:p w14:paraId="765321C9" w14:textId="1F9F572C" w:rsidR="004E3CC2" w:rsidRPr="00634A79" w:rsidRDefault="009005CC" w:rsidP="00634A79">
      <w:pPr>
        <w:pStyle w:val="Nadpis2"/>
        <w:spacing w:after="240" w:line="240" w:lineRule="auto"/>
        <w:ind w:left="578" w:hanging="578"/>
        <w:rPr>
          <w:rFonts w:ascii="Times New Roman" w:hAnsi="Times New Roman"/>
          <w:noProof/>
        </w:rPr>
      </w:pPr>
      <w:bookmarkStart w:id="19" w:name="_Toc136531185"/>
      <w:r w:rsidRPr="00634A79">
        <w:rPr>
          <w:rFonts w:ascii="Times New Roman" w:hAnsi="Times New Roman"/>
          <w:noProof/>
        </w:rPr>
        <w:lastRenderedPageBreak/>
        <w:t>Identifikácia scenárov rizík</w:t>
      </w:r>
      <w:bookmarkEnd w:id="19"/>
    </w:p>
    <w:p w14:paraId="4509212B" w14:textId="3294F417" w:rsidR="00D7360F" w:rsidRPr="004A1678" w:rsidRDefault="00D7360F" w:rsidP="00D7360F">
      <w:pPr>
        <w:pStyle w:val="Zkladntext"/>
        <w:rPr>
          <w:lang w:val="sk-SK"/>
        </w:rPr>
      </w:pPr>
      <w:r w:rsidRPr="004A1678">
        <w:rPr>
          <w:lang w:val="sk-SK"/>
        </w:rPr>
        <w:t>Scenáre rizík predstavujú špecifické situácie realizácie rizík v kontexte vybraných aktív, pričom môžu byť kombináciou viacerých hrozieb a zraniteľností ústiacimi do rôznych dopadov.</w:t>
      </w:r>
      <w:r w:rsidR="00953BA7">
        <w:rPr>
          <w:lang w:val="sk-SK"/>
        </w:rPr>
        <w:t xml:space="preserve"> </w:t>
      </w:r>
      <w:r w:rsidRPr="004A1678">
        <w:rPr>
          <w:lang w:val="sk-SK"/>
        </w:rPr>
        <w:t>Pred samotným výkonom analýzy rizík je potrebné identifikovať všetky podkladové materiály pre popis scenárov rizík, ako sú zoznam aktív a ich vlastníkov, katalóg hrozieb, katalóg zraniteľností. Súčasťou tejto fázy je</w:t>
      </w:r>
      <w:r w:rsidR="00953BA7">
        <w:rPr>
          <w:lang w:val="sk-SK"/>
        </w:rPr>
        <w:t> </w:t>
      </w:r>
      <w:r w:rsidRPr="004A1678">
        <w:rPr>
          <w:lang w:val="sk-SK"/>
        </w:rPr>
        <w:t>aj</w:t>
      </w:r>
      <w:r w:rsidR="00953BA7">
        <w:rPr>
          <w:lang w:val="sk-SK"/>
        </w:rPr>
        <w:t> </w:t>
      </w:r>
      <w:r w:rsidRPr="004A1678">
        <w:rPr>
          <w:lang w:val="sk-SK"/>
        </w:rPr>
        <w:t>identifikácia existujúcich opatrení pre všetky analyzované oblasti bezpečnosti a súvisiace scenáre rizík.</w:t>
      </w:r>
    </w:p>
    <w:p w14:paraId="0D1644A3" w14:textId="5B6F7036" w:rsidR="00D7360F" w:rsidRPr="00634A79" w:rsidRDefault="00D7360F" w:rsidP="00634A79">
      <w:pPr>
        <w:pStyle w:val="Nadpis2"/>
        <w:spacing w:after="240" w:line="240" w:lineRule="auto"/>
        <w:ind w:left="578" w:hanging="578"/>
        <w:rPr>
          <w:rFonts w:ascii="Times New Roman" w:hAnsi="Times New Roman"/>
          <w:noProof/>
        </w:rPr>
      </w:pPr>
      <w:bookmarkStart w:id="20" w:name="_Toc136531186"/>
      <w:r w:rsidRPr="00634A79">
        <w:rPr>
          <w:rFonts w:ascii="Times New Roman" w:hAnsi="Times New Roman"/>
          <w:noProof/>
        </w:rPr>
        <w:t>Posúdenie rizika kvalitatívnou metódou</w:t>
      </w:r>
      <w:bookmarkEnd w:id="20"/>
    </w:p>
    <w:p w14:paraId="5175C058" w14:textId="77777777" w:rsidR="00F00A50" w:rsidRPr="004A1678" w:rsidRDefault="00F00A50" w:rsidP="00F00A50">
      <w:pPr>
        <w:pStyle w:val="Zkladntext"/>
        <w:rPr>
          <w:lang w:val="sk-SK"/>
        </w:rPr>
      </w:pPr>
      <w:bookmarkStart w:id="21" w:name="_Hlk120812553"/>
      <w:r w:rsidRPr="004A1678">
        <w:rPr>
          <w:lang w:val="sk-SK"/>
        </w:rPr>
        <w:t>Výsledné riziko v identifikovanom scenári sa určuje ako prienik príslušnej hodnoty pravdepodobnosti naplnenia scenára rizika a hodnoty úrovne dopadov, ktoré bude mať na informačné aktíva organizácie.</w:t>
      </w:r>
    </w:p>
    <w:p w14:paraId="2D60C4A4" w14:textId="41A57DA9" w:rsidR="00F00A50" w:rsidRDefault="00F00A50" w:rsidP="00F00A50">
      <w:pPr>
        <w:pStyle w:val="Zkladntext"/>
        <w:rPr>
          <w:lang w:val="sk-SK"/>
        </w:rPr>
      </w:pPr>
      <w:r w:rsidRPr="004A1678">
        <w:rPr>
          <w:lang w:val="sk-SK"/>
        </w:rPr>
        <w:t>Pri určovaní týchto hodnôt a pri samotnom vyčíslovaní výsledného rizika sa vychádza aj z úrovne existujúcich opatrení, ktoré môžu mať vplyv na hodnoty pravdepodobnosti či dopadu. Existujúce opatrenia musia byť zahrnuté v popise každého analyzovaného rizika.</w:t>
      </w:r>
    </w:p>
    <w:p w14:paraId="04D288AD" w14:textId="520524A8" w:rsidR="00314D08" w:rsidRDefault="00314D08" w:rsidP="00F00A50">
      <w:pPr>
        <w:pStyle w:val="Zkladntext"/>
        <w:rPr>
          <w:lang w:val="sk-SK"/>
        </w:rPr>
      </w:pPr>
      <w:r>
        <w:rPr>
          <w:lang w:val="sk-SK"/>
        </w:rPr>
        <w:t>Pri určovaní pravdepodobnosti organizácia využíva nasledovnú tabuľku:</w:t>
      </w:r>
    </w:p>
    <w:p w14:paraId="1B8E2951" w14:textId="77777777" w:rsidR="00000EFD" w:rsidRDefault="00000EFD" w:rsidP="003F6639">
      <w:pPr>
        <w:pStyle w:val="Zkladntext"/>
        <w:rPr>
          <w:lang w:val="sk-SK"/>
        </w:rPr>
      </w:pPr>
      <w:bookmarkStart w:id="22" w:name="_Hlk120812565"/>
      <w:bookmarkEnd w:id="21"/>
    </w:p>
    <w:p w14:paraId="0CCCD749" w14:textId="77777777" w:rsidR="00116876" w:rsidRDefault="00116876" w:rsidP="00D763C2">
      <w:pPr>
        <w:pStyle w:val="Zkladntext"/>
        <w:jc w:val="left"/>
        <w:sectPr w:rsidR="00116876" w:rsidSect="00B4725F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bookmarkStart w:id="23" w:name="_Hlk112768598"/>
      <w:bookmarkEnd w:id="22"/>
    </w:p>
    <w:tbl>
      <w:tblPr>
        <w:tblStyle w:val="Mriekatabuky"/>
        <w:tblW w:w="14312" w:type="dxa"/>
        <w:tblLayout w:type="fixed"/>
        <w:tblLook w:val="04A0" w:firstRow="1" w:lastRow="0" w:firstColumn="1" w:lastColumn="0" w:noHBand="0" w:noVBand="1"/>
      </w:tblPr>
      <w:tblGrid>
        <w:gridCol w:w="2134"/>
        <w:gridCol w:w="980"/>
        <w:gridCol w:w="2268"/>
        <w:gridCol w:w="8930"/>
      </w:tblGrid>
      <w:tr w:rsidR="00314D08" w14:paraId="0F8D18B6" w14:textId="6180FBD9" w:rsidTr="00314D08">
        <w:tc>
          <w:tcPr>
            <w:tcW w:w="2134" w:type="dxa"/>
            <w:shd w:val="clear" w:color="auto" w:fill="000000" w:themeFill="text1"/>
          </w:tcPr>
          <w:p w14:paraId="6B1A9CCC" w14:textId="77777777" w:rsidR="00314D08" w:rsidRPr="00236EDC" w:rsidRDefault="00314D08" w:rsidP="00116876">
            <w:pPr>
              <w:pStyle w:val="Zkladntext"/>
              <w:ind w:left="357"/>
            </w:pPr>
            <w:r>
              <w:lastRenderedPageBreak/>
              <w:t>Pravdepodobnosť</w:t>
            </w:r>
          </w:p>
        </w:tc>
        <w:tc>
          <w:tcPr>
            <w:tcW w:w="980" w:type="dxa"/>
            <w:shd w:val="clear" w:color="auto" w:fill="000000" w:themeFill="text1"/>
          </w:tcPr>
          <w:p w14:paraId="5E75DC62" w14:textId="55FE2B25" w:rsidR="00314D08" w:rsidRDefault="00314D08" w:rsidP="00116876">
            <w:pPr>
              <w:pStyle w:val="Zkladntext"/>
              <w:ind w:left="0" w:firstLine="0"/>
            </w:pPr>
            <w:r>
              <w:t>%</w:t>
            </w:r>
          </w:p>
        </w:tc>
        <w:tc>
          <w:tcPr>
            <w:tcW w:w="2268" w:type="dxa"/>
            <w:shd w:val="clear" w:color="auto" w:fill="000000" w:themeFill="text1"/>
          </w:tcPr>
          <w:p w14:paraId="66F040BE" w14:textId="2CF4EFC6" w:rsidR="00314D08" w:rsidRDefault="00314D08" w:rsidP="00116876">
            <w:pPr>
              <w:pStyle w:val="Zkladntext"/>
              <w:ind w:left="357"/>
            </w:pPr>
            <w:r>
              <w:t>Frekvencia slovne</w:t>
            </w:r>
          </w:p>
        </w:tc>
        <w:tc>
          <w:tcPr>
            <w:tcW w:w="8930" w:type="dxa"/>
            <w:shd w:val="clear" w:color="auto" w:fill="000000" w:themeFill="text1"/>
          </w:tcPr>
          <w:p w14:paraId="76FE298E" w14:textId="4637D4EC" w:rsidR="00314D08" w:rsidRPr="00236EDC" w:rsidRDefault="00314D08" w:rsidP="00116876">
            <w:pPr>
              <w:pStyle w:val="Zkladntext"/>
              <w:ind w:left="357"/>
            </w:pPr>
            <w:r>
              <w:t>Pravdepodobnosť opisne</w:t>
            </w:r>
          </w:p>
        </w:tc>
      </w:tr>
      <w:tr w:rsidR="00314D08" w14:paraId="4BCD5F18" w14:textId="463A8DDA" w:rsidTr="00314D08">
        <w:tc>
          <w:tcPr>
            <w:tcW w:w="2134" w:type="dxa"/>
            <w:shd w:val="clear" w:color="auto" w:fill="FFFFFF" w:themeFill="background1"/>
          </w:tcPr>
          <w:p w14:paraId="32F9B5CA" w14:textId="702D0159" w:rsidR="00314D08" w:rsidRPr="00236EDC" w:rsidRDefault="00314D08" w:rsidP="00116876">
            <w:pPr>
              <w:pStyle w:val="Zkladntext"/>
              <w:ind w:left="51" w:firstLine="0"/>
            </w:pPr>
            <w:r>
              <w:t>Veľmi nízka</w:t>
            </w:r>
          </w:p>
        </w:tc>
        <w:tc>
          <w:tcPr>
            <w:tcW w:w="980" w:type="dxa"/>
            <w:shd w:val="clear" w:color="auto" w:fill="FFFFFF" w:themeFill="background1"/>
          </w:tcPr>
          <w:p w14:paraId="5D645678" w14:textId="4158B977" w:rsidR="00314D08" w:rsidRPr="004A1678" w:rsidRDefault="00314D08" w:rsidP="00116876">
            <w:pPr>
              <w:pStyle w:val="Zkladntext"/>
              <w:ind w:left="51" w:firstLine="0"/>
            </w:pPr>
            <w:r>
              <w:t>0-10</w:t>
            </w:r>
          </w:p>
        </w:tc>
        <w:tc>
          <w:tcPr>
            <w:tcW w:w="2268" w:type="dxa"/>
            <w:shd w:val="clear" w:color="auto" w:fill="FFFFFF" w:themeFill="background1"/>
          </w:tcPr>
          <w:p w14:paraId="0F1664C0" w14:textId="5EA5F897" w:rsidR="00314D08" w:rsidRPr="004A1678" w:rsidRDefault="00314D08" w:rsidP="00116876">
            <w:pPr>
              <w:pStyle w:val="Zkladntext"/>
              <w:ind w:left="51" w:firstLine="0"/>
            </w:pPr>
            <w:r>
              <w:t>Málokedy</w:t>
            </w:r>
          </w:p>
        </w:tc>
        <w:tc>
          <w:tcPr>
            <w:tcW w:w="8930" w:type="dxa"/>
            <w:shd w:val="clear" w:color="auto" w:fill="FFFFFF" w:themeFill="background1"/>
          </w:tcPr>
          <w:p w14:paraId="30BFDEA6" w14:textId="154F9EB0" w:rsidR="00314D08" w:rsidRPr="00236EDC" w:rsidRDefault="00314D08" w:rsidP="00D763C2">
            <w:pPr>
              <w:pStyle w:val="Zkladntext"/>
              <w:ind w:left="51" w:firstLine="0"/>
            </w:pPr>
            <w:r>
              <w:t>Zdroj hrozby nemá dostatočnú motiváciu ani zručnosti; uplatnené opatrenia preventívne predchádzajú a významným spôsobom zabraňujú zneužitiu zraniteľnosti. Neexistuje historická skúsenosť so zneužitím danej zraniteľnosti.</w:t>
            </w:r>
          </w:p>
        </w:tc>
      </w:tr>
      <w:tr w:rsidR="00314D08" w14:paraId="109FA17D" w14:textId="4B75E750" w:rsidTr="00314D08">
        <w:tc>
          <w:tcPr>
            <w:tcW w:w="2134" w:type="dxa"/>
            <w:shd w:val="clear" w:color="auto" w:fill="FFFFFF" w:themeFill="background1"/>
          </w:tcPr>
          <w:p w14:paraId="20C5FEED" w14:textId="086A7495" w:rsidR="00314D08" w:rsidRPr="00236EDC" w:rsidRDefault="00314D08" w:rsidP="00116876">
            <w:pPr>
              <w:pStyle w:val="Zkladntext"/>
              <w:ind w:left="51" w:firstLine="0"/>
            </w:pPr>
            <w:r>
              <w:t>Nízka</w:t>
            </w:r>
          </w:p>
        </w:tc>
        <w:tc>
          <w:tcPr>
            <w:tcW w:w="980" w:type="dxa"/>
            <w:shd w:val="clear" w:color="auto" w:fill="FFFFFF" w:themeFill="background1"/>
          </w:tcPr>
          <w:p w14:paraId="1DE61073" w14:textId="54277E55" w:rsidR="00314D08" w:rsidRPr="004A1678" w:rsidRDefault="00314D08" w:rsidP="00116876">
            <w:pPr>
              <w:pStyle w:val="Zkladntext"/>
              <w:ind w:left="51" w:firstLine="0"/>
            </w:pPr>
            <w:r>
              <w:t>11-50</w:t>
            </w:r>
          </w:p>
        </w:tc>
        <w:tc>
          <w:tcPr>
            <w:tcW w:w="2268" w:type="dxa"/>
            <w:shd w:val="clear" w:color="auto" w:fill="FFFFFF" w:themeFill="background1"/>
          </w:tcPr>
          <w:p w14:paraId="1FA7232C" w14:textId="2424046E" w:rsidR="00314D08" w:rsidRPr="004A1678" w:rsidRDefault="00314D08" w:rsidP="00116876">
            <w:pPr>
              <w:pStyle w:val="Zkladntext"/>
              <w:ind w:left="51" w:firstLine="0"/>
            </w:pPr>
            <w:r>
              <w:t>Niekedy</w:t>
            </w:r>
          </w:p>
        </w:tc>
        <w:tc>
          <w:tcPr>
            <w:tcW w:w="8930" w:type="dxa"/>
            <w:shd w:val="clear" w:color="auto" w:fill="FFFFFF" w:themeFill="background1"/>
          </w:tcPr>
          <w:p w14:paraId="66D19074" w14:textId="4D5CF978" w:rsidR="00314D08" w:rsidRPr="00236EDC" w:rsidRDefault="00314D08" w:rsidP="00D763C2">
            <w:pPr>
              <w:pStyle w:val="Zkladntext"/>
              <w:ind w:left="51" w:firstLine="0"/>
            </w:pPr>
            <w:r>
              <w:t>Zdroj hrozby nemá dostatočnú motiváciu ani zručnosti; uplatnené opatrenia preventívne predchádzajú a významným spôsobom zabraňujú zneužitiu zraniteľnosti. Z minulosti existuje ojedinelá skúsenosť zneužitia danej zraniteľnosti.</w:t>
            </w:r>
          </w:p>
        </w:tc>
      </w:tr>
      <w:tr w:rsidR="00314D08" w14:paraId="2515F9B3" w14:textId="4A60C6B2" w:rsidTr="00314D08">
        <w:tc>
          <w:tcPr>
            <w:tcW w:w="2134" w:type="dxa"/>
            <w:shd w:val="clear" w:color="auto" w:fill="FFFFFF" w:themeFill="background1"/>
          </w:tcPr>
          <w:p w14:paraId="5702E8BD" w14:textId="128CDF3D" w:rsidR="00314D08" w:rsidRPr="00236EDC" w:rsidRDefault="00314D08" w:rsidP="00116876">
            <w:pPr>
              <w:pStyle w:val="Zkladntext"/>
              <w:ind w:left="51" w:firstLine="0"/>
            </w:pPr>
            <w:r>
              <w:t>Stredná</w:t>
            </w:r>
          </w:p>
        </w:tc>
        <w:tc>
          <w:tcPr>
            <w:tcW w:w="980" w:type="dxa"/>
            <w:shd w:val="clear" w:color="auto" w:fill="FFFFFF" w:themeFill="background1"/>
          </w:tcPr>
          <w:p w14:paraId="2D9D475A" w14:textId="4063C67C" w:rsidR="00314D08" w:rsidRPr="004A1678" w:rsidRDefault="00314D08" w:rsidP="00116876">
            <w:pPr>
              <w:pStyle w:val="Zkladntext"/>
              <w:ind w:left="51" w:firstLine="0"/>
            </w:pPr>
            <w:r>
              <w:t>51-80</w:t>
            </w:r>
          </w:p>
        </w:tc>
        <w:tc>
          <w:tcPr>
            <w:tcW w:w="2268" w:type="dxa"/>
            <w:shd w:val="clear" w:color="auto" w:fill="FFFFFF" w:themeFill="background1"/>
          </w:tcPr>
          <w:p w14:paraId="2DA71443" w14:textId="31466CA9" w:rsidR="00314D08" w:rsidRPr="004A1678" w:rsidRDefault="00314D08" w:rsidP="00116876">
            <w:pPr>
              <w:pStyle w:val="Zkladntext"/>
              <w:ind w:left="51" w:firstLine="0"/>
            </w:pPr>
            <w:r>
              <w:t>Často</w:t>
            </w:r>
          </w:p>
        </w:tc>
        <w:tc>
          <w:tcPr>
            <w:tcW w:w="8930" w:type="dxa"/>
            <w:shd w:val="clear" w:color="auto" w:fill="FFFFFF" w:themeFill="background1"/>
          </w:tcPr>
          <w:p w14:paraId="25A77A92" w14:textId="3D2790E1" w:rsidR="00314D08" w:rsidRPr="00236EDC" w:rsidRDefault="00314D08" w:rsidP="00D763C2">
            <w:pPr>
              <w:pStyle w:val="Zkladntext"/>
              <w:ind w:left="51" w:firstLine="0"/>
            </w:pPr>
            <w:r>
              <w:t>Zdroj hrozby je motivovaný a technicky zdatný; uplatnené opatrenia čiastočne bránia úspešnému zneužitiu zraniteľnosti. Existuje skúsenosť z minulosti, že daná zraniteľnost bola už niekoľkokrát zneužitá.</w:t>
            </w:r>
          </w:p>
        </w:tc>
      </w:tr>
      <w:tr w:rsidR="00314D08" w14:paraId="26CE1017" w14:textId="6B7D4885" w:rsidTr="00314D08">
        <w:tc>
          <w:tcPr>
            <w:tcW w:w="2134" w:type="dxa"/>
            <w:shd w:val="clear" w:color="auto" w:fill="FFFFFF" w:themeFill="background1"/>
          </w:tcPr>
          <w:p w14:paraId="57190684" w14:textId="7C2087B4" w:rsidR="00314D08" w:rsidRPr="00236EDC" w:rsidRDefault="00314D08" w:rsidP="00116876">
            <w:pPr>
              <w:pStyle w:val="Zkladntext"/>
              <w:ind w:left="51" w:firstLine="0"/>
            </w:pPr>
            <w:r>
              <w:t>Vysoká</w:t>
            </w:r>
          </w:p>
        </w:tc>
        <w:tc>
          <w:tcPr>
            <w:tcW w:w="980" w:type="dxa"/>
            <w:shd w:val="clear" w:color="auto" w:fill="FFFFFF" w:themeFill="background1"/>
          </w:tcPr>
          <w:p w14:paraId="3F7BC330" w14:textId="666189F9" w:rsidR="00314D08" w:rsidRPr="004A1678" w:rsidRDefault="00314D08" w:rsidP="00116876">
            <w:pPr>
              <w:pStyle w:val="Zkladntext"/>
              <w:ind w:left="51" w:firstLine="0"/>
            </w:pPr>
            <w:r>
              <w:t>81-100</w:t>
            </w:r>
          </w:p>
        </w:tc>
        <w:tc>
          <w:tcPr>
            <w:tcW w:w="2268" w:type="dxa"/>
            <w:shd w:val="clear" w:color="auto" w:fill="FFFFFF" w:themeFill="background1"/>
          </w:tcPr>
          <w:p w14:paraId="718933EC" w14:textId="33D961EF" w:rsidR="00314D08" w:rsidRPr="004A1678" w:rsidRDefault="00314D08" w:rsidP="00116876">
            <w:pPr>
              <w:pStyle w:val="Zkladntext"/>
              <w:ind w:left="51" w:firstLine="0"/>
            </w:pPr>
            <w:r>
              <w:t>Veľmi často</w:t>
            </w:r>
          </w:p>
        </w:tc>
        <w:tc>
          <w:tcPr>
            <w:tcW w:w="8930" w:type="dxa"/>
            <w:shd w:val="clear" w:color="auto" w:fill="FFFFFF" w:themeFill="background1"/>
          </w:tcPr>
          <w:p w14:paraId="761BE285" w14:textId="1A0F06C3" w:rsidR="00314D08" w:rsidRPr="00236EDC" w:rsidRDefault="00314D08" w:rsidP="00D763C2">
            <w:pPr>
              <w:pStyle w:val="Zkladntext"/>
              <w:ind w:left="51" w:firstLine="0"/>
            </w:pPr>
            <w:r>
              <w:t>Zdroj hrozby je vysoko motivovaný a je dostatočne technicky zdatný; uplatnené opatrenia na prevenciu identifikovanej zraniteľnosti sú neefektívne. Existuje skúsenosť z minulosti, že daná zraniteľosť bola už mnohokrát zneužitá.</w:t>
            </w:r>
          </w:p>
        </w:tc>
      </w:tr>
    </w:tbl>
    <w:p w14:paraId="57A5E5DE" w14:textId="1CADBC99" w:rsidR="00314D08" w:rsidRDefault="003F6639" w:rsidP="00000EFD">
      <w:pPr>
        <w:pStyle w:val="Zkladntext"/>
        <w:spacing w:before="120"/>
        <w:rPr>
          <w:lang w:val="sk-SK"/>
        </w:rPr>
      </w:pPr>
      <w:bookmarkStart w:id="24" w:name="_Hlk120812618"/>
      <w:bookmarkEnd w:id="23"/>
      <w:r w:rsidRPr="004A1678">
        <w:rPr>
          <w:lang w:val="sk-SK"/>
        </w:rPr>
        <w:t>Pri stanovovaní pravdepodobnosti je potrebné prihliadať aj na frekvenciu výskytu incidentov v</w:t>
      </w:r>
      <w:r w:rsidR="00646EB4">
        <w:rPr>
          <w:lang w:val="sk-SK"/>
        </w:rPr>
        <w:t> </w:t>
      </w:r>
      <w:r w:rsidRPr="004A1678">
        <w:rPr>
          <w:lang w:val="sk-SK"/>
        </w:rPr>
        <w:t>minulosti, ktorých podstatou bolo zneužitie príslušnej zraniteľnosti. Ak takýto údaj existuje, mal</w:t>
      </w:r>
      <w:r w:rsidR="00646EB4">
        <w:rPr>
          <w:lang w:val="sk-SK"/>
        </w:rPr>
        <w:t> </w:t>
      </w:r>
      <w:r w:rsidRPr="004A1678">
        <w:rPr>
          <w:lang w:val="sk-SK"/>
        </w:rPr>
        <w:t>by</w:t>
      </w:r>
      <w:r w:rsidR="00646EB4">
        <w:rPr>
          <w:lang w:val="sk-SK"/>
        </w:rPr>
        <w:t> </w:t>
      </w:r>
      <w:r w:rsidRPr="004A1678">
        <w:rPr>
          <w:lang w:val="sk-SK"/>
        </w:rPr>
        <w:t>byť v súlade so</w:t>
      </w:r>
      <w:r>
        <w:rPr>
          <w:lang w:val="sk-SK"/>
        </w:rPr>
        <w:t> </w:t>
      </w:r>
      <w:r w:rsidRPr="004A1678">
        <w:rPr>
          <w:lang w:val="sk-SK"/>
        </w:rPr>
        <w:t>odhadovanou úrovňou pravdepodobnosti.</w:t>
      </w:r>
    </w:p>
    <w:p w14:paraId="4FE9C9CA" w14:textId="781618A8" w:rsidR="00314D08" w:rsidRDefault="00C30445" w:rsidP="001504DA">
      <w:pPr>
        <w:pStyle w:val="Zkladntext"/>
        <w:rPr>
          <w:lang w:val="sk-SK"/>
        </w:rPr>
      </w:pPr>
      <w:bookmarkStart w:id="25" w:name="_Hlk120812628"/>
      <w:bookmarkEnd w:id="24"/>
      <w:r w:rsidRPr="004A1678">
        <w:rPr>
          <w:lang w:val="sk-SK"/>
        </w:rPr>
        <w:t xml:space="preserve">Pri ohodnocovaní závažnosti dopadov </w:t>
      </w:r>
      <w:r w:rsidR="00314D08">
        <w:rPr>
          <w:lang w:val="sk-SK"/>
        </w:rPr>
        <w:t>využíva organizácia nasledovnú tabuľku:</w:t>
      </w:r>
    </w:p>
    <w:tbl>
      <w:tblPr>
        <w:tblStyle w:val="Mriekatabuky"/>
        <w:tblW w:w="14312" w:type="dxa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595"/>
        <w:gridCol w:w="4918"/>
      </w:tblGrid>
      <w:tr w:rsidR="00314D08" w14:paraId="0C8909E6" w14:textId="482B58F6" w:rsidTr="00314D08">
        <w:trPr>
          <w:tblHeader/>
        </w:trPr>
        <w:tc>
          <w:tcPr>
            <w:tcW w:w="1980" w:type="dxa"/>
            <w:shd w:val="clear" w:color="auto" w:fill="000000" w:themeFill="text1"/>
          </w:tcPr>
          <w:p w14:paraId="11CA4D2B" w14:textId="253184D4" w:rsidR="00314D08" w:rsidRPr="00236EDC" w:rsidRDefault="00314D08" w:rsidP="00116876">
            <w:pPr>
              <w:pStyle w:val="Zkladntext"/>
              <w:ind w:left="357"/>
            </w:pPr>
            <w:bookmarkStart w:id="26" w:name="_Hlk120812641"/>
            <w:bookmarkEnd w:id="25"/>
            <w:r>
              <w:t>Opis dopadu</w:t>
            </w:r>
          </w:p>
        </w:tc>
        <w:tc>
          <w:tcPr>
            <w:tcW w:w="2268" w:type="dxa"/>
            <w:shd w:val="clear" w:color="auto" w:fill="000000" w:themeFill="text1"/>
          </w:tcPr>
          <w:p w14:paraId="18FF1303" w14:textId="3DC50FFD" w:rsidR="00314D08" w:rsidRPr="00236EDC" w:rsidRDefault="00314D08" w:rsidP="00116876">
            <w:pPr>
              <w:pStyle w:val="Zkladntext"/>
              <w:ind w:left="357"/>
            </w:pPr>
            <w:r>
              <w:t>Finančný dopad</w:t>
            </w:r>
          </w:p>
        </w:tc>
        <w:tc>
          <w:tcPr>
            <w:tcW w:w="2551" w:type="dxa"/>
            <w:shd w:val="clear" w:color="auto" w:fill="000000" w:themeFill="text1"/>
          </w:tcPr>
          <w:p w14:paraId="15294B31" w14:textId="6D40CEB4" w:rsidR="00314D08" w:rsidRDefault="00314D08" w:rsidP="00116876">
            <w:pPr>
              <w:pStyle w:val="Zkladntext"/>
              <w:ind w:left="357"/>
            </w:pPr>
            <w:r>
              <w:t>Prevádzkový dopad</w:t>
            </w:r>
          </w:p>
        </w:tc>
        <w:tc>
          <w:tcPr>
            <w:tcW w:w="2595" w:type="dxa"/>
            <w:shd w:val="clear" w:color="auto" w:fill="000000" w:themeFill="text1"/>
          </w:tcPr>
          <w:p w14:paraId="7C499D90" w14:textId="76819553" w:rsidR="00314D08" w:rsidRDefault="00314D08" w:rsidP="00116876">
            <w:pPr>
              <w:pStyle w:val="Zkladntext"/>
              <w:ind w:left="357"/>
            </w:pPr>
            <w:r>
              <w:t>Dopad na súlad</w:t>
            </w:r>
          </w:p>
        </w:tc>
        <w:tc>
          <w:tcPr>
            <w:tcW w:w="4918" w:type="dxa"/>
            <w:shd w:val="clear" w:color="auto" w:fill="000000" w:themeFill="text1"/>
          </w:tcPr>
          <w:p w14:paraId="6DDFA4B5" w14:textId="6B4BF8AA" w:rsidR="00314D08" w:rsidRDefault="00314D08" w:rsidP="00116876">
            <w:pPr>
              <w:pStyle w:val="Zkladntext"/>
              <w:ind w:left="357"/>
            </w:pPr>
            <w:r>
              <w:t>Reputačný dopad</w:t>
            </w:r>
          </w:p>
        </w:tc>
      </w:tr>
      <w:tr w:rsidR="00314D08" w14:paraId="005B6D81" w14:textId="31C99959" w:rsidTr="00314D08">
        <w:tc>
          <w:tcPr>
            <w:tcW w:w="1980" w:type="dxa"/>
          </w:tcPr>
          <w:p w14:paraId="004D6BB0" w14:textId="77777777" w:rsidR="00314D08" w:rsidRPr="00236EDC" w:rsidRDefault="00314D08" w:rsidP="00116876">
            <w:pPr>
              <w:pStyle w:val="Zkladntext"/>
              <w:ind w:left="357"/>
            </w:pPr>
            <w:r>
              <w:t>Zanedbateľný</w:t>
            </w:r>
          </w:p>
        </w:tc>
        <w:tc>
          <w:tcPr>
            <w:tcW w:w="2268" w:type="dxa"/>
          </w:tcPr>
          <w:p w14:paraId="3528FC14" w14:textId="5E9AD7A9" w:rsidR="00314D08" w:rsidRPr="00236EDC" w:rsidRDefault="00314D08" w:rsidP="00116876">
            <w:pPr>
              <w:pStyle w:val="Zkladntext"/>
              <w:ind w:left="357"/>
            </w:pPr>
            <w:r w:rsidRPr="00116876">
              <w:t>1 – 1500 €</w:t>
            </w:r>
          </w:p>
        </w:tc>
        <w:tc>
          <w:tcPr>
            <w:tcW w:w="2551" w:type="dxa"/>
          </w:tcPr>
          <w:p w14:paraId="7AB80CDB" w14:textId="1022A1B0" w:rsidR="00314D08" w:rsidRPr="00236EDC" w:rsidRDefault="00314D08" w:rsidP="00C30445">
            <w:pPr>
              <w:pStyle w:val="Zkladntext"/>
              <w:ind w:left="357"/>
            </w:pPr>
            <w:r w:rsidRPr="00116876">
              <w:t>Interne, jeden útvar</w:t>
            </w:r>
          </w:p>
        </w:tc>
        <w:tc>
          <w:tcPr>
            <w:tcW w:w="2595" w:type="dxa"/>
          </w:tcPr>
          <w:p w14:paraId="292730AB" w14:textId="5BFC3C3F" w:rsidR="00314D08" w:rsidRPr="00236EDC" w:rsidRDefault="00314D08" w:rsidP="00B31BD2">
            <w:pPr>
              <w:pStyle w:val="Zkladntext"/>
              <w:ind w:left="20" w:firstLine="0"/>
            </w:pPr>
            <w:r w:rsidRPr="00116876">
              <w:t>Zlyhanie</w:t>
            </w:r>
            <w:r>
              <w:t xml:space="preserve"> </w:t>
            </w:r>
            <w:r w:rsidRPr="00116876">
              <w:t>internéh</w:t>
            </w:r>
            <w:r>
              <w:t xml:space="preserve">o </w:t>
            </w:r>
            <w:r w:rsidRPr="00116876">
              <w:t>procesu</w:t>
            </w:r>
          </w:p>
        </w:tc>
        <w:tc>
          <w:tcPr>
            <w:tcW w:w="4918" w:type="dxa"/>
          </w:tcPr>
          <w:p w14:paraId="256A4509" w14:textId="1A32FDE5" w:rsidR="00314D08" w:rsidRPr="00236EDC" w:rsidRDefault="00314D08" w:rsidP="00B31BD2">
            <w:pPr>
              <w:pStyle w:val="Zkladntext"/>
              <w:ind w:left="-5" w:firstLine="0"/>
            </w:pPr>
            <w:r>
              <w:t>Určité prekážky v komunikácií v rámci organizácie</w:t>
            </w:r>
          </w:p>
        </w:tc>
      </w:tr>
      <w:tr w:rsidR="00314D08" w14:paraId="7E66DD3A" w14:textId="66A24C72" w:rsidTr="00314D08">
        <w:tc>
          <w:tcPr>
            <w:tcW w:w="1980" w:type="dxa"/>
          </w:tcPr>
          <w:p w14:paraId="4E848E62" w14:textId="77777777" w:rsidR="00314D08" w:rsidRPr="00236EDC" w:rsidRDefault="00314D08" w:rsidP="00116876">
            <w:pPr>
              <w:pStyle w:val="Zkladntext"/>
              <w:ind w:left="357"/>
            </w:pPr>
            <w:r>
              <w:t>Minimálny</w:t>
            </w:r>
          </w:p>
        </w:tc>
        <w:tc>
          <w:tcPr>
            <w:tcW w:w="2268" w:type="dxa"/>
          </w:tcPr>
          <w:p w14:paraId="4E5718FF" w14:textId="7E01EB52" w:rsidR="00314D08" w:rsidRPr="00236EDC" w:rsidRDefault="00314D08" w:rsidP="00116876">
            <w:pPr>
              <w:pStyle w:val="Zkladntext"/>
              <w:ind w:left="357"/>
            </w:pPr>
            <w:r w:rsidRPr="00116876">
              <w:t>1</w:t>
            </w:r>
            <w:r>
              <w:t xml:space="preserve"> </w:t>
            </w:r>
            <w:r w:rsidRPr="00116876">
              <w:t>501 – 15 000 €</w:t>
            </w:r>
          </w:p>
        </w:tc>
        <w:tc>
          <w:tcPr>
            <w:tcW w:w="2551" w:type="dxa"/>
          </w:tcPr>
          <w:p w14:paraId="783AD7AF" w14:textId="33DDB6D8" w:rsidR="00314D08" w:rsidRPr="00236EDC" w:rsidRDefault="00314D08" w:rsidP="00116876">
            <w:pPr>
              <w:pStyle w:val="Zkladntext"/>
              <w:ind w:left="357"/>
            </w:pPr>
            <w:r>
              <w:t>Interne, viacero útvarov</w:t>
            </w:r>
          </w:p>
        </w:tc>
        <w:tc>
          <w:tcPr>
            <w:tcW w:w="2595" w:type="dxa"/>
          </w:tcPr>
          <w:p w14:paraId="3B06032C" w14:textId="46594220" w:rsidR="00314D08" w:rsidRPr="00236EDC" w:rsidRDefault="00314D08" w:rsidP="00B31BD2">
            <w:pPr>
              <w:pStyle w:val="Zkladntext"/>
              <w:ind w:left="20" w:firstLine="0"/>
            </w:pPr>
            <w:r w:rsidRPr="00116876">
              <w:t>Zlyhanie kritických procesov</w:t>
            </w:r>
          </w:p>
        </w:tc>
        <w:tc>
          <w:tcPr>
            <w:tcW w:w="4918" w:type="dxa"/>
          </w:tcPr>
          <w:p w14:paraId="57E27DBC" w14:textId="262F43DE" w:rsidR="00314D08" w:rsidRPr="00236EDC" w:rsidRDefault="00314D08" w:rsidP="00B31BD2">
            <w:pPr>
              <w:pStyle w:val="Zkladntext"/>
              <w:ind w:left="0" w:hanging="5"/>
            </w:pPr>
            <w:r>
              <w:t>Prekážky v komunikácií v rámci organizácie</w:t>
            </w:r>
          </w:p>
        </w:tc>
      </w:tr>
      <w:tr w:rsidR="00314D08" w14:paraId="20F21E06" w14:textId="03F6D766" w:rsidTr="00314D08">
        <w:tc>
          <w:tcPr>
            <w:tcW w:w="1980" w:type="dxa"/>
          </w:tcPr>
          <w:p w14:paraId="4B41FE2B" w14:textId="77777777" w:rsidR="00314D08" w:rsidRDefault="00314D08" w:rsidP="00116876">
            <w:pPr>
              <w:pStyle w:val="Zkladntext"/>
              <w:ind w:left="357"/>
            </w:pPr>
            <w:r>
              <w:lastRenderedPageBreak/>
              <w:t>Stredný</w:t>
            </w:r>
          </w:p>
        </w:tc>
        <w:tc>
          <w:tcPr>
            <w:tcW w:w="2268" w:type="dxa"/>
          </w:tcPr>
          <w:p w14:paraId="3DC09A74" w14:textId="4E547F9E" w:rsidR="00314D08" w:rsidRPr="004A1678" w:rsidRDefault="00314D08" w:rsidP="00116876">
            <w:pPr>
              <w:pStyle w:val="Zkladntext"/>
              <w:ind w:left="357"/>
            </w:pPr>
            <w:r w:rsidRPr="00116876">
              <w:t>15 001 - 150 000 €</w:t>
            </w:r>
          </w:p>
        </w:tc>
        <w:tc>
          <w:tcPr>
            <w:tcW w:w="2551" w:type="dxa"/>
          </w:tcPr>
          <w:p w14:paraId="0C74CC09" w14:textId="5A1E0EE9" w:rsidR="00314D08" w:rsidRPr="004A1678" w:rsidRDefault="00314D08" w:rsidP="00116876">
            <w:pPr>
              <w:pStyle w:val="Zkladntext"/>
              <w:ind w:left="0" w:firstLine="0"/>
            </w:pPr>
            <w:r>
              <w:t>Organizácia, malá časť klientov</w:t>
            </w:r>
          </w:p>
        </w:tc>
        <w:tc>
          <w:tcPr>
            <w:tcW w:w="2595" w:type="dxa"/>
          </w:tcPr>
          <w:p w14:paraId="566555AE" w14:textId="1136EC8D" w:rsidR="00314D08" w:rsidRPr="004A1678" w:rsidRDefault="00314D08" w:rsidP="00B31BD2">
            <w:pPr>
              <w:pStyle w:val="Zkladntext"/>
              <w:ind w:left="20" w:hanging="20"/>
            </w:pPr>
            <w:r>
              <w:t>Začatie správneho konania smerujúce k opatreniu na nápravu</w:t>
            </w:r>
          </w:p>
        </w:tc>
        <w:tc>
          <w:tcPr>
            <w:tcW w:w="4918" w:type="dxa"/>
          </w:tcPr>
          <w:p w14:paraId="0CA6849C" w14:textId="73F17942" w:rsidR="00314D08" w:rsidRPr="004A1678" w:rsidRDefault="00314D08" w:rsidP="00B31BD2">
            <w:pPr>
              <w:pStyle w:val="Zkladntext"/>
              <w:ind w:left="0" w:firstLine="0"/>
            </w:pPr>
            <w:r>
              <w:t>Závažné prekážky v externej komunikácií</w:t>
            </w:r>
          </w:p>
        </w:tc>
      </w:tr>
      <w:tr w:rsidR="00314D08" w14:paraId="1A367E51" w14:textId="5E1B0FA1" w:rsidTr="00314D08">
        <w:tc>
          <w:tcPr>
            <w:tcW w:w="1980" w:type="dxa"/>
          </w:tcPr>
          <w:p w14:paraId="03768368" w14:textId="77777777" w:rsidR="00314D08" w:rsidRPr="00236EDC" w:rsidRDefault="00314D08" w:rsidP="00116876">
            <w:pPr>
              <w:pStyle w:val="Zkladntext"/>
              <w:ind w:left="357"/>
            </w:pPr>
            <w:r>
              <w:t>Závažný</w:t>
            </w:r>
          </w:p>
        </w:tc>
        <w:tc>
          <w:tcPr>
            <w:tcW w:w="2268" w:type="dxa"/>
          </w:tcPr>
          <w:p w14:paraId="749BDB3C" w14:textId="298EC272" w:rsidR="00314D08" w:rsidRPr="00236EDC" w:rsidRDefault="00314D08" w:rsidP="00116876">
            <w:pPr>
              <w:pStyle w:val="Zkladntext"/>
              <w:ind w:left="357"/>
            </w:pPr>
            <w:r w:rsidRPr="00116876">
              <w:t>150 001 - 1 500 000 €</w:t>
            </w:r>
          </w:p>
        </w:tc>
        <w:tc>
          <w:tcPr>
            <w:tcW w:w="2551" w:type="dxa"/>
          </w:tcPr>
          <w:p w14:paraId="3C2DCF9E" w14:textId="533C2FB9" w:rsidR="00314D08" w:rsidRPr="00236EDC" w:rsidRDefault="00314D08" w:rsidP="00116876">
            <w:pPr>
              <w:pStyle w:val="Zkladntext"/>
              <w:ind w:left="0" w:firstLine="0"/>
            </w:pPr>
            <w:r>
              <w:t>Organizácia, značná časť klientov</w:t>
            </w:r>
          </w:p>
        </w:tc>
        <w:tc>
          <w:tcPr>
            <w:tcW w:w="2595" w:type="dxa"/>
          </w:tcPr>
          <w:p w14:paraId="51D98190" w14:textId="7BAA5A7A" w:rsidR="00314D08" w:rsidRPr="00236EDC" w:rsidRDefault="00314D08" w:rsidP="00B31BD2">
            <w:pPr>
              <w:pStyle w:val="Zkladntext"/>
              <w:ind w:left="20" w:hanging="20"/>
            </w:pPr>
            <w:r>
              <w:t>Začatie správneho konania smerujúce k uloženiu pokuty</w:t>
            </w:r>
          </w:p>
        </w:tc>
        <w:tc>
          <w:tcPr>
            <w:tcW w:w="4918" w:type="dxa"/>
          </w:tcPr>
          <w:p w14:paraId="2EC44F8B" w14:textId="230697C6" w:rsidR="00314D08" w:rsidRPr="00236EDC" w:rsidRDefault="00314D08" w:rsidP="00B31BD2">
            <w:pPr>
              <w:pStyle w:val="Zkladntext"/>
              <w:ind w:left="0" w:hanging="5"/>
            </w:pPr>
            <w:r>
              <w:t>Nepriaznivá publicita, prípadne na národnej úrovni</w:t>
            </w:r>
          </w:p>
        </w:tc>
      </w:tr>
      <w:tr w:rsidR="00314D08" w14:paraId="163EFEC0" w14:textId="048E2ED4" w:rsidTr="00314D08">
        <w:tc>
          <w:tcPr>
            <w:tcW w:w="1980" w:type="dxa"/>
          </w:tcPr>
          <w:p w14:paraId="3798A418" w14:textId="77777777" w:rsidR="00314D08" w:rsidRPr="00236EDC" w:rsidRDefault="00314D08" w:rsidP="00116876">
            <w:pPr>
              <w:pStyle w:val="Zkladntext"/>
              <w:ind w:left="357"/>
            </w:pPr>
            <w:r>
              <w:t>Katastrofický</w:t>
            </w:r>
          </w:p>
        </w:tc>
        <w:tc>
          <w:tcPr>
            <w:tcW w:w="2268" w:type="dxa"/>
          </w:tcPr>
          <w:p w14:paraId="75DC0F2C" w14:textId="716A7E1C" w:rsidR="00314D08" w:rsidRPr="00236EDC" w:rsidRDefault="00314D08" w:rsidP="00116876">
            <w:pPr>
              <w:pStyle w:val="Zkladntext"/>
              <w:ind w:left="357"/>
            </w:pPr>
            <w:r w:rsidRPr="00116876">
              <w:t>1 500 001 - 15 000 000 €</w:t>
            </w:r>
          </w:p>
        </w:tc>
        <w:tc>
          <w:tcPr>
            <w:tcW w:w="2551" w:type="dxa"/>
          </w:tcPr>
          <w:p w14:paraId="6709FE00" w14:textId="41D001DF" w:rsidR="00314D08" w:rsidRPr="00236EDC" w:rsidRDefault="00314D08" w:rsidP="00116876">
            <w:pPr>
              <w:pStyle w:val="Zkladntext"/>
              <w:ind w:left="0" w:firstLine="0"/>
            </w:pPr>
            <w:r>
              <w:t>Organizácia, všetci klienti</w:t>
            </w:r>
          </w:p>
        </w:tc>
        <w:tc>
          <w:tcPr>
            <w:tcW w:w="2595" w:type="dxa"/>
          </w:tcPr>
          <w:p w14:paraId="2C0290C9" w14:textId="515DEA7D" w:rsidR="00314D08" w:rsidRPr="00236EDC" w:rsidRDefault="00314D08" w:rsidP="00B31BD2">
            <w:pPr>
              <w:pStyle w:val="Zkladntext"/>
              <w:ind w:left="20" w:hanging="20"/>
            </w:pPr>
            <w:r>
              <w:t>Pozastavenie časti služieb / ukončenie činnosti</w:t>
            </w:r>
          </w:p>
        </w:tc>
        <w:tc>
          <w:tcPr>
            <w:tcW w:w="4918" w:type="dxa"/>
          </w:tcPr>
          <w:p w14:paraId="0C687FE2" w14:textId="4F447FC6" w:rsidR="00314D08" w:rsidRPr="00236EDC" w:rsidRDefault="00314D08" w:rsidP="00B31BD2">
            <w:pPr>
              <w:pStyle w:val="Zkladntext"/>
              <w:ind w:left="-5" w:firstLine="5"/>
            </w:pPr>
            <w:r>
              <w:t>Intenzívna nepriaznivá publicita na národnej, alebo medzinárodnej úrovni</w:t>
            </w:r>
          </w:p>
        </w:tc>
      </w:tr>
      <w:bookmarkEnd w:id="26"/>
    </w:tbl>
    <w:p w14:paraId="7D3AEFE6" w14:textId="738716D8" w:rsidR="00C533FD" w:rsidRDefault="00C533FD" w:rsidP="00D10FB4">
      <w:pPr>
        <w:pStyle w:val="Zkladntext"/>
        <w:rPr>
          <w:lang w:val="sk-SK"/>
        </w:rPr>
      </w:pPr>
    </w:p>
    <w:p w14:paraId="3B8E3173" w14:textId="77777777" w:rsidR="00416787" w:rsidRDefault="00416787" w:rsidP="001504DA">
      <w:pPr>
        <w:pStyle w:val="Nadpis3"/>
        <w:pageBreakBefore/>
        <w:spacing w:after="240" w:line="240" w:lineRule="auto"/>
        <w:rPr>
          <w:rFonts w:ascii="Times New Roman" w:hAnsi="Times New Roman"/>
          <w:sz w:val="24"/>
          <w:szCs w:val="24"/>
          <w:shd w:val="clear" w:color="auto" w:fill="FFFFFF"/>
        </w:rPr>
        <w:sectPr w:rsidR="00416787" w:rsidSect="00116876">
          <w:pgSz w:w="16840" w:h="11910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20845EEC" w14:textId="1AF68DB2" w:rsidR="00D10FB4" w:rsidRPr="00064C1A" w:rsidRDefault="001504DA" w:rsidP="00064C1A">
      <w:pPr>
        <w:pStyle w:val="Nadpis2"/>
        <w:spacing w:after="240" w:line="240" w:lineRule="auto"/>
        <w:ind w:left="578" w:hanging="578"/>
        <w:rPr>
          <w:rFonts w:ascii="Times New Roman" w:hAnsi="Times New Roman"/>
          <w:noProof/>
        </w:rPr>
      </w:pPr>
      <w:bookmarkStart w:id="27" w:name="_Toc136531187"/>
      <w:r w:rsidRPr="00064C1A">
        <w:rPr>
          <w:rFonts w:ascii="Times New Roman" w:hAnsi="Times New Roman"/>
          <w:noProof/>
        </w:rPr>
        <w:lastRenderedPageBreak/>
        <w:t>Závažnosť rizika</w:t>
      </w:r>
      <w:bookmarkEnd w:id="27"/>
    </w:p>
    <w:p w14:paraId="7FA694A4" w14:textId="2CE52FB0" w:rsidR="001504DA" w:rsidRDefault="001504DA" w:rsidP="001504DA">
      <w:pPr>
        <w:pStyle w:val="Zkladntext"/>
        <w:rPr>
          <w:lang w:val="sk-SK"/>
        </w:rPr>
      </w:pPr>
      <w:r w:rsidRPr="001504DA">
        <w:rPr>
          <w:lang w:val="sk-SK"/>
        </w:rPr>
        <w:t>Výsledné hodnoty množiny je následne možné zaradiť v dvojrozmernej matici</w:t>
      </w:r>
      <w:r>
        <w:rPr>
          <w:lang w:val="sk-SK"/>
        </w:rPr>
        <w:t>:</w:t>
      </w:r>
    </w:p>
    <w:tbl>
      <w:tblPr>
        <w:tblW w:w="8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478"/>
        <w:gridCol w:w="1354"/>
        <w:gridCol w:w="1354"/>
        <w:gridCol w:w="1354"/>
        <w:gridCol w:w="1481"/>
      </w:tblGrid>
      <w:tr w:rsidR="001504DA" w:rsidRPr="001504DA" w14:paraId="6C4D5487" w14:textId="77777777" w:rsidTr="00BC7401">
        <w:trPr>
          <w:trHeight w:val="389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3D40F" w14:textId="1E673861" w:rsidR="001504DA" w:rsidRPr="001504DA" w:rsidRDefault="001504DA" w:rsidP="00C95FC0">
            <w:pPr>
              <w:pStyle w:val="Zkladntext"/>
              <w:jc w:val="center"/>
              <w:rPr>
                <w:b/>
                <w:bCs/>
                <w:lang w:val="sk-SK"/>
              </w:rPr>
            </w:pPr>
            <w:r w:rsidRPr="001504DA">
              <w:rPr>
                <w:b/>
                <w:bCs/>
                <w:lang w:val="sk-SK"/>
              </w:rPr>
              <w:t xml:space="preserve">Pravdepodobnosť </w:t>
            </w:r>
            <w:r w:rsidR="00C95FC0">
              <w:rPr>
                <w:b/>
                <w:bCs/>
                <w:lang w:val="sk-SK"/>
              </w:rPr>
              <w:t>scenára rizika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AB1B91" w14:textId="4A217EA7" w:rsidR="001504DA" w:rsidRPr="001504DA" w:rsidRDefault="001504DA" w:rsidP="00C95FC0">
            <w:pPr>
              <w:pStyle w:val="Zkladntext"/>
              <w:jc w:val="center"/>
              <w:rPr>
                <w:b/>
                <w:bCs/>
                <w:lang w:val="sk-SK"/>
              </w:rPr>
            </w:pPr>
            <w:r w:rsidRPr="001504DA">
              <w:rPr>
                <w:b/>
                <w:bCs/>
                <w:lang w:val="sk-SK"/>
              </w:rPr>
              <w:t xml:space="preserve">Dopad </w:t>
            </w:r>
            <w:r w:rsidR="00C95FC0">
              <w:rPr>
                <w:b/>
                <w:bCs/>
                <w:lang w:val="sk-SK"/>
              </w:rPr>
              <w:t>scenára rizika</w:t>
            </w:r>
          </w:p>
        </w:tc>
      </w:tr>
      <w:tr w:rsidR="00416787" w:rsidRPr="001504DA" w14:paraId="773037AA" w14:textId="77777777" w:rsidTr="00BC7401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AA7D" w14:textId="77777777" w:rsidR="001504DA" w:rsidRPr="001504DA" w:rsidRDefault="001504DA" w:rsidP="001504DA">
            <w:pPr>
              <w:pStyle w:val="Zkladntext"/>
              <w:rPr>
                <w:b/>
                <w:bCs/>
                <w:lang w:val="sk-SK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96988" w14:textId="0B43A213" w:rsidR="001504DA" w:rsidRPr="001504DA" w:rsidRDefault="001504DA" w:rsidP="001504DA">
            <w:pPr>
              <w:pStyle w:val="Zkladntext"/>
              <w:rPr>
                <w:b/>
                <w:bCs/>
                <w:lang w:val="sk-SK"/>
              </w:rPr>
            </w:pPr>
            <w:r w:rsidRPr="001504DA">
              <w:rPr>
                <w:b/>
                <w:bCs/>
                <w:lang w:val="sk-SK"/>
              </w:rPr>
              <w:t>Zanedbateľný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26472" w14:textId="7B40066E" w:rsidR="001504DA" w:rsidRPr="001504DA" w:rsidRDefault="001504DA" w:rsidP="001504DA">
            <w:pPr>
              <w:pStyle w:val="Zkladntext"/>
              <w:rPr>
                <w:b/>
                <w:bCs/>
                <w:lang w:val="sk-SK"/>
              </w:rPr>
            </w:pPr>
            <w:r w:rsidRPr="001504DA">
              <w:rPr>
                <w:b/>
                <w:bCs/>
                <w:lang w:val="sk-SK"/>
              </w:rPr>
              <w:t>Minimálny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41B50" w14:textId="6EEFA955" w:rsidR="001504DA" w:rsidRPr="001504DA" w:rsidRDefault="001504DA" w:rsidP="001504DA">
            <w:pPr>
              <w:pStyle w:val="Zkladntext"/>
              <w:rPr>
                <w:b/>
                <w:bCs/>
                <w:lang w:val="sk-SK"/>
              </w:rPr>
            </w:pPr>
            <w:r w:rsidRPr="001504DA">
              <w:rPr>
                <w:b/>
                <w:bCs/>
                <w:lang w:val="sk-SK"/>
              </w:rPr>
              <w:t>Stredný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8CB38" w14:textId="45307CE9" w:rsidR="001504DA" w:rsidRPr="001504DA" w:rsidRDefault="001504DA" w:rsidP="001504DA">
            <w:pPr>
              <w:pStyle w:val="Zkladntext"/>
              <w:rPr>
                <w:b/>
                <w:bCs/>
                <w:lang w:val="sk-SK"/>
              </w:rPr>
            </w:pPr>
            <w:r w:rsidRPr="001504DA">
              <w:rPr>
                <w:b/>
                <w:bCs/>
                <w:lang w:val="sk-SK"/>
              </w:rPr>
              <w:t>Závažný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8E042" w14:textId="3E3CA848" w:rsidR="001504DA" w:rsidRPr="001504DA" w:rsidRDefault="001504DA" w:rsidP="001504DA">
            <w:pPr>
              <w:pStyle w:val="Zkladntext"/>
              <w:rPr>
                <w:b/>
                <w:bCs/>
                <w:lang w:val="sk-SK"/>
              </w:rPr>
            </w:pPr>
            <w:r w:rsidRPr="001504DA">
              <w:rPr>
                <w:b/>
                <w:bCs/>
                <w:lang w:val="sk-SK"/>
              </w:rPr>
              <w:t>Katastrofický</w:t>
            </w:r>
          </w:p>
        </w:tc>
      </w:tr>
      <w:tr w:rsidR="00416787" w:rsidRPr="001504DA" w14:paraId="61139B93" w14:textId="77777777" w:rsidTr="00BC7401">
        <w:trPr>
          <w:trHeight w:val="469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7710" w14:textId="5EC5F296" w:rsidR="001504DA" w:rsidRPr="001504DA" w:rsidRDefault="001504DA" w:rsidP="001504DA">
            <w:pPr>
              <w:pStyle w:val="Zkladntext"/>
              <w:rPr>
                <w:b/>
                <w:bCs/>
                <w:lang w:val="sk-SK"/>
              </w:rPr>
            </w:pPr>
            <w:r w:rsidRPr="001504DA">
              <w:rPr>
                <w:b/>
                <w:bCs/>
                <w:lang w:val="sk-SK"/>
              </w:rPr>
              <w:t>Vysoká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14:paraId="64E84F7E" w14:textId="7F8E7978" w:rsidR="001504DA" w:rsidRPr="001504DA" w:rsidRDefault="00064C1A" w:rsidP="001504D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Zanedbateľné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3E74D5" w14:textId="23B588CC" w:rsidR="001504DA" w:rsidRPr="001504DA" w:rsidRDefault="00064C1A" w:rsidP="001504D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Nízke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14:paraId="5A14E3F9" w14:textId="5880A4FD" w:rsidR="001504DA" w:rsidRPr="001504DA" w:rsidRDefault="00BC7401" w:rsidP="001504D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Vysoké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14:paraId="6E7AA411" w14:textId="6D208AAE" w:rsidR="001504DA" w:rsidRPr="001504DA" w:rsidRDefault="00BC7401" w:rsidP="001504D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Vysoké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71F50D7E" w14:textId="3D8C80F4" w:rsidR="001504DA" w:rsidRPr="001504DA" w:rsidRDefault="00BC7401" w:rsidP="001504D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Mimoriadne vysoké</w:t>
            </w:r>
          </w:p>
        </w:tc>
      </w:tr>
      <w:tr w:rsidR="00BC7401" w:rsidRPr="001504DA" w14:paraId="3B3D81A8" w14:textId="77777777" w:rsidTr="00BC7401">
        <w:trPr>
          <w:trHeight w:val="456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43988" w14:textId="1EE5D0EA" w:rsidR="00BC7401" w:rsidRPr="001504DA" w:rsidRDefault="00BC7401" w:rsidP="00BC7401">
            <w:pPr>
              <w:pStyle w:val="Zkladntext"/>
              <w:rPr>
                <w:b/>
                <w:bCs/>
                <w:lang w:val="sk-SK"/>
              </w:rPr>
            </w:pPr>
            <w:r w:rsidRPr="001504DA">
              <w:rPr>
                <w:b/>
                <w:bCs/>
                <w:lang w:val="sk-SK"/>
              </w:rPr>
              <w:t>Stredná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14:paraId="7C5FFC28" w14:textId="25B76765" w:rsidR="00BC7401" w:rsidRPr="001504DA" w:rsidRDefault="00BC7401" w:rsidP="00BC7401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Zanedbateľné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597E00" w14:textId="573F2401" w:rsidR="00BC7401" w:rsidRPr="001504DA" w:rsidRDefault="00BC7401" w:rsidP="00BC7401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Nízke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437607" w14:textId="59E5FEAE" w:rsidR="00BC7401" w:rsidRPr="001504DA" w:rsidRDefault="00BC7401" w:rsidP="00BC7401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Nízke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14:paraId="3C13D4F1" w14:textId="6D5B8E9A" w:rsidR="00BC7401" w:rsidRPr="001504DA" w:rsidRDefault="00BC7401" w:rsidP="00BC7401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Vysoké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5FDCF8B1" w14:textId="27A32FEF" w:rsidR="00BC7401" w:rsidRPr="001504DA" w:rsidRDefault="00BC7401" w:rsidP="00BC7401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Mimoriadne vysoké</w:t>
            </w:r>
          </w:p>
        </w:tc>
      </w:tr>
      <w:tr w:rsidR="00064C1A" w:rsidRPr="001504DA" w14:paraId="40D7CD77" w14:textId="77777777" w:rsidTr="00BC7401">
        <w:trPr>
          <w:trHeight w:val="429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3DE53" w14:textId="7676C668" w:rsidR="00064C1A" w:rsidRPr="001504DA" w:rsidRDefault="00064C1A" w:rsidP="00064C1A">
            <w:pPr>
              <w:pStyle w:val="Zkladntext"/>
              <w:rPr>
                <w:b/>
                <w:bCs/>
                <w:lang w:val="sk-SK"/>
              </w:rPr>
            </w:pPr>
            <w:r w:rsidRPr="001504DA">
              <w:rPr>
                <w:b/>
                <w:bCs/>
                <w:lang w:val="sk-SK"/>
              </w:rPr>
              <w:t>Nízka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14:paraId="4694FD41" w14:textId="7879A12E" w:rsidR="00064C1A" w:rsidRPr="001504DA" w:rsidRDefault="00064C1A" w:rsidP="00064C1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Zanedbateľné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14:paraId="5CC47E0E" w14:textId="2E6F79BC" w:rsidR="00064C1A" w:rsidRPr="001504DA" w:rsidRDefault="00064C1A" w:rsidP="00064C1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Zanedbateľné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14:paraId="7924B7F3" w14:textId="7A9C1931" w:rsidR="00064C1A" w:rsidRPr="001504DA" w:rsidRDefault="00064C1A" w:rsidP="00064C1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Zanedbateľné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B1CF74" w14:textId="229555BE" w:rsidR="00064C1A" w:rsidRPr="001504DA" w:rsidRDefault="00BC7401" w:rsidP="00064C1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Nízke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14:paraId="10705775" w14:textId="346918F8" w:rsidR="00064C1A" w:rsidRPr="001504DA" w:rsidRDefault="00BC7401" w:rsidP="00064C1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Vysoké</w:t>
            </w:r>
          </w:p>
        </w:tc>
      </w:tr>
      <w:tr w:rsidR="00064C1A" w:rsidRPr="001504DA" w14:paraId="3AB592C4" w14:textId="77777777" w:rsidTr="00BC7401">
        <w:trPr>
          <w:trHeight w:val="429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21D48" w14:textId="03B74C80" w:rsidR="00064C1A" w:rsidRPr="001504DA" w:rsidRDefault="00064C1A" w:rsidP="00064C1A">
            <w:pPr>
              <w:pStyle w:val="Zkladntext"/>
              <w:rPr>
                <w:b/>
                <w:bCs/>
                <w:lang w:val="sk-SK"/>
              </w:rPr>
            </w:pPr>
            <w:r w:rsidRPr="001504DA">
              <w:rPr>
                <w:b/>
                <w:bCs/>
                <w:lang w:val="sk-SK"/>
              </w:rPr>
              <w:t>Veľmi nízka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14:paraId="305A1ED6" w14:textId="651FFC77" w:rsidR="00064C1A" w:rsidRPr="001504DA" w:rsidRDefault="00064C1A" w:rsidP="00064C1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Zanedbateľné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14:paraId="0C5DBCC1" w14:textId="16D5551E" w:rsidR="00064C1A" w:rsidRPr="001504DA" w:rsidRDefault="00064C1A" w:rsidP="00064C1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Zanedbateľné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14:paraId="031EF6C2" w14:textId="20E18CF9" w:rsidR="00064C1A" w:rsidRPr="001504DA" w:rsidRDefault="00064C1A" w:rsidP="00064C1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Zanedbateľné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14:paraId="55ED1E42" w14:textId="6294AB0D" w:rsidR="00064C1A" w:rsidRPr="001504DA" w:rsidRDefault="00064C1A" w:rsidP="00064C1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Zanedbateľné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AEA326" w14:textId="6AF652A1" w:rsidR="00064C1A" w:rsidRPr="001504DA" w:rsidRDefault="00BC7401" w:rsidP="00064C1A">
            <w:pPr>
              <w:pStyle w:val="Zkladntext"/>
              <w:rPr>
                <w:lang w:val="sk-SK"/>
              </w:rPr>
            </w:pPr>
            <w:r>
              <w:rPr>
                <w:lang w:val="sk-SK"/>
              </w:rPr>
              <w:t>Nízke</w:t>
            </w:r>
          </w:p>
        </w:tc>
      </w:tr>
    </w:tbl>
    <w:p w14:paraId="3BBD6EF8" w14:textId="19366896" w:rsidR="00BF552D" w:rsidRPr="00BF552D" w:rsidRDefault="00BF552D" w:rsidP="00BF552D">
      <w:pPr>
        <w:pStyle w:val="Nadpis2"/>
        <w:spacing w:after="240" w:line="240" w:lineRule="auto"/>
        <w:ind w:left="578" w:hanging="578"/>
        <w:rPr>
          <w:rFonts w:ascii="Times New Roman" w:hAnsi="Times New Roman"/>
          <w:noProof/>
        </w:rPr>
      </w:pPr>
      <w:bookmarkStart w:id="28" w:name="_Toc136531188"/>
      <w:r w:rsidRPr="00BF552D">
        <w:rPr>
          <w:rFonts w:ascii="Times New Roman" w:hAnsi="Times New Roman"/>
          <w:noProof/>
        </w:rPr>
        <w:t>Návrh bezpečnostných opatrení</w:t>
      </w:r>
      <w:bookmarkEnd w:id="28"/>
    </w:p>
    <w:p w14:paraId="04C5C5D6" w14:textId="1635BAA5" w:rsidR="005113FE" w:rsidRDefault="005113FE" w:rsidP="005113FE">
      <w:pPr>
        <w:pStyle w:val="Zkladntext"/>
        <w:rPr>
          <w:lang w:val="sk-SK"/>
        </w:rPr>
      </w:pPr>
      <w:r>
        <w:rPr>
          <w:lang w:val="sk-SK"/>
        </w:rPr>
        <w:t>Na základe výslednej hodnoty úrovne závažnosti rizika následne organizácia prijíma bezpečnostné opatrenia.</w:t>
      </w:r>
    </w:p>
    <w:p w14:paraId="397D7D00" w14:textId="26112635" w:rsidR="00BF552D" w:rsidRDefault="005113FE" w:rsidP="005113FE">
      <w:pPr>
        <w:pStyle w:val="Zkladntext"/>
        <w:rPr>
          <w:lang w:val="sk-SK"/>
        </w:rPr>
      </w:pPr>
      <w:r w:rsidRPr="005113FE">
        <w:rPr>
          <w:lang w:val="sk-SK"/>
        </w:rPr>
        <w:t>Návrh opatrení v závislosti na stanovenej úrovni závažnosti rizika: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1360"/>
        <w:gridCol w:w="6459"/>
      </w:tblGrid>
      <w:tr w:rsidR="005113FE" w14:paraId="4CA97A6B" w14:textId="77777777" w:rsidTr="009E7C5B">
        <w:trPr>
          <w:trHeight w:val="470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6F696D1" w14:textId="77777777" w:rsidR="005113FE" w:rsidRDefault="005113FE" w:rsidP="009E7C5B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 w:eastAsia="sk-SK"/>
              </w:rPr>
              <w:t>Závažnosť rizika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D04886D" w14:textId="77777777" w:rsidR="005113FE" w:rsidRDefault="005113FE" w:rsidP="009E7C5B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 w:eastAsia="sk-SK"/>
              </w:rPr>
              <w:t>Miera rizika</w:t>
            </w:r>
          </w:p>
        </w:tc>
        <w:tc>
          <w:tcPr>
            <w:tcW w:w="6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1F26F6E" w14:textId="77777777" w:rsidR="005113FE" w:rsidRDefault="005113FE" w:rsidP="009E7C5B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k-SK" w:eastAsia="sk-SK"/>
              </w:rPr>
              <w:t>Vyhodnotenie</w:t>
            </w:r>
          </w:p>
        </w:tc>
      </w:tr>
      <w:tr w:rsidR="005113FE" w14:paraId="6969D416" w14:textId="77777777" w:rsidTr="009E7C5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1CCA4234" w14:textId="77777777" w:rsidR="005113FE" w:rsidRDefault="005113FE" w:rsidP="009E7C5B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sk-SK" w:eastAsia="sk-SK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165A7B84" w14:textId="77777777" w:rsidR="005113FE" w:rsidRDefault="005113FE" w:rsidP="009E7C5B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sk-SK" w:eastAsia="sk-SK"/>
              </w:rPr>
              <w:t>Mimoriadne vysoké riziko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13A64" w14:textId="77777777" w:rsidR="005113FE" w:rsidRDefault="005113FE" w:rsidP="009E7C5B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Rozšírené a dodatočné bezpečnostné opatrenia sú bezpodmienečne nutné a je nutné prijať ich bezodkladne. Výkon kľúčových procesov a ďalšia prevádzka systému je podmienená prijatím opatrní.</w:t>
            </w:r>
          </w:p>
        </w:tc>
      </w:tr>
      <w:tr w:rsidR="005113FE" w14:paraId="7EB2AFE9" w14:textId="77777777" w:rsidTr="009E7C5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1BFA2DF4" w14:textId="77777777" w:rsidR="005113FE" w:rsidRDefault="005113FE" w:rsidP="009E7C5B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/>
            <w:vAlign w:val="center"/>
            <w:hideMark/>
          </w:tcPr>
          <w:p w14:paraId="67C1BAF0" w14:textId="77777777" w:rsidR="005113FE" w:rsidRDefault="005113FE" w:rsidP="009E7C5B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k-SK" w:eastAsia="sk-SK"/>
              </w:rPr>
              <w:t>Vysoké riziko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D661A" w14:textId="77777777" w:rsidR="005113FE" w:rsidRDefault="005113FE" w:rsidP="009E7C5B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Rozšírené a dodatočné bezpečnostné opatrenia sú potrebné a mali by byť prijaté v dohľadnej dobe, ktorú určí vlastník rizika. Výkon kľúčových procesov organizácie ani prevádzka systému sa nepovažujú za akútne ohrozené.</w:t>
            </w:r>
          </w:p>
        </w:tc>
      </w:tr>
      <w:tr w:rsidR="005113FE" w14:paraId="5CC9516E" w14:textId="77777777" w:rsidTr="009E7C5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8136DE4" w14:textId="77777777" w:rsidR="005113FE" w:rsidRDefault="005113FE" w:rsidP="009E7C5B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C6B7B34" w14:textId="77777777" w:rsidR="005113FE" w:rsidRDefault="005113FE" w:rsidP="009E7C5B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Nízke riziko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23649" w14:textId="77777777" w:rsidR="005113FE" w:rsidRDefault="005113FE" w:rsidP="009E7C5B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Vlastník aktíva musí stanoviť, či je nutné prijať rozšírené bezpečnostné opatrenia, alebo či v minulosti prijaté opatrenia sú ešte potrebné. Riziko je možné akceptovať ako prijateľné len v prípade že boli prijaté rozšírené bezpečnostné opatrenia.</w:t>
            </w:r>
          </w:p>
        </w:tc>
      </w:tr>
      <w:tr w:rsidR="005113FE" w14:paraId="56FE16E5" w14:textId="77777777" w:rsidTr="009E7C5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/>
            <w:vAlign w:val="center"/>
            <w:hideMark/>
          </w:tcPr>
          <w:p w14:paraId="3245CAAB" w14:textId="77777777" w:rsidR="005113FE" w:rsidRDefault="005113FE" w:rsidP="009E7C5B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sk-SK" w:eastAsia="sk-SK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/>
            <w:vAlign w:val="center"/>
            <w:hideMark/>
          </w:tcPr>
          <w:p w14:paraId="3A7CD691" w14:textId="77777777" w:rsidR="005113FE" w:rsidRDefault="005113FE" w:rsidP="009E7C5B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sk-SK" w:eastAsia="sk-SK"/>
              </w:rPr>
              <w:t>Zanedbateľné riziko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04759" w14:textId="77777777" w:rsidR="005113FE" w:rsidRDefault="005113FE" w:rsidP="009E7C5B">
            <w:pPr>
              <w:widowControl/>
              <w:autoSpaceDE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k-SK" w:eastAsia="sk-SK"/>
              </w:rPr>
              <w:t>Nie je nutné prijať dodatočné ani rozšírené bezpečnostné opatrenia. Riziko je možné akceptovať ako prijateľné.</w:t>
            </w:r>
          </w:p>
        </w:tc>
      </w:tr>
    </w:tbl>
    <w:p w14:paraId="27EF3157" w14:textId="1C2C500E" w:rsidR="00EB07F6" w:rsidRPr="00EB07F6" w:rsidRDefault="00893FBD" w:rsidP="00EB07F6">
      <w:pPr>
        <w:rPr>
          <w:rFonts w:ascii="Times New Roman" w:hAnsi="Times New Roman"/>
          <w:szCs w:val="18"/>
          <w:lang w:val="sk-SK" w:eastAsia="sk-SK"/>
        </w:rPr>
      </w:pPr>
      <w:r>
        <w:rPr>
          <w:lang w:val="sk-SK" w:eastAsia="sk-SK"/>
        </w:rPr>
        <w:br w:type="page"/>
      </w:r>
      <w:bookmarkStart w:id="29" w:name="_Hlk120813110"/>
    </w:p>
    <w:bookmarkEnd w:id="29"/>
    <w:p w14:paraId="19FEDD0B" w14:textId="77777777" w:rsidR="00116876" w:rsidRDefault="00116876" w:rsidP="005113FE">
      <w:pPr>
        <w:pStyle w:val="Nadpis1"/>
        <w:numPr>
          <w:ilvl w:val="0"/>
          <w:numId w:val="0"/>
        </w:numPr>
        <w:spacing w:before="240" w:after="240" w:line="240" w:lineRule="auto"/>
        <w:ind w:left="431"/>
        <w:sectPr w:rsidR="00116876" w:rsidSect="00416787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1CA96872" w14:textId="771801E3" w:rsidR="00913021" w:rsidRDefault="00014EC4" w:rsidP="001F3655">
      <w:pPr>
        <w:pStyle w:val="Nadpis1"/>
        <w:spacing w:before="240" w:after="240" w:line="240" w:lineRule="auto"/>
        <w:ind w:left="431" w:hanging="431"/>
      </w:pPr>
      <w:bookmarkStart w:id="30" w:name="_Toc136531189"/>
      <w:bookmarkStart w:id="31" w:name="_Toc75944800"/>
      <w:r>
        <w:lastRenderedPageBreak/>
        <w:t>Výkon</w:t>
      </w:r>
      <w:r w:rsidR="00913021" w:rsidRPr="00913021">
        <w:t xml:space="preserve"> analýzy dopadov</w:t>
      </w:r>
      <w:r w:rsidR="00913021">
        <w:t xml:space="preserve"> (BIA)</w:t>
      </w:r>
      <w:bookmarkEnd w:id="30"/>
    </w:p>
    <w:p w14:paraId="4FA4D1B4" w14:textId="16CA66D7" w:rsidR="00913021" w:rsidRPr="00913021" w:rsidRDefault="0091302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Analýzou dopadov sa identifikujú rôzne kategórie procesov organizácie, na základe ich kritickosti, ich vzájomné závislosti, analyzujú sa potenciálne dôsledky (škôd/strát) pri rôznych dobách trvania kritických situácií, stanovujú sa cieľové časy obnovy (RTO) a cieľové body obnovy (RPO).</w:t>
      </w:r>
      <w:r w:rsidR="00C95FC0">
        <w:rPr>
          <w:rFonts w:ascii="Times New Roman" w:hAnsi="Times New Roman"/>
          <w:szCs w:val="18"/>
          <w:lang w:val="sk-SK"/>
        </w:rPr>
        <w:t xml:space="preserve"> Podrobnejšie informácie o analýze dopadov sú popísané v Metodike analýzy rizík a analýzy dopadov zverejnenej na </w:t>
      </w:r>
      <w:hyperlink r:id="rId17" w:history="1">
        <w:r w:rsidR="00C95FC0" w:rsidRPr="00C95FC0">
          <w:rPr>
            <w:rStyle w:val="Hypertextovprepojenie"/>
            <w:rFonts w:ascii="Times New Roman" w:hAnsi="Times New Roman"/>
            <w:szCs w:val="18"/>
            <w:lang w:val="sk-SK"/>
          </w:rPr>
          <w:t>webovej stránke MIRRI</w:t>
        </w:r>
      </w:hyperlink>
      <w:r w:rsidR="00C95FC0">
        <w:rPr>
          <w:rFonts w:ascii="Times New Roman" w:hAnsi="Times New Roman"/>
          <w:szCs w:val="18"/>
          <w:lang w:val="sk-SK"/>
        </w:rPr>
        <w:t xml:space="preserve">.  </w:t>
      </w:r>
    </w:p>
    <w:p w14:paraId="173212D9" w14:textId="77777777" w:rsidR="00913021" w:rsidRPr="00913021" w:rsidRDefault="0091302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Cieľom analýzy dopadov je najmä:</w:t>
      </w:r>
    </w:p>
    <w:p w14:paraId="7709D377" w14:textId="77777777" w:rsidR="00913021" w:rsidRPr="00913021" w:rsidRDefault="00913021" w:rsidP="00D36C21">
      <w:pPr>
        <w:numPr>
          <w:ilvl w:val="0"/>
          <w:numId w:val="50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913021">
        <w:rPr>
          <w:rFonts w:ascii="Times New Roman" w:hAnsi="Times New Roman"/>
          <w:szCs w:val="18"/>
        </w:rPr>
        <w:t>zmapovanie organizácie,</w:t>
      </w:r>
    </w:p>
    <w:p w14:paraId="4F0264C1" w14:textId="77777777" w:rsidR="00913021" w:rsidRPr="00913021" w:rsidRDefault="00913021" w:rsidP="00D36C21">
      <w:pPr>
        <w:numPr>
          <w:ilvl w:val="0"/>
          <w:numId w:val="50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913021">
        <w:rPr>
          <w:rFonts w:ascii="Times New Roman" w:hAnsi="Times New Roman"/>
          <w:szCs w:val="18"/>
        </w:rPr>
        <w:t>identifikácia závislostí medzi procesmi,</w:t>
      </w:r>
    </w:p>
    <w:p w14:paraId="29E028F1" w14:textId="13145A6D" w:rsidR="00913021" w:rsidRPr="00913021" w:rsidRDefault="00913021" w:rsidP="00D36C21">
      <w:pPr>
        <w:numPr>
          <w:ilvl w:val="0"/>
          <w:numId w:val="50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913021">
        <w:rPr>
          <w:rFonts w:ascii="Times New Roman" w:hAnsi="Times New Roman"/>
          <w:szCs w:val="18"/>
        </w:rPr>
        <w:t>analýza možných dopadov a určenie</w:t>
      </w:r>
      <w:r w:rsidR="00D47EF1">
        <w:rPr>
          <w:rFonts w:ascii="Times New Roman" w:hAnsi="Times New Roman"/>
          <w:szCs w:val="18"/>
        </w:rPr>
        <w:t xml:space="preserve"> </w:t>
      </w:r>
      <w:r w:rsidRPr="00913021">
        <w:rPr>
          <w:rFonts w:ascii="Times New Roman" w:hAnsi="Times New Roman"/>
          <w:szCs w:val="18"/>
        </w:rPr>
        <w:t>RTO a RPO,</w:t>
      </w:r>
    </w:p>
    <w:p w14:paraId="178F5D73" w14:textId="6A47C61E" w:rsidR="00913021" w:rsidRPr="00913021" w:rsidRDefault="00913021" w:rsidP="00D36C21">
      <w:pPr>
        <w:numPr>
          <w:ilvl w:val="0"/>
          <w:numId w:val="50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913021">
        <w:rPr>
          <w:rFonts w:ascii="Times New Roman" w:hAnsi="Times New Roman"/>
          <w:szCs w:val="18"/>
        </w:rPr>
        <w:t>vymedzenie krízových situáci</w:t>
      </w:r>
      <w:r w:rsidR="00D47EF1">
        <w:rPr>
          <w:rFonts w:ascii="Times New Roman" w:hAnsi="Times New Roman"/>
          <w:szCs w:val="18"/>
        </w:rPr>
        <w:t>i</w:t>
      </w:r>
      <w:r w:rsidRPr="00913021">
        <w:rPr>
          <w:rFonts w:ascii="Times New Roman" w:hAnsi="Times New Roman"/>
          <w:szCs w:val="18"/>
        </w:rPr>
        <w:t xml:space="preserve"> a eliminovanie ich dopadov,</w:t>
      </w:r>
    </w:p>
    <w:p w14:paraId="7200CB95" w14:textId="77777777" w:rsidR="00913021" w:rsidRPr="00913021" w:rsidRDefault="00913021" w:rsidP="00D36C21">
      <w:pPr>
        <w:numPr>
          <w:ilvl w:val="0"/>
          <w:numId w:val="50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913021">
        <w:rPr>
          <w:rFonts w:ascii="Times New Roman" w:hAnsi="Times New Roman"/>
          <w:szCs w:val="18"/>
        </w:rPr>
        <w:t>identifikáciu všetkých zdrojov a prostriedkov nevyhnutných na zabezpečenie kontinuity činností.</w:t>
      </w:r>
    </w:p>
    <w:p w14:paraId="40E2ECB3" w14:textId="77777777" w:rsidR="00913021" w:rsidRPr="00FC56A2" w:rsidRDefault="00913021" w:rsidP="00FC56A2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32" w:name="_Toc118141511"/>
      <w:bookmarkStart w:id="33" w:name="_Toc136531190"/>
      <w:r w:rsidRPr="00913021">
        <w:rPr>
          <w:rFonts w:ascii="Times New Roman" w:hAnsi="Times New Roman"/>
        </w:rPr>
        <w:t>Fázy výkonu analýzy dopadov na činnosti organizácie</w:t>
      </w:r>
      <w:bookmarkEnd w:id="32"/>
      <w:bookmarkEnd w:id="33"/>
    </w:p>
    <w:p w14:paraId="5C9F712F" w14:textId="77777777" w:rsidR="00913021" w:rsidRPr="00913021" w:rsidRDefault="0091302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Výkon analýzy dopadov je štruktúrovaný do nasledujúcich hlavných fáz:</w:t>
      </w:r>
    </w:p>
    <w:p w14:paraId="6BC5EFF6" w14:textId="77777777" w:rsidR="00913021" w:rsidRPr="00913021" w:rsidRDefault="00913021" w:rsidP="00D36C2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úvodné stretnutie k analýze dopadov,</w:t>
      </w:r>
    </w:p>
    <w:p w14:paraId="2393B30B" w14:textId="77777777" w:rsidR="00913021" w:rsidRPr="00913021" w:rsidRDefault="00913021" w:rsidP="00D36C2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návrh okruhu procesov a činností, ktoré budú vstupom pre analýzu dopadov,</w:t>
      </w:r>
    </w:p>
    <w:p w14:paraId="74487E71" w14:textId="77777777" w:rsidR="00913021" w:rsidRPr="00913021" w:rsidRDefault="00913021" w:rsidP="00D36C2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moderované workshopy s vlastníkmi príslušných procesov a činností za účelom zberu vstupných údajov pre vykonanie analýzy dopadov,</w:t>
      </w:r>
    </w:p>
    <w:p w14:paraId="1C279FE7" w14:textId="77777777" w:rsidR="00913021" w:rsidRPr="00913021" w:rsidRDefault="00913021" w:rsidP="00D36C2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realizácia analýzy dopadov,</w:t>
      </w:r>
    </w:p>
    <w:p w14:paraId="372E154B" w14:textId="58437BB9" w:rsidR="00913021" w:rsidRPr="00913021" w:rsidRDefault="00913021" w:rsidP="00D36C2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vypracovanie správy z analýzy dopadov</w:t>
      </w:r>
      <w:r w:rsidR="001428D1">
        <w:rPr>
          <w:rFonts w:ascii="Times New Roman" w:hAnsi="Times New Roman"/>
          <w:szCs w:val="18"/>
          <w:lang w:val="sk-SK"/>
        </w:rPr>
        <w:t>.</w:t>
      </w:r>
    </w:p>
    <w:p w14:paraId="09B917DE" w14:textId="594B2229" w:rsidR="00913021" w:rsidRPr="00FC56A2" w:rsidRDefault="001428D1" w:rsidP="00FC56A2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34" w:name="_Toc118141512"/>
      <w:bookmarkStart w:id="35" w:name="_Toc136531191"/>
      <w:r>
        <w:rPr>
          <w:rFonts w:ascii="Times New Roman" w:hAnsi="Times New Roman"/>
        </w:rPr>
        <w:t>Z</w:t>
      </w:r>
      <w:r w:rsidR="00913021" w:rsidRPr="00913021">
        <w:rPr>
          <w:rFonts w:ascii="Times New Roman" w:hAnsi="Times New Roman"/>
        </w:rPr>
        <w:t>ber vstupných dát</w:t>
      </w:r>
      <w:bookmarkEnd w:id="34"/>
      <w:bookmarkEnd w:id="35"/>
    </w:p>
    <w:p w14:paraId="1CD54C15" w14:textId="5CF58B23" w:rsidR="00913021" w:rsidRDefault="0091302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Vstupné dáta budú identifikované a analyzované počas moderovaných stretnutí so zodpovednými osobami a kľúčovými zamestnancami odborov a oddelení.</w:t>
      </w:r>
    </w:p>
    <w:p w14:paraId="6941918C" w14:textId="7EF083DF" w:rsidR="001428D1" w:rsidRDefault="001428D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t>V rámci stretnutia sa vyplní dotazník, ktorý bude po stretnutí zaslaný na verifikáciu a validáciu zodpovedným osobám. Dotazník bude obsahovať nasledovné časti:</w:t>
      </w:r>
    </w:p>
    <w:p w14:paraId="6C000775" w14:textId="7BF1F811" w:rsidR="001428D1" w:rsidRDefault="001428D1" w:rsidP="001428D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t>základné informácie o procese,</w:t>
      </w:r>
    </w:p>
    <w:p w14:paraId="586D6128" w14:textId="3A46DE4D" w:rsidR="001428D1" w:rsidRDefault="001428D1" w:rsidP="001428D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t>väzby a závislosti procesu,</w:t>
      </w:r>
    </w:p>
    <w:p w14:paraId="195A5444" w14:textId="45F3F15E" w:rsidR="001428D1" w:rsidRDefault="001428D1" w:rsidP="001428D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t>profil vykonávanej práce,</w:t>
      </w:r>
    </w:p>
    <w:p w14:paraId="571BB15E" w14:textId="455E44F0" w:rsidR="001428D1" w:rsidRDefault="001428D1" w:rsidP="001428D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t>funkčné dopady,</w:t>
      </w:r>
    </w:p>
    <w:p w14:paraId="275F1279" w14:textId="082C3684" w:rsidR="001428D1" w:rsidRDefault="001428D1" w:rsidP="001428D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t>finančné dopady,</w:t>
      </w:r>
    </w:p>
    <w:p w14:paraId="22E1E2BE" w14:textId="23752378" w:rsidR="001428D1" w:rsidRDefault="001428D1" w:rsidP="001428D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t>strata údajov</w:t>
      </w:r>
    </w:p>
    <w:p w14:paraId="76C988A4" w14:textId="72912B9D" w:rsidR="001428D1" w:rsidRDefault="001428D1" w:rsidP="001428D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t>i</w:t>
      </w:r>
      <w:r w:rsidRPr="001428D1">
        <w:rPr>
          <w:rFonts w:ascii="Times New Roman" w:hAnsi="Times New Roman"/>
          <w:szCs w:val="18"/>
          <w:lang w:val="sk-SK"/>
        </w:rPr>
        <w:t>dentifikácia zdrojov a prostriedkov na obnovu procesu</w:t>
      </w:r>
    </w:p>
    <w:p w14:paraId="688F2CCC" w14:textId="164D444C" w:rsidR="001428D1" w:rsidRDefault="001428D1" w:rsidP="001428D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t>a</w:t>
      </w:r>
      <w:r w:rsidRPr="001428D1">
        <w:rPr>
          <w:rFonts w:ascii="Times New Roman" w:hAnsi="Times New Roman"/>
          <w:szCs w:val="18"/>
          <w:lang w:val="sk-SK"/>
        </w:rPr>
        <w:t>lternatívny poskytovateľ procesu</w:t>
      </w:r>
    </w:p>
    <w:p w14:paraId="5DE373A8" w14:textId="216097B7" w:rsidR="001428D1" w:rsidRDefault="001428D1" w:rsidP="001428D1">
      <w:pPr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lastRenderedPageBreak/>
        <w:t>predchádzajúce skúsenosti s krízovými situáciami</w:t>
      </w:r>
    </w:p>
    <w:p w14:paraId="07918772" w14:textId="04DE502F" w:rsidR="001428D1" w:rsidRPr="00913021" w:rsidRDefault="001428D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>
        <w:rPr>
          <w:rFonts w:ascii="Times New Roman" w:hAnsi="Times New Roman"/>
          <w:szCs w:val="18"/>
          <w:lang w:val="sk-SK"/>
        </w:rPr>
        <w:t>Bližší popis údajov, ktoré je potrebné zozbierať v každej časti dotazníka sa nachádza v dokumente „Metodika analýzy rizík a analýzy dopadov“.</w:t>
      </w:r>
    </w:p>
    <w:p w14:paraId="7B8DD717" w14:textId="5C82263B" w:rsidR="00913021" w:rsidRPr="00FC56A2" w:rsidRDefault="00913021" w:rsidP="00FC56A2">
      <w:pPr>
        <w:pStyle w:val="Nadpis2"/>
        <w:spacing w:after="240" w:line="240" w:lineRule="auto"/>
        <w:ind w:left="578" w:hanging="578"/>
        <w:rPr>
          <w:rFonts w:ascii="Times New Roman" w:hAnsi="Times New Roman"/>
        </w:rPr>
      </w:pPr>
      <w:bookmarkStart w:id="36" w:name="_Toc118141523"/>
      <w:bookmarkStart w:id="37" w:name="_Toc136531192"/>
      <w:r w:rsidRPr="00913021">
        <w:rPr>
          <w:rFonts w:ascii="Times New Roman" w:hAnsi="Times New Roman"/>
        </w:rPr>
        <w:t>Výstupy z analýzy dopadov</w:t>
      </w:r>
      <w:bookmarkEnd w:id="36"/>
      <w:bookmarkEnd w:id="37"/>
    </w:p>
    <w:p w14:paraId="0B817B21" w14:textId="77777777" w:rsidR="00913021" w:rsidRPr="00913021" w:rsidRDefault="0091302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Po zozbieraní všetkých vstupných dát a ich validovaní prebehne finálna analýza dát a ich vyhodnotenie.</w:t>
      </w:r>
    </w:p>
    <w:p w14:paraId="015D5884" w14:textId="77777777" w:rsidR="00913021" w:rsidRPr="00913021" w:rsidRDefault="0091302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Výstupom z analýzy dopadov bude záverečná správa, ktorá bude obsahovať:</w:t>
      </w:r>
    </w:p>
    <w:p w14:paraId="6A1B0F67" w14:textId="77777777" w:rsidR="00913021" w:rsidRPr="00913021" w:rsidRDefault="00913021" w:rsidP="00D36C21">
      <w:pPr>
        <w:numPr>
          <w:ilvl w:val="0"/>
          <w:numId w:val="62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zoznam procesov, ktor</w:t>
      </w:r>
      <w:r w:rsidRPr="00913021">
        <w:rPr>
          <w:rFonts w:ascii="Arial Nova Cond" w:hAnsi="Arial Nova Cond" w:cs="Arial Nova Cond"/>
          <w:szCs w:val="18"/>
          <w:lang w:val="sk-SK"/>
        </w:rPr>
        <w:t>ý</w:t>
      </w:r>
      <w:r w:rsidRPr="00913021">
        <w:rPr>
          <w:rFonts w:ascii="Times New Roman" w:hAnsi="Times New Roman"/>
          <w:szCs w:val="18"/>
          <w:lang w:val="sk-SK"/>
        </w:rPr>
        <w:t xml:space="preserve"> bude (ak to je možné) obsahova</w:t>
      </w:r>
      <w:r w:rsidRPr="00913021">
        <w:rPr>
          <w:rFonts w:ascii="Arial Nova Cond" w:hAnsi="Arial Nova Cond" w:cs="Arial Nova Cond"/>
          <w:szCs w:val="18"/>
          <w:lang w:val="sk-SK"/>
        </w:rPr>
        <w:t>ť</w:t>
      </w:r>
      <w:r w:rsidRPr="00913021">
        <w:rPr>
          <w:rFonts w:ascii="Times New Roman" w:hAnsi="Times New Roman"/>
          <w:szCs w:val="18"/>
          <w:lang w:val="sk-SK"/>
        </w:rPr>
        <w:t xml:space="preserve"> n</w:t>
      </w:r>
      <w:r w:rsidRPr="00913021">
        <w:rPr>
          <w:rFonts w:ascii="Arial Nova Cond" w:hAnsi="Arial Nova Cond" w:cs="Arial Nova Cond"/>
          <w:szCs w:val="18"/>
          <w:lang w:val="sk-SK"/>
        </w:rPr>
        <w:t>á</w:t>
      </w:r>
      <w:r w:rsidRPr="00913021">
        <w:rPr>
          <w:rFonts w:ascii="Times New Roman" w:hAnsi="Times New Roman"/>
          <w:szCs w:val="18"/>
          <w:lang w:val="sk-SK"/>
        </w:rPr>
        <w:t>zov procesu, druh procesu, vlastníka procesu, RTO a RPO procesu (údaje, na základe ktorých bolo stanovené príslušné RTO a RPO budú taktiež súčasťou správy),</w:t>
      </w:r>
    </w:p>
    <w:p w14:paraId="2B2AD07D" w14:textId="77777777" w:rsidR="00913021" w:rsidRPr="00913021" w:rsidRDefault="00913021" w:rsidP="00D36C21">
      <w:pPr>
        <w:numPr>
          <w:ilvl w:val="0"/>
          <w:numId w:val="62"/>
        </w:numPr>
        <w:spacing w:after="120"/>
        <w:ind w:left="284" w:hanging="284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Arial Nova Cond" w:hAnsi="Arial Nova Cond" w:cs="Arial Nova Cond"/>
          <w:szCs w:val="18"/>
          <w:lang w:val="sk-SK"/>
        </w:rPr>
        <w:t>š</w:t>
      </w:r>
      <w:r w:rsidRPr="00913021">
        <w:rPr>
          <w:rFonts w:ascii="Times New Roman" w:hAnsi="Times New Roman"/>
          <w:szCs w:val="18"/>
          <w:lang w:val="sk-SK"/>
        </w:rPr>
        <w:t>pecifik</w:t>
      </w:r>
      <w:r w:rsidRPr="00913021">
        <w:rPr>
          <w:rFonts w:ascii="Arial Nova Cond" w:hAnsi="Arial Nova Cond" w:cs="Arial Nova Cond"/>
          <w:szCs w:val="18"/>
          <w:lang w:val="sk-SK"/>
        </w:rPr>
        <w:t>á</w:t>
      </w:r>
      <w:r w:rsidRPr="00913021">
        <w:rPr>
          <w:rFonts w:ascii="Times New Roman" w:hAnsi="Times New Roman"/>
          <w:szCs w:val="18"/>
          <w:lang w:val="sk-SK"/>
        </w:rPr>
        <w:t>cie nevyhnutn</w:t>
      </w:r>
      <w:r w:rsidRPr="00913021">
        <w:rPr>
          <w:rFonts w:ascii="Arial Nova Cond" w:hAnsi="Arial Nova Cond" w:cs="Arial Nova Cond"/>
          <w:szCs w:val="18"/>
          <w:lang w:val="sk-SK"/>
        </w:rPr>
        <w:t>ý</w:t>
      </w:r>
      <w:r w:rsidRPr="00913021">
        <w:rPr>
          <w:rFonts w:ascii="Times New Roman" w:hAnsi="Times New Roman"/>
          <w:szCs w:val="18"/>
          <w:lang w:val="sk-SK"/>
        </w:rPr>
        <w:t>ch zdrojov a prostriedkov pre zabezpečenie kontinuity činností.</w:t>
      </w:r>
    </w:p>
    <w:p w14:paraId="248D1EBB" w14:textId="37FF8107" w:rsidR="00913021" w:rsidRPr="00FC56A2" w:rsidRDefault="00913021" w:rsidP="00FC56A2">
      <w:pPr>
        <w:pStyle w:val="Nadpis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38" w:name="_Toc118141524"/>
      <w:bookmarkStart w:id="39" w:name="_Toc136531193"/>
      <w:r w:rsidRPr="00FC56A2">
        <w:rPr>
          <w:rFonts w:ascii="Times New Roman" w:hAnsi="Times New Roman"/>
          <w:sz w:val="24"/>
          <w:szCs w:val="24"/>
        </w:rPr>
        <w:t>Stanovenie hodnôt RTO</w:t>
      </w:r>
      <w:r w:rsidR="00CC03AF">
        <w:rPr>
          <w:rFonts w:ascii="Times New Roman" w:hAnsi="Times New Roman"/>
          <w:sz w:val="24"/>
          <w:szCs w:val="24"/>
        </w:rPr>
        <w:t xml:space="preserve"> a</w:t>
      </w:r>
      <w:r w:rsidRPr="00FC56A2">
        <w:rPr>
          <w:rFonts w:ascii="Times New Roman" w:hAnsi="Times New Roman"/>
          <w:sz w:val="24"/>
          <w:szCs w:val="24"/>
        </w:rPr>
        <w:t xml:space="preserve"> RPO</w:t>
      </w:r>
      <w:bookmarkEnd w:id="38"/>
      <w:bookmarkEnd w:id="39"/>
    </w:p>
    <w:p w14:paraId="5221B465" w14:textId="77777777" w:rsidR="00913021" w:rsidRPr="00913021" w:rsidRDefault="00913021" w:rsidP="00913021">
      <w:pPr>
        <w:spacing w:after="120"/>
        <w:jc w:val="both"/>
        <w:rPr>
          <w:rFonts w:ascii="Times New Roman" w:hAnsi="Times New Roman"/>
          <w:szCs w:val="18"/>
          <w:u w:val="single"/>
          <w:lang w:val="sk-SK"/>
        </w:rPr>
      </w:pPr>
      <w:r w:rsidRPr="00913021">
        <w:rPr>
          <w:rFonts w:ascii="Times New Roman" w:hAnsi="Times New Roman"/>
          <w:szCs w:val="18"/>
          <w:u w:val="single"/>
          <w:lang w:val="sk-SK"/>
        </w:rPr>
        <w:t>Stanovenie hodnoty RTO</w:t>
      </w:r>
    </w:p>
    <w:p w14:paraId="72125E0E" w14:textId="77777777" w:rsidR="00913021" w:rsidRPr="00913021" w:rsidRDefault="0091302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RTO procesu sa určí podľa už stanoveného MTO príslušnej činnosti s prihliadnutím na závislosti medzi procesmi.</w:t>
      </w:r>
    </w:p>
    <w:p w14:paraId="45AF3759" w14:textId="77777777" w:rsidR="00913021" w:rsidRPr="00913021" w:rsidRDefault="0091302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RTO procesu sa musí oproti MTO príslušnej činnosti ponížiť, ak na procese je závislý iný proces, ktorého stanovená hodnota RTO je nižšia než príslušné MTO.</w:t>
      </w:r>
    </w:p>
    <w:p w14:paraId="6DEB1956" w14:textId="77777777" w:rsidR="00913021" w:rsidRPr="00913021" w:rsidRDefault="0091302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RTO pre informačné systémy, aplikácie a databázy sa určí ako minimálne RTO všetkých procesov, ktoré sú závislé na danom informačnom systéme, aplikácii a databáze.</w:t>
      </w:r>
    </w:p>
    <w:p w14:paraId="6F37E76F" w14:textId="77777777" w:rsidR="00913021" w:rsidRPr="00913021" w:rsidRDefault="00913021" w:rsidP="00913021">
      <w:pPr>
        <w:spacing w:after="120"/>
        <w:jc w:val="both"/>
        <w:rPr>
          <w:rFonts w:ascii="Times New Roman" w:hAnsi="Times New Roman"/>
          <w:szCs w:val="18"/>
          <w:u w:val="single"/>
          <w:lang w:val="sk-SK"/>
        </w:rPr>
      </w:pPr>
      <w:r w:rsidRPr="00913021">
        <w:rPr>
          <w:rFonts w:ascii="Times New Roman" w:hAnsi="Times New Roman"/>
          <w:szCs w:val="18"/>
          <w:u w:val="single"/>
          <w:lang w:val="sk-SK"/>
        </w:rPr>
        <w:t>Stanovenie hodnoty RPO</w:t>
      </w:r>
    </w:p>
    <w:p w14:paraId="4EB67C71" w14:textId="77777777" w:rsidR="00913021" w:rsidRPr="00913021" w:rsidRDefault="0091302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RPO procesu sa určí analyticky na také časové obdobie, ktoré zodpovedá hranici medzi akceptovateľnými a neakceptovateľnými dopadmi straty údajov pre všetky typy údajov.</w:t>
      </w:r>
    </w:p>
    <w:p w14:paraId="49D0E347" w14:textId="77777777" w:rsidR="00913021" w:rsidRPr="00913021" w:rsidRDefault="00913021" w:rsidP="00913021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913021">
        <w:rPr>
          <w:rFonts w:ascii="Times New Roman" w:hAnsi="Times New Roman"/>
          <w:szCs w:val="18"/>
          <w:lang w:val="sk-SK"/>
        </w:rPr>
        <w:t>RPO pre informačné systémy, aplikácie a databázy sa určí analyticky na také časové obdobie, ktoré zodpovedá hranici medzi akceptovateľnými a neakceptovateľnými dopadmi straty údajov, ktoré sú uchovávané v aplikáciách a databázach.</w:t>
      </w:r>
      <w:bookmarkEnd w:id="31"/>
    </w:p>
    <w:sectPr w:rsidR="00913021" w:rsidRPr="00913021" w:rsidSect="00B4725F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2511D" w14:textId="77777777" w:rsidR="00152ED4" w:rsidRDefault="00152ED4" w:rsidP="00282337">
      <w:r>
        <w:separator/>
      </w:r>
    </w:p>
  </w:endnote>
  <w:endnote w:type="continuationSeparator" w:id="0">
    <w:p w14:paraId="4588B0F8" w14:textId="77777777" w:rsidR="00152ED4" w:rsidRDefault="00152ED4" w:rsidP="002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Arial Nova Cond">
    <w:altName w:val="Arial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A15E" w14:textId="72B7A6C7" w:rsidR="004670B5" w:rsidRPr="005F3E64" w:rsidRDefault="004670B5" w:rsidP="00B07BD1">
    <w:pPr>
      <w:pStyle w:val="Pta"/>
      <w:ind w:left="142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30942D" wp14:editId="44C0580B">
              <wp:simplePos x="0" y="0"/>
              <wp:positionH relativeFrom="page">
                <wp:posOffset>6793345</wp:posOffset>
              </wp:positionH>
              <wp:positionV relativeFrom="paragraph">
                <wp:posOffset>182707</wp:posOffset>
              </wp:positionV>
              <wp:extent cx="17780" cy="6477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64770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654D96A" id="Rectangle 1" o:spid="_x0000_s1026" style="position:absolute;margin-left:534.9pt;margin-top:14.4pt;width:1.4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" fillcolor="#ed1c24" stroked="f">
              <w10:wrap anchorx="page"/>
            </v:rect>
          </w:pict>
        </mc:Fallback>
      </mc:AlternateContent>
    </w:r>
  </w:p>
  <w:sdt>
    <w:sdtPr>
      <w:id w:val="-1498499932"/>
      <w:docPartObj>
        <w:docPartGallery w:val="Page Numbers (Bottom of Page)"/>
        <w:docPartUnique/>
      </w:docPartObj>
    </w:sdtPr>
    <w:sdtEndPr/>
    <w:sdtContent>
      <w:p w14:paraId="1A06E31E" w14:textId="2127239C" w:rsidR="004670B5" w:rsidRPr="00B07BD1" w:rsidRDefault="004670B5" w:rsidP="004B2D2E">
        <w:pPr>
          <w:pStyle w:val="Pta"/>
          <w:jc w:val="center"/>
        </w:pPr>
        <w:r w:rsidRPr="005F3E64">
          <w:rPr>
            <w:rFonts w:asciiTheme="minorHAnsi" w:hAnsiTheme="minorHAnsi" w:cstheme="minorHAnsi"/>
            <w:noProof/>
            <w:sz w:val="20"/>
            <w:lang w:val="sk-SK" w:eastAsia="sk-SK"/>
          </w:rPr>
          <w:drawing>
            <wp:anchor distT="0" distB="0" distL="114300" distR="114300" simplePos="0" relativeHeight="251661312" behindDoc="0" locked="0" layoutInCell="1" allowOverlap="1" wp14:anchorId="56EAA343" wp14:editId="1A14F7D6">
              <wp:simplePos x="0" y="0"/>
              <wp:positionH relativeFrom="margin">
                <wp:posOffset>-61941</wp:posOffset>
              </wp:positionH>
              <wp:positionV relativeFrom="paragraph">
                <wp:posOffset>207471</wp:posOffset>
              </wp:positionV>
              <wp:extent cx="6256655" cy="178435"/>
              <wp:effectExtent l="0" t="0" r="0" b="0"/>
              <wp:wrapNone/>
              <wp:docPr id="7" name="image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8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6655" cy="178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28B5" w:rsidRPr="00F128B5">
          <w:rPr>
            <w:noProof/>
            <w:lang w:val="sk-SK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C510F" w14:textId="77777777" w:rsidR="00152ED4" w:rsidRDefault="00152ED4" w:rsidP="00282337">
      <w:r>
        <w:separator/>
      </w:r>
    </w:p>
  </w:footnote>
  <w:footnote w:type="continuationSeparator" w:id="0">
    <w:p w14:paraId="4515BCE4" w14:textId="77777777" w:rsidR="00152ED4" w:rsidRDefault="00152ED4" w:rsidP="0028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5195" w14:textId="1633842F" w:rsidR="005A284F" w:rsidRDefault="00152ED4">
    <w:pPr>
      <w:pStyle w:val="Hlavika"/>
    </w:pPr>
    <w:r>
      <w:rPr>
        <w:noProof/>
      </w:rPr>
      <w:pict w14:anchorId="1E7C00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789188" o:spid="_x0000_s2050" type="#_x0000_t136" style="position:absolute;margin-left:0;margin-top:0;width:457pt;height:182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6BFC" w14:textId="4C885FE5" w:rsidR="004670B5" w:rsidRPr="005F3E64" w:rsidRDefault="00152ED4" w:rsidP="002F619F">
    <w:pPr>
      <w:pStyle w:val="Zkladntext"/>
      <w:ind w:left="-630" w:firstLine="426"/>
      <w:rPr>
        <w:rFonts w:asciiTheme="minorHAnsi" w:hAnsiTheme="minorHAnsi" w:cstheme="minorHAnsi"/>
        <w:color w:val="0055A1"/>
        <w:sz w:val="20"/>
      </w:rPr>
    </w:pPr>
    <w:r>
      <w:rPr>
        <w:noProof/>
      </w:rPr>
      <w:pict w14:anchorId="654614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789189" o:spid="_x0000_s2051" type="#_x0000_t136" style="position:absolute;left:0;text-align:left;margin-left:0;margin-top:0;width:457pt;height:182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r w:rsidR="004670B5">
      <w:rPr>
        <w:rFonts w:asciiTheme="minorHAnsi" w:hAnsiTheme="minorHAnsi" w:cstheme="minorHAnsi"/>
        <w:noProof/>
        <w:color w:val="0055A1"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331680" wp14:editId="5B475C7B">
              <wp:simplePos x="0" y="0"/>
              <wp:positionH relativeFrom="margin">
                <wp:posOffset>184035</wp:posOffset>
              </wp:positionH>
              <wp:positionV relativeFrom="paragraph">
                <wp:posOffset>-450793</wp:posOffset>
              </wp:positionV>
              <wp:extent cx="45719" cy="1333500"/>
              <wp:effectExtent l="0" t="0" r="0" b="0"/>
              <wp:wrapNone/>
              <wp:docPr id="3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19" cy="1333500"/>
                        <a:chOff x="793" y="-1234"/>
                        <a:chExt cx="39" cy="2807"/>
                      </a:xfrm>
                    </wpg:grpSpPr>
                    <wps:wsp>
                      <wps:cNvPr id="32" name="Rectangle 3"/>
                      <wps:cNvSpPr>
                        <a:spLocks noChangeArrowheads="1"/>
                      </wps:cNvSpPr>
                      <wps:spPr bwMode="auto">
                        <a:xfrm>
                          <a:off x="793" y="-1234"/>
                          <a:ext cx="39" cy="2039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4"/>
                      <wps:cNvSpPr>
                        <a:spLocks noChangeArrowheads="1"/>
                      </wps:cNvSpPr>
                      <wps:spPr bwMode="auto">
                        <a:xfrm>
                          <a:off x="793" y="1184"/>
                          <a:ext cx="39" cy="38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5"/>
                      <wps:cNvSpPr>
                        <a:spLocks noChangeArrowheads="1"/>
                      </wps:cNvSpPr>
                      <wps:spPr bwMode="auto">
                        <a:xfrm>
                          <a:off x="793" y="798"/>
                          <a:ext cx="39" cy="388"/>
                        </a:xfrm>
                        <a:prstGeom prst="rect">
                          <a:avLst/>
                        </a:pr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FF988B4" id="Group 2" o:spid="_x0000_s1026" style="position:absolute;margin-left:14.5pt;margin-top:-35.5pt;width:3.6pt;height:105pt;z-index:251659264;mso-position-horizontal-relative:margin" coordorigin="793,-1234" coordsize="3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">
              <v:rect id="Rectangle 3" o:spid="_x0000_s1027" style="position:absolute;left:793;top:-1234;width:3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" fillcolor="#d1d3d4" stroked="f"/>
              <v:rect id="Rectangle 4" o:spid="_x0000_s1028" style="position:absolute;left:793;top:1184;width:3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" fillcolor="#ed1c24" stroked="f"/>
              <v:rect id="Rectangle 5" o:spid="_x0000_s1029" style="position:absolute;left:793;top:798;width:3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" fillcolor="#0055a1" stroked="f"/>
              <w10:wrap anchorx="margin"/>
            </v:group>
          </w:pict>
        </mc:Fallback>
      </mc:AlternateContent>
    </w:r>
  </w:p>
  <w:p w14:paraId="3B6C3E80" w14:textId="77777777" w:rsidR="004670B5" w:rsidRPr="005F3E64" w:rsidRDefault="004670B5" w:rsidP="00A40FF4">
    <w:pPr>
      <w:pStyle w:val="Zkladntext"/>
      <w:ind w:firstLine="426"/>
      <w:rPr>
        <w:rFonts w:asciiTheme="minorHAnsi" w:hAnsiTheme="minorHAnsi" w:cstheme="minorHAnsi"/>
        <w:color w:val="0055A1"/>
        <w:sz w:val="20"/>
      </w:rPr>
    </w:pPr>
  </w:p>
  <w:p w14:paraId="3C20DC84" w14:textId="6530CB36" w:rsidR="004670B5" w:rsidRPr="004A5873" w:rsidRDefault="004670B5" w:rsidP="004A5873">
    <w:pPr>
      <w:pStyle w:val="Zkladntext"/>
      <w:ind w:left="630"/>
      <w:jc w:val="left"/>
      <w:rPr>
        <w:rFonts w:asciiTheme="minorHAnsi" w:hAnsiTheme="minorHAnsi" w:cstheme="minorHAnsi"/>
        <w:color w:val="0055A1"/>
        <w:sz w:val="20"/>
        <w:szCs w:val="20"/>
      </w:rPr>
    </w:pPr>
    <w:r w:rsidRPr="004A5873">
      <w:rPr>
        <w:rFonts w:asciiTheme="minorHAnsi" w:hAnsiTheme="minorHAnsi" w:cstheme="minorHAnsi"/>
        <w:noProof/>
        <w:color w:val="0055A1"/>
        <w:sz w:val="18"/>
        <w:szCs w:val="20"/>
        <w:lang w:val="sk-SK" w:eastAsia="sk-SK"/>
      </w:rPr>
      <w:drawing>
        <wp:anchor distT="0" distB="0" distL="114300" distR="114300" simplePos="0" relativeHeight="251657216" behindDoc="1" locked="1" layoutInCell="1" allowOverlap="1" wp14:anchorId="1464C116" wp14:editId="21A0285B">
          <wp:simplePos x="0" y="0"/>
          <wp:positionH relativeFrom="page">
            <wp:posOffset>4582795</wp:posOffset>
          </wp:positionH>
          <wp:positionV relativeFrom="paragraph">
            <wp:posOffset>-300355</wp:posOffset>
          </wp:positionV>
          <wp:extent cx="2970530" cy="560705"/>
          <wp:effectExtent l="0" t="0" r="1270" b="0"/>
          <wp:wrapSquare wrapText="bothSides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873">
      <w:rPr>
        <w:rFonts w:asciiTheme="minorHAnsi" w:hAnsiTheme="minorHAnsi" w:cstheme="minorHAnsi"/>
        <w:color w:val="0055A1"/>
        <w:sz w:val="18"/>
        <w:szCs w:val="20"/>
      </w:rPr>
      <w:t>Odbor riadenia kybernetickej a informačnej bezpečnosti</w:t>
    </w:r>
    <w:r w:rsidRPr="004A5873">
      <w:rPr>
        <w:rFonts w:asciiTheme="minorHAnsi" w:hAnsiTheme="minorHAnsi" w:cstheme="minorHAnsi"/>
        <w:color w:val="0055A1"/>
        <w:sz w:val="18"/>
        <w:szCs w:val="20"/>
      </w:rPr>
      <w:br/>
      <w:t>Verzia 1.</w:t>
    </w:r>
    <w:r w:rsidR="00EE1958">
      <w:rPr>
        <w:rFonts w:asciiTheme="minorHAnsi" w:hAnsiTheme="minorHAnsi" w:cstheme="minorHAnsi"/>
        <w:color w:val="0055A1"/>
        <w:sz w:val="18"/>
        <w:szCs w:val="20"/>
      </w:rPr>
      <w:t>1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</w:t>
    </w:r>
    <w:r w:rsidRPr="004A5873">
      <w:rPr>
        <w:rFonts w:asciiTheme="minorHAnsi" w:hAnsiTheme="minorHAnsi" w:cstheme="minorHAnsi"/>
        <w:color w:val="ED1C24"/>
        <w:sz w:val="18"/>
        <w:szCs w:val="20"/>
      </w:rPr>
      <w:t>|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kyberbezpecnost@mirri.gov.sk</w:t>
    </w:r>
    <w:r w:rsidRPr="004A5873">
      <w:rPr>
        <w:rFonts w:asciiTheme="minorHAnsi" w:hAnsiTheme="minorHAnsi" w:cstheme="minorHAnsi"/>
        <w:color w:val="0055A1"/>
        <w:sz w:val="20"/>
        <w:szCs w:val="20"/>
      </w:rPr>
      <w:t xml:space="preserve"> </w:t>
    </w:r>
    <w:r w:rsidRPr="004A5873">
      <w:rPr>
        <w:rFonts w:asciiTheme="minorHAnsi" w:hAnsiTheme="minorHAnsi" w:cstheme="minorHAnsi"/>
        <w:color w:val="ED1C24"/>
        <w:sz w:val="18"/>
        <w:szCs w:val="20"/>
      </w:rPr>
      <w:t>|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</w:t>
    </w:r>
    <w:r w:rsidR="00ED1150">
      <w:rPr>
        <w:rFonts w:asciiTheme="minorHAnsi" w:hAnsiTheme="minorHAnsi" w:cstheme="minorHAnsi"/>
        <w:color w:val="0055A1"/>
        <w:sz w:val="18"/>
        <w:szCs w:val="20"/>
      </w:rPr>
      <w:t>jún</w:t>
    </w:r>
    <w:r>
      <w:rPr>
        <w:rFonts w:asciiTheme="minorHAnsi" w:hAnsiTheme="minorHAnsi" w:cstheme="minorHAnsi"/>
        <w:color w:val="0055A1"/>
        <w:sz w:val="18"/>
        <w:szCs w:val="20"/>
      </w:rPr>
      <w:t xml:space="preserve"> 202</w:t>
    </w:r>
    <w:r w:rsidR="0063622C">
      <w:rPr>
        <w:rFonts w:asciiTheme="minorHAnsi" w:hAnsiTheme="minorHAnsi" w:cstheme="minorHAnsi"/>
        <w:color w:val="0055A1"/>
        <w:sz w:val="18"/>
        <w:szCs w:val="20"/>
      </w:rPr>
      <w:t>3</w:t>
    </w:r>
  </w:p>
  <w:p w14:paraId="3C01C8BD" w14:textId="3B7B1144" w:rsidR="004670B5" w:rsidRDefault="004670B5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14:paraId="7B5241F4" w14:textId="77777777" w:rsidR="004670B5" w:rsidRPr="005F3E64" w:rsidRDefault="004670B5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14:paraId="68F26FA8" w14:textId="77777777" w:rsidR="004670B5" w:rsidRPr="005F3E64" w:rsidRDefault="004670B5">
    <w:pPr>
      <w:pStyle w:val="Hlavika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1297" w14:textId="3F94E6A0" w:rsidR="005A284F" w:rsidRDefault="00152ED4">
    <w:pPr>
      <w:pStyle w:val="Hlavika"/>
    </w:pPr>
    <w:r>
      <w:rPr>
        <w:noProof/>
      </w:rPr>
      <w:pict w14:anchorId="3D0338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789187" o:spid="_x0000_s2049" type="#_x0000_t136" style="position:absolute;margin-left:0;margin-top:0;width:457pt;height:1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F31"/>
    <w:multiLevelType w:val="multilevel"/>
    <w:tmpl w:val="17A6B4E6"/>
    <w:styleLink w:val="LFO46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0D50BF7"/>
    <w:multiLevelType w:val="multilevel"/>
    <w:tmpl w:val="4C5E09C6"/>
    <w:styleLink w:val="LFO41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A94C55"/>
    <w:multiLevelType w:val="multilevel"/>
    <w:tmpl w:val="33B88E44"/>
    <w:styleLink w:val="LFO1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2F06C8D"/>
    <w:multiLevelType w:val="hybridMultilevel"/>
    <w:tmpl w:val="713C6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88"/>
    <w:multiLevelType w:val="multilevel"/>
    <w:tmpl w:val="3188BD3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DB45DC9"/>
    <w:multiLevelType w:val="hybridMultilevel"/>
    <w:tmpl w:val="84BEE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93407"/>
    <w:multiLevelType w:val="hybridMultilevel"/>
    <w:tmpl w:val="7180D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308F"/>
    <w:multiLevelType w:val="hybridMultilevel"/>
    <w:tmpl w:val="CC7EA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9265E"/>
    <w:multiLevelType w:val="multilevel"/>
    <w:tmpl w:val="4B1CE884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10C279C"/>
    <w:multiLevelType w:val="hybridMultilevel"/>
    <w:tmpl w:val="66309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45AB3"/>
    <w:multiLevelType w:val="hybridMultilevel"/>
    <w:tmpl w:val="B98C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62046"/>
    <w:multiLevelType w:val="hybridMultilevel"/>
    <w:tmpl w:val="91283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F27D8"/>
    <w:multiLevelType w:val="multilevel"/>
    <w:tmpl w:val="8572E61E"/>
    <w:styleLink w:val="LFO15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175C5A17"/>
    <w:multiLevelType w:val="multilevel"/>
    <w:tmpl w:val="D7DEDCE4"/>
    <w:styleLink w:val="LFO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AE613BD"/>
    <w:multiLevelType w:val="multilevel"/>
    <w:tmpl w:val="B85E7C24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27E63"/>
    <w:multiLevelType w:val="multilevel"/>
    <w:tmpl w:val="FB6025A4"/>
    <w:styleLink w:val="LFO28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DC079CE"/>
    <w:multiLevelType w:val="multilevel"/>
    <w:tmpl w:val="36A0FE7A"/>
    <w:styleLink w:val="LFO55"/>
    <w:lvl w:ilvl="0">
      <w:start w:val="1"/>
      <w:numFmt w:val="decimal"/>
      <w:lvlText w:val="%1)"/>
      <w:lvlJc w:val="left"/>
      <w:pPr>
        <w:ind w:left="972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1F367F4D"/>
    <w:multiLevelType w:val="multilevel"/>
    <w:tmpl w:val="F69A11A2"/>
    <w:styleLink w:val="LFO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63870C4"/>
    <w:multiLevelType w:val="multilevel"/>
    <w:tmpl w:val="AC5CEE82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86A2026"/>
    <w:multiLevelType w:val="multilevel"/>
    <w:tmpl w:val="017A279C"/>
    <w:styleLink w:val="LFO47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ED4461"/>
    <w:multiLevelType w:val="multilevel"/>
    <w:tmpl w:val="0F5E0AA0"/>
    <w:styleLink w:val="LFO15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92A7B12"/>
    <w:multiLevelType w:val="multilevel"/>
    <w:tmpl w:val="6C56A42C"/>
    <w:styleLink w:val="LFO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BF35680"/>
    <w:multiLevelType w:val="multilevel"/>
    <w:tmpl w:val="4B8C9BA0"/>
    <w:styleLink w:val="LFO75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E262B6D"/>
    <w:multiLevelType w:val="multilevel"/>
    <w:tmpl w:val="7818B798"/>
    <w:styleLink w:val="LFO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2EA522A4"/>
    <w:multiLevelType w:val="multilevel"/>
    <w:tmpl w:val="413E7C30"/>
    <w:styleLink w:val="LFO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0AD2094"/>
    <w:multiLevelType w:val="multilevel"/>
    <w:tmpl w:val="082821FC"/>
    <w:styleLink w:val="WWOutlineListStyle281"/>
    <w:lvl w:ilvl="0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2151DCE"/>
    <w:multiLevelType w:val="hybridMultilevel"/>
    <w:tmpl w:val="5DF62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D73B4"/>
    <w:multiLevelType w:val="multilevel"/>
    <w:tmpl w:val="170A5228"/>
    <w:styleLink w:val="LFO15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3AEC2826"/>
    <w:multiLevelType w:val="multilevel"/>
    <w:tmpl w:val="EB34CFD2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C8D23E3"/>
    <w:multiLevelType w:val="multilevel"/>
    <w:tmpl w:val="3B6CFE42"/>
    <w:styleLink w:val="WWOutlineListStyle4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18009A2"/>
    <w:multiLevelType w:val="hybridMultilevel"/>
    <w:tmpl w:val="6C28C8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840FF"/>
    <w:multiLevelType w:val="hybridMultilevel"/>
    <w:tmpl w:val="714E3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723EDF"/>
    <w:multiLevelType w:val="multilevel"/>
    <w:tmpl w:val="4C0022E8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44C91087"/>
    <w:multiLevelType w:val="hybridMultilevel"/>
    <w:tmpl w:val="74E4F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3A057F"/>
    <w:multiLevelType w:val="multilevel"/>
    <w:tmpl w:val="F9D88C8A"/>
    <w:styleLink w:val="LFO39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A30E5"/>
    <w:multiLevelType w:val="multilevel"/>
    <w:tmpl w:val="D69A763E"/>
    <w:styleLink w:val="LFO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459223EC"/>
    <w:multiLevelType w:val="multilevel"/>
    <w:tmpl w:val="F8D46872"/>
    <w:styleLink w:val="LFO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47251C65"/>
    <w:multiLevelType w:val="multilevel"/>
    <w:tmpl w:val="1EE47B7A"/>
    <w:styleLink w:val="LFO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473038CD"/>
    <w:multiLevelType w:val="multilevel"/>
    <w:tmpl w:val="92984950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E722644"/>
    <w:multiLevelType w:val="multilevel"/>
    <w:tmpl w:val="7BF4B198"/>
    <w:styleLink w:val="LFO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4F5657D4"/>
    <w:multiLevelType w:val="multilevel"/>
    <w:tmpl w:val="87BCD778"/>
    <w:styleLink w:val="LFO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506A3AD7"/>
    <w:multiLevelType w:val="multilevel"/>
    <w:tmpl w:val="18B8897C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0E0932"/>
    <w:multiLevelType w:val="multilevel"/>
    <w:tmpl w:val="FD44D122"/>
    <w:styleLink w:val="LFO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778670E"/>
    <w:multiLevelType w:val="multilevel"/>
    <w:tmpl w:val="9C7A6A74"/>
    <w:styleLink w:val="LFO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8253E9"/>
    <w:multiLevelType w:val="multilevel"/>
    <w:tmpl w:val="B0620DD0"/>
    <w:styleLink w:val="LFO59"/>
    <w:lvl w:ilvl="0">
      <w:start w:val="1"/>
      <w:numFmt w:val="decimal"/>
      <w:pStyle w:val="referencie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7B46F88"/>
    <w:multiLevelType w:val="hybridMultilevel"/>
    <w:tmpl w:val="92404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102CF9"/>
    <w:multiLevelType w:val="hybridMultilevel"/>
    <w:tmpl w:val="1C786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1249AF"/>
    <w:multiLevelType w:val="multilevel"/>
    <w:tmpl w:val="E952B584"/>
    <w:styleLink w:val="LFO2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59654421"/>
    <w:multiLevelType w:val="multilevel"/>
    <w:tmpl w:val="EC0E5F30"/>
    <w:styleLink w:val="LFO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07033D"/>
    <w:multiLevelType w:val="multilevel"/>
    <w:tmpl w:val="C4F69B40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63DF3AB8"/>
    <w:multiLevelType w:val="hybridMultilevel"/>
    <w:tmpl w:val="C9BA6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52" w15:restartNumberingAfterBreak="0">
    <w:nsid w:val="64A561E3"/>
    <w:multiLevelType w:val="hybridMultilevel"/>
    <w:tmpl w:val="26F26F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E04CF"/>
    <w:multiLevelType w:val="multilevel"/>
    <w:tmpl w:val="40CE89D0"/>
    <w:styleLink w:val="LFO421"/>
    <w:lvl w:ilvl="0">
      <w:numFmt w:val="bullet"/>
      <w:lvlText w:val=""/>
      <w:lvlJc w:val="left"/>
      <w:pPr>
        <w:ind w:left="15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abstractNum w:abstractNumId="54" w15:restartNumberingAfterBreak="0">
    <w:nsid w:val="699416B7"/>
    <w:multiLevelType w:val="multilevel"/>
    <w:tmpl w:val="EC2C035C"/>
    <w:styleLink w:val="WWOutlineListStyle1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9."/>
      <w:lvlJc w:val="left"/>
      <w:pPr>
        <w:ind w:left="6480" w:hanging="360"/>
      </w:pPr>
    </w:lvl>
  </w:abstractNum>
  <w:abstractNum w:abstractNumId="55" w15:restartNumberingAfterBreak="0">
    <w:nsid w:val="69E00B7A"/>
    <w:multiLevelType w:val="multilevel"/>
    <w:tmpl w:val="F4A26F22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E341DB"/>
    <w:multiLevelType w:val="multilevel"/>
    <w:tmpl w:val="692EA904"/>
    <w:styleLink w:val="LFO50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7" w15:restartNumberingAfterBreak="0">
    <w:nsid w:val="6CC50A9B"/>
    <w:multiLevelType w:val="multilevel"/>
    <w:tmpl w:val="35345F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70536E72"/>
    <w:multiLevelType w:val="multilevel"/>
    <w:tmpl w:val="D788136C"/>
    <w:styleLink w:val="LFO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15C26CB"/>
    <w:multiLevelType w:val="hybridMultilevel"/>
    <w:tmpl w:val="FE720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C435A0"/>
    <w:multiLevelType w:val="hybridMultilevel"/>
    <w:tmpl w:val="E58A6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C96694"/>
    <w:multiLevelType w:val="multilevel"/>
    <w:tmpl w:val="F1947072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74827415"/>
    <w:multiLevelType w:val="hybridMultilevel"/>
    <w:tmpl w:val="5838C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32"/>
  </w:num>
  <w:num w:numId="3">
    <w:abstractNumId w:val="28"/>
  </w:num>
  <w:num w:numId="4">
    <w:abstractNumId w:val="8"/>
  </w:num>
  <w:num w:numId="5">
    <w:abstractNumId w:val="55"/>
  </w:num>
  <w:num w:numId="6">
    <w:abstractNumId w:val="53"/>
  </w:num>
  <w:num w:numId="7">
    <w:abstractNumId w:val="38"/>
  </w:num>
  <w:num w:numId="8">
    <w:abstractNumId w:val="61"/>
  </w:num>
  <w:num w:numId="9">
    <w:abstractNumId w:val="23"/>
  </w:num>
  <w:num w:numId="10">
    <w:abstractNumId w:val="49"/>
  </w:num>
  <w:num w:numId="11">
    <w:abstractNumId w:val="18"/>
  </w:num>
  <w:num w:numId="12">
    <w:abstractNumId w:val="41"/>
  </w:num>
  <w:num w:numId="13">
    <w:abstractNumId w:val="57"/>
  </w:num>
  <w:num w:numId="14">
    <w:abstractNumId w:val="14"/>
  </w:num>
  <w:num w:numId="15">
    <w:abstractNumId w:val="4"/>
  </w:num>
  <w:num w:numId="16">
    <w:abstractNumId w:val="37"/>
  </w:num>
  <w:num w:numId="17">
    <w:abstractNumId w:val="24"/>
  </w:num>
  <w:num w:numId="18">
    <w:abstractNumId w:val="58"/>
  </w:num>
  <w:num w:numId="19">
    <w:abstractNumId w:val="39"/>
  </w:num>
  <w:num w:numId="20">
    <w:abstractNumId w:val="48"/>
  </w:num>
  <w:num w:numId="21">
    <w:abstractNumId w:val="20"/>
  </w:num>
  <w:num w:numId="22">
    <w:abstractNumId w:val="2"/>
  </w:num>
  <w:num w:numId="23">
    <w:abstractNumId w:val="12"/>
  </w:num>
  <w:num w:numId="24">
    <w:abstractNumId w:val="35"/>
  </w:num>
  <w:num w:numId="25">
    <w:abstractNumId w:val="43"/>
  </w:num>
  <w:num w:numId="26">
    <w:abstractNumId w:val="27"/>
  </w:num>
  <w:num w:numId="27">
    <w:abstractNumId w:val="21"/>
  </w:num>
  <w:num w:numId="28">
    <w:abstractNumId w:val="47"/>
  </w:num>
  <w:num w:numId="29">
    <w:abstractNumId w:val="15"/>
  </w:num>
  <w:num w:numId="30">
    <w:abstractNumId w:val="36"/>
  </w:num>
  <w:num w:numId="31">
    <w:abstractNumId w:val="17"/>
  </w:num>
  <w:num w:numId="32">
    <w:abstractNumId w:val="56"/>
  </w:num>
  <w:num w:numId="33">
    <w:abstractNumId w:val="34"/>
  </w:num>
  <w:num w:numId="34">
    <w:abstractNumId w:val="0"/>
  </w:num>
  <w:num w:numId="35">
    <w:abstractNumId w:val="19"/>
  </w:num>
  <w:num w:numId="36">
    <w:abstractNumId w:val="1"/>
  </w:num>
  <w:num w:numId="37">
    <w:abstractNumId w:val="13"/>
  </w:num>
  <w:num w:numId="38">
    <w:abstractNumId w:val="42"/>
  </w:num>
  <w:num w:numId="39">
    <w:abstractNumId w:val="40"/>
  </w:num>
  <w:num w:numId="40">
    <w:abstractNumId w:val="16"/>
  </w:num>
  <w:num w:numId="41">
    <w:abstractNumId w:val="44"/>
  </w:num>
  <w:num w:numId="42">
    <w:abstractNumId w:val="22"/>
  </w:num>
  <w:num w:numId="43">
    <w:abstractNumId w:val="29"/>
  </w:num>
  <w:num w:numId="44">
    <w:abstractNumId w:val="25"/>
  </w:num>
  <w:num w:numId="45">
    <w:abstractNumId w:val="6"/>
  </w:num>
  <w:num w:numId="46">
    <w:abstractNumId w:val="51"/>
  </w:num>
  <w:num w:numId="47">
    <w:abstractNumId w:val="30"/>
  </w:num>
  <w:num w:numId="48">
    <w:abstractNumId w:val="10"/>
  </w:num>
  <w:num w:numId="49">
    <w:abstractNumId w:val="52"/>
  </w:num>
  <w:num w:numId="50">
    <w:abstractNumId w:val="33"/>
  </w:num>
  <w:num w:numId="51">
    <w:abstractNumId w:val="9"/>
  </w:num>
  <w:num w:numId="52">
    <w:abstractNumId w:val="62"/>
  </w:num>
  <w:num w:numId="53">
    <w:abstractNumId w:val="7"/>
  </w:num>
  <w:num w:numId="54">
    <w:abstractNumId w:val="3"/>
  </w:num>
  <w:num w:numId="55">
    <w:abstractNumId w:val="26"/>
  </w:num>
  <w:num w:numId="56">
    <w:abstractNumId w:val="59"/>
  </w:num>
  <w:num w:numId="57">
    <w:abstractNumId w:val="60"/>
  </w:num>
  <w:num w:numId="58">
    <w:abstractNumId w:val="5"/>
  </w:num>
  <w:num w:numId="59">
    <w:abstractNumId w:val="31"/>
  </w:num>
  <w:num w:numId="60">
    <w:abstractNumId w:val="45"/>
  </w:num>
  <w:num w:numId="61">
    <w:abstractNumId w:val="46"/>
  </w:num>
  <w:num w:numId="62">
    <w:abstractNumId w:val="50"/>
  </w:num>
  <w:num w:numId="63">
    <w:abstractNumId w:val="11"/>
  </w:num>
  <w:num w:numId="64">
    <w:abstractNumId w:val="54"/>
  </w:num>
  <w:num w:numId="65">
    <w:abstractNumId w:val="54"/>
  </w:num>
  <w:num w:numId="66">
    <w:abstractNumId w:val="54"/>
  </w:num>
  <w:num w:numId="67">
    <w:abstractNumId w:val="54"/>
  </w:num>
  <w:num w:numId="68">
    <w:abstractNumId w:val="54"/>
  </w:num>
  <w:num w:numId="69">
    <w:abstractNumId w:val="54"/>
  </w:num>
  <w:num w:numId="70">
    <w:abstractNumId w:val="54"/>
  </w:num>
  <w:num w:numId="71">
    <w:abstractNumId w:val="54"/>
  </w:num>
  <w:num w:numId="72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54"/>
    <w:rsid w:val="00000EFD"/>
    <w:rsid w:val="00001414"/>
    <w:rsid w:val="000037AA"/>
    <w:rsid w:val="00004A24"/>
    <w:rsid w:val="000131AF"/>
    <w:rsid w:val="00014EC4"/>
    <w:rsid w:val="00015073"/>
    <w:rsid w:val="000330C0"/>
    <w:rsid w:val="00037E58"/>
    <w:rsid w:val="00046981"/>
    <w:rsid w:val="00047977"/>
    <w:rsid w:val="00050A6B"/>
    <w:rsid w:val="00051FC8"/>
    <w:rsid w:val="000522A0"/>
    <w:rsid w:val="000622F0"/>
    <w:rsid w:val="00064C1A"/>
    <w:rsid w:val="000672DF"/>
    <w:rsid w:val="00087EE5"/>
    <w:rsid w:val="000925EA"/>
    <w:rsid w:val="00092B10"/>
    <w:rsid w:val="00093E94"/>
    <w:rsid w:val="00097815"/>
    <w:rsid w:val="000B07BD"/>
    <w:rsid w:val="000C2B67"/>
    <w:rsid w:val="000C4EA5"/>
    <w:rsid w:val="000C51C6"/>
    <w:rsid w:val="000C5213"/>
    <w:rsid w:val="000C5CEA"/>
    <w:rsid w:val="000D265A"/>
    <w:rsid w:val="000F1E64"/>
    <w:rsid w:val="0010268A"/>
    <w:rsid w:val="0010356D"/>
    <w:rsid w:val="00105926"/>
    <w:rsid w:val="00105EC0"/>
    <w:rsid w:val="00106903"/>
    <w:rsid w:val="00106FF1"/>
    <w:rsid w:val="00116876"/>
    <w:rsid w:val="00131027"/>
    <w:rsid w:val="00135A8D"/>
    <w:rsid w:val="001428D1"/>
    <w:rsid w:val="001453CE"/>
    <w:rsid w:val="0015047B"/>
    <w:rsid w:val="001504DA"/>
    <w:rsid w:val="00152ED4"/>
    <w:rsid w:val="00157F2E"/>
    <w:rsid w:val="00163BA4"/>
    <w:rsid w:val="0017177B"/>
    <w:rsid w:val="001730B6"/>
    <w:rsid w:val="001745BE"/>
    <w:rsid w:val="00176EF1"/>
    <w:rsid w:val="00180BA9"/>
    <w:rsid w:val="00181057"/>
    <w:rsid w:val="00183C68"/>
    <w:rsid w:val="00184838"/>
    <w:rsid w:val="00184F31"/>
    <w:rsid w:val="00185376"/>
    <w:rsid w:val="001953A6"/>
    <w:rsid w:val="001966E6"/>
    <w:rsid w:val="00197BB2"/>
    <w:rsid w:val="001A252B"/>
    <w:rsid w:val="001A422B"/>
    <w:rsid w:val="001A5D1F"/>
    <w:rsid w:val="001A5DA2"/>
    <w:rsid w:val="001A7F1E"/>
    <w:rsid w:val="001C0429"/>
    <w:rsid w:val="001D6785"/>
    <w:rsid w:val="001E0C4D"/>
    <w:rsid w:val="001E2154"/>
    <w:rsid w:val="001E5273"/>
    <w:rsid w:val="001E5785"/>
    <w:rsid w:val="001F3655"/>
    <w:rsid w:val="001F5C20"/>
    <w:rsid w:val="001F623F"/>
    <w:rsid w:val="00202ABF"/>
    <w:rsid w:val="00202E32"/>
    <w:rsid w:val="002065A5"/>
    <w:rsid w:val="0021508C"/>
    <w:rsid w:val="00220E27"/>
    <w:rsid w:val="00231A74"/>
    <w:rsid w:val="0023397A"/>
    <w:rsid w:val="00240985"/>
    <w:rsid w:val="002460FF"/>
    <w:rsid w:val="00252DE7"/>
    <w:rsid w:val="00253DBC"/>
    <w:rsid w:val="00261978"/>
    <w:rsid w:val="00270C7D"/>
    <w:rsid w:val="00277052"/>
    <w:rsid w:val="00282337"/>
    <w:rsid w:val="00283B3D"/>
    <w:rsid w:val="002A2CE3"/>
    <w:rsid w:val="002A436D"/>
    <w:rsid w:val="002B2190"/>
    <w:rsid w:val="002B36CE"/>
    <w:rsid w:val="002B3AE2"/>
    <w:rsid w:val="002B577A"/>
    <w:rsid w:val="002B6169"/>
    <w:rsid w:val="002B7423"/>
    <w:rsid w:val="002D1508"/>
    <w:rsid w:val="002D1604"/>
    <w:rsid w:val="002D7A52"/>
    <w:rsid w:val="002E11BA"/>
    <w:rsid w:val="002E5B8F"/>
    <w:rsid w:val="002E70EF"/>
    <w:rsid w:val="002F619F"/>
    <w:rsid w:val="00300C69"/>
    <w:rsid w:val="003079D6"/>
    <w:rsid w:val="00314D08"/>
    <w:rsid w:val="00323C18"/>
    <w:rsid w:val="00340D7B"/>
    <w:rsid w:val="00361138"/>
    <w:rsid w:val="00361C7F"/>
    <w:rsid w:val="00383817"/>
    <w:rsid w:val="00385887"/>
    <w:rsid w:val="003873D6"/>
    <w:rsid w:val="003B239E"/>
    <w:rsid w:val="003B4D7E"/>
    <w:rsid w:val="003C2516"/>
    <w:rsid w:val="003C44DB"/>
    <w:rsid w:val="003C4FF8"/>
    <w:rsid w:val="003D2511"/>
    <w:rsid w:val="003D565E"/>
    <w:rsid w:val="003D7DC5"/>
    <w:rsid w:val="003E24DE"/>
    <w:rsid w:val="003E3C9A"/>
    <w:rsid w:val="003E4F53"/>
    <w:rsid w:val="003E5D3F"/>
    <w:rsid w:val="003F6639"/>
    <w:rsid w:val="004014C2"/>
    <w:rsid w:val="004035E6"/>
    <w:rsid w:val="0041088E"/>
    <w:rsid w:val="00416787"/>
    <w:rsid w:val="0042266D"/>
    <w:rsid w:val="004265E0"/>
    <w:rsid w:val="00450942"/>
    <w:rsid w:val="00453FFF"/>
    <w:rsid w:val="00457F5C"/>
    <w:rsid w:val="00460921"/>
    <w:rsid w:val="00460ADB"/>
    <w:rsid w:val="00461F75"/>
    <w:rsid w:val="004663BF"/>
    <w:rsid w:val="004670B5"/>
    <w:rsid w:val="004775FB"/>
    <w:rsid w:val="004779DD"/>
    <w:rsid w:val="00480E8D"/>
    <w:rsid w:val="00482AD8"/>
    <w:rsid w:val="00483939"/>
    <w:rsid w:val="00491ED7"/>
    <w:rsid w:val="00497A71"/>
    <w:rsid w:val="004A296F"/>
    <w:rsid w:val="004A5873"/>
    <w:rsid w:val="004A6869"/>
    <w:rsid w:val="004B2D2E"/>
    <w:rsid w:val="004C1DD4"/>
    <w:rsid w:val="004D33D1"/>
    <w:rsid w:val="004D4484"/>
    <w:rsid w:val="004D500A"/>
    <w:rsid w:val="004D6BC7"/>
    <w:rsid w:val="004E04E4"/>
    <w:rsid w:val="004E183F"/>
    <w:rsid w:val="004E1B80"/>
    <w:rsid w:val="004E3CC2"/>
    <w:rsid w:val="004E4408"/>
    <w:rsid w:val="004E6F8B"/>
    <w:rsid w:val="004F5C16"/>
    <w:rsid w:val="004F7B0A"/>
    <w:rsid w:val="005113FE"/>
    <w:rsid w:val="00511F1A"/>
    <w:rsid w:val="00515193"/>
    <w:rsid w:val="00515453"/>
    <w:rsid w:val="005213D2"/>
    <w:rsid w:val="00522EE7"/>
    <w:rsid w:val="00527555"/>
    <w:rsid w:val="00532F91"/>
    <w:rsid w:val="0053335E"/>
    <w:rsid w:val="005335BC"/>
    <w:rsid w:val="00541EC6"/>
    <w:rsid w:val="00543F19"/>
    <w:rsid w:val="005507C7"/>
    <w:rsid w:val="0056224F"/>
    <w:rsid w:val="00565862"/>
    <w:rsid w:val="00565CD5"/>
    <w:rsid w:val="00566FBF"/>
    <w:rsid w:val="005710E8"/>
    <w:rsid w:val="00571506"/>
    <w:rsid w:val="00581D91"/>
    <w:rsid w:val="00583863"/>
    <w:rsid w:val="005949E2"/>
    <w:rsid w:val="00594D4C"/>
    <w:rsid w:val="00597873"/>
    <w:rsid w:val="005A1DD3"/>
    <w:rsid w:val="005A284F"/>
    <w:rsid w:val="005C2F04"/>
    <w:rsid w:val="005D44B3"/>
    <w:rsid w:val="005E0846"/>
    <w:rsid w:val="005F3E64"/>
    <w:rsid w:val="0060183B"/>
    <w:rsid w:val="006033F2"/>
    <w:rsid w:val="00607712"/>
    <w:rsid w:val="00607A89"/>
    <w:rsid w:val="00610B7E"/>
    <w:rsid w:val="00623514"/>
    <w:rsid w:val="00624537"/>
    <w:rsid w:val="00625386"/>
    <w:rsid w:val="0063137F"/>
    <w:rsid w:val="00633726"/>
    <w:rsid w:val="00634A79"/>
    <w:rsid w:val="0063622C"/>
    <w:rsid w:val="00646EB4"/>
    <w:rsid w:val="006505C2"/>
    <w:rsid w:val="00654BCE"/>
    <w:rsid w:val="006550E5"/>
    <w:rsid w:val="00667F8C"/>
    <w:rsid w:val="00693562"/>
    <w:rsid w:val="00693BF2"/>
    <w:rsid w:val="006B04B5"/>
    <w:rsid w:val="006B4879"/>
    <w:rsid w:val="006C65F1"/>
    <w:rsid w:val="006D0798"/>
    <w:rsid w:val="006D3B1D"/>
    <w:rsid w:val="006D4D62"/>
    <w:rsid w:val="006E3583"/>
    <w:rsid w:val="006F7654"/>
    <w:rsid w:val="00701134"/>
    <w:rsid w:val="00712134"/>
    <w:rsid w:val="00736FEF"/>
    <w:rsid w:val="00737A6E"/>
    <w:rsid w:val="00741CB9"/>
    <w:rsid w:val="007524E2"/>
    <w:rsid w:val="00752F39"/>
    <w:rsid w:val="007557A1"/>
    <w:rsid w:val="0076272E"/>
    <w:rsid w:val="00763E43"/>
    <w:rsid w:val="00770623"/>
    <w:rsid w:val="00771FCD"/>
    <w:rsid w:val="007724ED"/>
    <w:rsid w:val="0077631D"/>
    <w:rsid w:val="00777516"/>
    <w:rsid w:val="00780A90"/>
    <w:rsid w:val="00781ABB"/>
    <w:rsid w:val="00790145"/>
    <w:rsid w:val="00790460"/>
    <w:rsid w:val="00790842"/>
    <w:rsid w:val="00794451"/>
    <w:rsid w:val="00796961"/>
    <w:rsid w:val="007A1806"/>
    <w:rsid w:val="007D3237"/>
    <w:rsid w:val="007E6FB3"/>
    <w:rsid w:val="007E7408"/>
    <w:rsid w:val="007F3A40"/>
    <w:rsid w:val="007F4281"/>
    <w:rsid w:val="007F52E2"/>
    <w:rsid w:val="0080177D"/>
    <w:rsid w:val="00802D66"/>
    <w:rsid w:val="00812842"/>
    <w:rsid w:val="00816B9C"/>
    <w:rsid w:val="0082770F"/>
    <w:rsid w:val="00837A05"/>
    <w:rsid w:val="00840B6A"/>
    <w:rsid w:val="0085222C"/>
    <w:rsid w:val="00852B91"/>
    <w:rsid w:val="00854AC3"/>
    <w:rsid w:val="00854F93"/>
    <w:rsid w:val="00865615"/>
    <w:rsid w:val="00867674"/>
    <w:rsid w:val="00885E47"/>
    <w:rsid w:val="00893FBD"/>
    <w:rsid w:val="00897860"/>
    <w:rsid w:val="008A18BF"/>
    <w:rsid w:val="008A34F9"/>
    <w:rsid w:val="008A3D41"/>
    <w:rsid w:val="008B3245"/>
    <w:rsid w:val="008B63B8"/>
    <w:rsid w:val="008C3BFC"/>
    <w:rsid w:val="008C5D1B"/>
    <w:rsid w:val="008C67BF"/>
    <w:rsid w:val="008C697F"/>
    <w:rsid w:val="008D0985"/>
    <w:rsid w:val="008D2C28"/>
    <w:rsid w:val="008D7173"/>
    <w:rsid w:val="008D7618"/>
    <w:rsid w:val="008F09A3"/>
    <w:rsid w:val="009005CC"/>
    <w:rsid w:val="00903240"/>
    <w:rsid w:val="00905DCB"/>
    <w:rsid w:val="00910E68"/>
    <w:rsid w:val="00913021"/>
    <w:rsid w:val="009143A0"/>
    <w:rsid w:val="00915209"/>
    <w:rsid w:val="00916435"/>
    <w:rsid w:val="00917414"/>
    <w:rsid w:val="0092048A"/>
    <w:rsid w:val="009309CD"/>
    <w:rsid w:val="009338B1"/>
    <w:rsid w:val="0094509A"/>
    <w:rsid w:val="00947754"/>
    <w:rsid w:val="00953BA7"/>
    <w:rsid w:val="0095523B"/>
    <w:rsid w:val="009558DC"/>
    <w:rsid w:val="00962D52"/>
    <w:rsid w:val="0096343B"/>
    <w:rsid w:val="00963DF1"/>
    <w:rsid w:val="009704D4"/>
    <w:rsid w:val="00975712"/>
    <w:rsid w:val="00986C58"/>
    <w:rsid w:val="00992C4C"/>
    <w:rsid w:val="009A015F"/>
    <w:rsid w:val="009A2D5F"/>
    <w:rsid w:val="009A48F2"/>
    <w:rsid w:val="009A698B"/>
    <w:rsid w:val="009B6803"/>
    <w:rsid w:val="009D37D6"/>
    <w:rsid w:val="009E6FDB"/>
    <w:rsid w:val="009F35E9"/>
    <w:rsid w:val="009F4347"/>
    <w:rsid w:val="00A006C2"/>
    <w:rsid w:val="00A00E12"/>
    <w:rsid w:val="00A0487B"/>
    <w:rsid w:val="00A10ABD"/>
    <w:rsid w:val="00A20C1A"/>
    <w:rsid w:val="00A3071D"/>
    <w:rsid w:val="00A312BD"/>
    <w:rsid w:val="00A40FF4"/>
    <w:rsid w:val="00A44DB7"/>
    <w:rsid w:val="00A464F6"/>
    <w:rsid w:val="00A52665"/>
    <w:rsid w:val="00A53347"/>
    <w:rsid w:val="00A55440"/>
    <w:rsid w:val="00A60990"/>
    <w:rsid w:val="00A861FE"/>
    <w:rsid w:val="00A971A7"/>
    <w:rsid w:val="00AA1E95"/>
    <w:rsid w:val="00AB1799"/>
    <w:rsid w:val="00AC2197"/>
    <w:rsid w:val="00AC5D68"/>
    <w:rsid w:val="00AD148C"/>
    <w:rsid w:val="00AD3156"/>
    <w:rsid w:val="00AD5E63"/>
    <w:rsid w:val="00AE3E30"/>
    <w:rsid w:val="00AE4AA4"/>
    <w:rsid w:val="00AE4BC3"/>
    <w:rsid w:val="00AE4ED7"/>
    <w:rsid w:val="00AE5BB5"/>
    <w:rsid w:val="00AF44D9"/>
    <w:rsid w:val="00AF595D"/>
    <w:rsid w:val="00B03798"/>
    <w:rsid w:val="00B07BD1"/>
    <w:rsid w:val="00B16DFF"/>
    <w:rsid w:val="00B23719"/>
    <w:rsid w:val="00B25476"/>
    <w:rsid w:val="00B2603A"/>
    <w:rsid w:val="00B31A78"/>
    <w:rsid w:val="00B31BD2"/>
    <w:rsid w:val="00B35AE6"/>
    <w:rsid w:val="00B43522"/>
    <w:rsid w:val="00B43D0C"/>
    <w:rsid w:val="00B4725F"/>
    <w:rsid w:val="00B50E18"/>
    <w:rsid w:val="00B53D15"/>
    <w:rsid w:val="00B6278E"/>
    <w:rsid w:val="00B62C5B"/>
    <w:rsid w:val="00B66D86"/>
    <w:rsid w:val="00B81933"/>
    <w:rsid w:val="00B83EF7"/>
    <w:rsid w:val="00B87758"/>
    <w:rsid w:val="00B910B4"/>
    <w:rsid w:val="00BA3612"/>
    <w:rsid w:val="00BA5472"/>
    <w:rsid w:val="00BB332F"/>
    <w:rsid w:val="00BB39A8"/>
    <w:rsid w:val="00BB6B5A"/>
    <w:rsid w:val="00BC7401"/>
    <w:rsid w:val="00BD1935"/>
    <w:rsid w:val="00BD7505"/>
    <w:rsid w:val="00BF552D"/>
    <w:rsid w:val="00BF5E83"/>
    <w:rsid w:val="00BF7E7E"/>
    <w:rsid w:val="00C05690"/>
    <w:rsid w:val="00C061EC"/>
    <w:rsid w:val="00C155CC"/>
    <w:rsid w:val="00C1667B"/>
    <w:rsid w:val="00C16D45"/>
    <w:rsid w:val="00C22353"/>
    <w:rsid w:val="00C25003"/>
    <w:rsid w:val="00C30445"/>
    <w:rsid w:val="00C31965"/>
    <w:rsid w:val="00C47BC9"/>
    <w:rsid w:val="00C533FD"/>
    <w:rsid w:val="00C62455"/>
    <w:rsid w:val="00C711C8"/>
    <w:rsid w:val="00C73414"/>
    <w:rsid w:val="00C746C0"/>
    <w:rsid w:val="00C913BD"/>
    <w:rsid w:val="00C91C21"/>
    <w:rsid w:val="00C95FC0"/>
    <w:rsid w:val="00CA1C85"/>
    <w:rsid w:val="00CA493E"/>
    <w:rsid w:val="00CB126F"/>
    <w:rsid w:val="00CB18DE"/>
    <w:rsid w:val="00CB5B3F"/>
    <w:rsid w:val="00CC02C3"/>
    <w:rsid w:val="00CC03AF"/>
    <w:rsid w:val="00CC1770"/>
    <w:rsid w:val="00CC637A"/>
    <w:rsid w:val="00CE22BF"/>
    <w:rsid w:val="00CE2E9D"/>
    <w:rsid w:val="00CE45CF"/>
    <w:rsid w:val="00CF34F8"/>
    <w:rsid w:val="00CF5481"/>
    <w:rsid w:val="00D01839"/>
    <w:rsid w:val="00D05C6A"/>
    <w:rsid w:val="00D10FB4"/>
    <w:rsid w:val="00D1563B"/>
    <w:rsid w:val="00D25835"/>
    <w:rsid w:val="00D305CD"/>
    <w:rsid w:val="00D343E6"/>
    <w:rsid w:val="00D36C21"/>
    <w:rsid w:val="00D3732C"/>
    <w:rsid w:val="00D42FA2"/>
    <w:rsid w:val="00D456EC"/>
    <w:rsid w:val="00D4673A"/>
    <w:rsid w:val="00D47EF1"/>
    <w:rsid w:val="00D510A6"/>
    <w:rsid w:val="00D56E89"/>
    <w:rsid w:val="00D57059"/>
    <w:rsid w:val="00D61A52"/>
    <w:rsid w:val="00D7360F"/>
    <w:rsid w:val="00D763C2"/>
    <w:rsid w:val="00D76753"/>
    <w:rsid w:val="00D87525"/>
    <w:rsid w:val="00D9293D"/>
    <w:rsid w:val="00D978F0"/>
    <w:rsid w:val="00DA0347"/>
    <w:rsid w:val="00DA5E36"/>
    <w:rsid w:val="00DA7DD0"/>
    <w:rsid w:val="00DB0940"/>
    <w:rsid w:val="00DC1FB5"/>
    <w:rsid w:val="00DC27BE"/>
    <w:rsid w:val="00DF14C9"/>
    <w:rsid w:val="00DF4522"/>
    <w:rsid w:val="00E00713"/>
    <w:rsid w:val="00E01756"/>
    <w:rsid w:val="00E06196"/>
    <w:rsid w:val="00E147E8"/>
    <w:rsid w:val="00E25C4C"/>
    <w:rsid w:val="00E30DA9"/>
    <w:rsid w:val="00E3231A"/>
    <w:rsid w:val="00E34C14"/>
    <w:rsid w:val="00E411F5"/>
    <w:rsid w:val="00E41E6D"/>
    <w:rsid w:val="00E44CE3"/>
    <w:rsid w:val="00E57FA8"/>
    <w:rsid w:val="00E60B2A"/>
    <w:rsid w:val="00E7029F"/>
    <w:rsid w:val="00E70331"/>
    <w:rsid w:val="00E713E9"/>
    <w:rsid w:val="00E73796"/>
    <w:rsid w:val="00E778F2"/>
    <w:rsid w:val="00E968D0"/>
    <w:rsid w:val="00E977D3"/>
    <w:rsid w:val="00EA0975"/>
    <w:rsid w:val="00EA16E8"/>
    <w:rsid w:val="00EA21AC"/>
    <w:rsid w:val="00EA685D"/>
    <w:rsid w:val="00EB07F6"/>
    <w:rsid w:val="00EB7673"/>
    <w:rsid w:val="00EC1178"/>
    <w:rsid w:val="00EC54EB"/>
    <w:rsid w:val="00EC5AD7"/>
    <w:rsid w:val="00ED0084"/>
    <w:rsid w:val="00ED1150"/>
    <w:rsid w:val="00ED35A9"/>
    <w:rsid w:val="00ED45A4"/>
    <w:rsid w:val="00ED7640"/>
    <w:rsid w:val="00EE1958"/>
    <w:rsid w:val="00EE5253"/>
    <w:rsid w:val="00EE620A"/>
    <w:rsid w:val="00EE6C0B"/>
    <w:rsid w:val="00EF0666"/>
    <w:rsid w:val="00EF2EF6"/>
    <w:rsid w:val="00EF5382"/>
    <w:rsid w:val="00EF7FA9"/>
    <w:rsid w:val="00F00A50"/>
    <w:rsid w:val="00F06084"/>
    <w:rsid w:val="00F07A5D"/>
    <w:rsid w:val="00F1267B"/>
    <w:rsid w:val="00F128B5"/>
    <w:rsid w:val="00F14F64"/>
    <w:rsid w:val="00F153BF"/>
    <w:rsid w:val="00F15CE9"/>
    <w:rsid w:val="00F17BC2"/>
    <w:rsid w:val="00F25FF2"/>
    <w:rsid w:val="00F30BAE"/>
    <w:rsid w:val="00F31D9B"/>
    <w:rsid w:val="00F40A8C"/>
    <w:rsid w:val="00F45A2F"/>
    <w:rsid w:val="00F46D80"/>
    <w:rsid w:val="00F54051"/>
    <w:rsid w:val="00F61B75"/>
    <w:rsid w:val="00F64172"/>
    <w:rsid w:val="00F75860"/>
    <w:rsid w:val="00F84D90"/>
    <w:rsid w:val="00F94454"/>
    <w:rsid w:val="00FA4789"/>
    <w:rsid w:val="00FB4141"/>
    <w:rsid w:val="00FC13BE"/>
    <w:rsid w:val="00FC56A2"/>
    <w:rsid w:val="00FC6C75"/>
    <w:rsid w:val="00FC6FF8"/>
    <w:rsid w:val="00FC701D"/>
    <w:rsid w:val="00FE50F7"/>
    <w:rsid w:val="00FE52C0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25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13FE"/>
    <w:rPr>
      <w:rFonts w:ascii="Arial" w:eastAsia="Arial" w:hAnsi="Arial" w:cs="Arial"/>
      <w:lang w:val="ca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1F1A"/>
    <w:pPr>
      <w:keepNext/>
      <w:keepLines/>
      <w:widowControl/>
      <w:numPr>
        <w:numId w:val="1"/>
      </w:numPr>
      <w:autoSpaceDE/>
      <w:spacing w:after="100" w:line="24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paragraph" w:styleId="Nadpis2">
    <w:name w:val="heading 2"/>
    <w:aliases w:val="h2,2,sub-sect,section header,sub-sect1,22,sub-sect2,23,sub-sect3,24,sub-sect4,25,sub-sect5,no section,21,(1.1,1.2,1.3 etc),Heaidng 2,Level 2,Subsect heading,H2,Major,Major1,Major2,Major11,Appendix 2,point,Kenmore-Level-2,UNDERRUBRIK 1-2,•H"/>
    <w:basedOn w:val="Normlny"/>
    <w:next w:val="Normlny"/>
    <w:link w:val="Nadpis2Char"/>
    <w:uiPriority w:val="9"/>
    <w:unhideWhenUsed/>
    <w:qFormat/>
    <w:rsid w:val="001A252B"/>
    <w:pPr>
      <w:keepNext/>
      <w:keepLines/>
      <w:widowControl/>
      <w:numPr>
        <w:ilvl w:val="1"/>
        <w:numId w:val="1"/>
      </w:numPr>
      <w:autoSpaceDE/>
      <w:spacing w:before="240" w:after="100" w:line="240" w:lineRule="atLeast"/>
      <w:jc w:val="both"/>
      <w:textAlignment w:val="baseline"/>
      <w:outlineLvl w:val="1"/>
    </w:pPr>
    <w:rPr>
      <w:rFonts w:ascii="Calibri" w:eastAsia="Times New Roman" w:hAnsi="Calibri" w:cs="Times New Roman"/>
      <w:b/>
      <w:bCs/>
      <w:color w:val="0055A1"/>
      <w:sz w:val="26"/>
      <w:szCs w:val="26"/>
      <w:lang w:val="sk-SK" w:eastAsia="sk-SK"/>
    </w:rPr>
  </w:style>
  <w:style w:type="paragraph" w:styleId="Nadpis3">
    <w:name w:val="heading 3"/>
    <w:aliases w:val="h3,l3+toc 3,CT,Sub-section Title,3,Level 3 Head,level 3 no TOC,3rd level,Head 3,subhead,1.,TF-Overskrift 3,Subhead,titre 1.1.1,ITT t3,PA Minor Section,H3,level3,text,sub-sub,h31,31,h32,32,h33,33,h34,34,h35,35,sub-sub1,sub-sub2,Záhlaví 3"/>
    <w:basedOn w:val="Normlny"/>
    <w:next w:val="Normlny"/>
    <w:link w:val="Nadpis3Char"/>
    <w:uiPriority w:val="9"/>
    <w:unhideWhenUsed/>
    <w:qFormat/>
    <w:rsid w:val="001A252B"/>
    <w:pPr>
      <w:keepNext/>
      <w:keepLines/>
      <w:widowControl/>
      <w:numPr>
        <w:ilvl w:val="2"/>
        <w:numId w:val="1"/>
      </w:numPr>
      <w:autoSpaceDE/>
      <w:spacing w:before="240" w:after="120" w:line="240" w:lineRule="atLeast"/>
      <w:jc w:val="both"/>
      <w:textAlignment w:val="baseline"/>
      <w:outlineLvl w:val="2"/>
    </w:pPr>
    <w:rPr>
      <w:rFonts w:ascii="Calibri" w:eastAsia="Times New Roman" w:hAnsi="Calibri" w:cs="Times New Roman"/>
      <w:b/>
      <w:bCs/>
      <w:color w:val="0055A1"/>
      <w:lang w:val="sk-SK" w:eastAsia="sk-SK"/>
    </w:rPr>
  </w:style>
  <w:style w:type="paragraph" w:styleId="Nadpis4">
    <w:name w:val="heading 4"/>
    <w:aliases w:val="4,14,h4,l4,a.,Map Title,parapoint,¶,H4,l4+toc4,Numbered List,I4,Schedules,Appendices,Req,Req1,Subsection,4 dash,d,U4,T4,Sub-Minor,Level 2 - a,Tempo Heading 4,Head 4,PA Micro Section,Sub sub heading,Head4,niveau 2,list 2,Krav,4headin,Nadpis 4T"/>
    <w:basedOn w:val="Normlny"/>
    <w:next w:val="Normlny"/>
    <w:link w:val="Nadpis4Char"/>
    <w:unhideWhenUsed/>
    <w:qFormat/>
    <w:rsid w:val="001A252B"/>
    <w:pPr>
      <w:keepNext/>
      <w:keepLines/>
      <w:widowControl/>
      <w:numPr>
        <w:ilvl w:val="3"/>
        <w:numId w:val="1"/>
      </w:numPr>
      <w:autoSpaceDE/>
      <w:spacing w:before="120" w:after="120" w:line="240" w:lineRule="atLeast"/>
      <w:jc w:val="both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lang w:val="sk-SK"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1A252B"/>
    <w:pPr>
      <w:keepNext/>
      <w:keepLines/>
      <w:widowControl/>
      <w:numPr>
        <w:ilvl w:val="4"/>
        <w:numId w:val="1"/>
      </w:numPr>
      <w:autoSpaceDE/>
      <w:spacing w:before="200" w:after="120" w:line="240" w:lineRule="atLeast"/>
      <w:jc w:val="both"/>
      <w:textAlignment w:val="baseline"/>
      <w:outlineLvl w:val="4"/>
    </w:pPr>
    <w:rPr>
      <w:rFonts w:ascii="Cambria" w:eastAsia="Times New Roman" w:hAnsi="Cambria" w:cs="Times New Roman"/>
      <w:b/>
      <w:i/>
      <w:color w:val="000000"/>
      <w:lang w:val="sk-SK"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1A252B"/>
    <w:pPr>
      <w:keepNext/>
      <w:keepLines/>
      <w:widowControl/>
      <w:numPr>
        <w:ilvl w:val="5"/>
        <w:numId w:val="1"/>
      </w:numPr>
      <w:autoSpaceDE/>
      <w:spacing w:before="200" w:line="240" w:lineRule="atLeast"/>
      <w:jc w:val="both"/>
      <w:textAlignment w:val="baseline"/>
      <w:outlineLvl w:val="5"/>
    </w:pPr>
    <w:rPr>
      <w:rFonts w:ascii="Cambria" w:eastAsia="Times New Roman" w:hAnsi="Cambria" w:cs="Times New Roman"/>
      <w:i/>
      <w:iCs/>
      <w:color w:val="243F60"/>
      <w:lang w:val="sk-SK" w:eastAsia="sk-SK"/>
    </w:rPr>
  </w:style>
  <w:style w:type="paragraph" w:styleId="Nadpis7">
    <w:name w:val="heading 7"/>
    <w:basedOn w:val="Normlny"/>
    <w:next w:val="Normlny"/>
    <w:link w:val="Nadpis7Char"/>
    <w:qFormat/>
    <w:rsid w:val="001A252B"/>
    <w:pPr>
      <w:keepNext/>
      <w:keepLines/>
      <w:widowControl/>
      <w:numPr>
        <w:ilvl w:val="6"/>
        <w:numId w:val="1"/>
      </w:numPr>
      <w:autoSpaceDE/>
      <w:spacing w:before="200" w:line="240" w:lineRule="atLeast"/>
      <w:jc w:val="both"/>
      <w:textAlignment w:val="baseline"/>
      <w:outlineLvl w:val="6"/>
    </w:pPr>
    <w:rPr>
      <w:rFonts w:ascii="Cambria" w:eastAsia="Times New Roman" w:hAnsi="Cambria" w:cs="Times New Roman"/>
      <w:i/>
      <w:iCs/>
      <w:color w:val="404040"/>
      <w:lang w:val="sk-SK" w:eastAsia="sk-SK"/>
    </w:rPr>
  </w:style>
  <w:style w:type="paragraph" w:styleId="Nadpis8">
    <w:name w:val="heading 8"/>
    <w:basedOn w:val="Normlny"/>
    <w:next w:val="Normlny"/>
    <w:link w:val="Nadpis8Char"/>
    <w:qFormat/>
    <w:rsid w:val="001A252B"/>
    <w:pPr>
      <w:keepNext/>
      <w:keepLines/>
      <w:widowControl/>
      <w:numPr>
        <w:ilvl w:val="7"/>
        <w:numId w:val="1"/>
      </w:numPr>
      <w:autoSpaceDE/>
      <w:spacing w:before="200" w:line="240" w:lineRule="atLeast"/>
      <w:jc w:val="both"/>
      <w:textAlignment w:val="baseline"/>
      <w:outlineLvl w:val="7"/>
    </w:pPr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1A252B"/>
    <w:pPr>
      <w:keepNext/>
      <w:keepLines/>
      <w:widowControl/>
      <w:numPr>
        <w:ilvl w:val="8"/>
        <w:numId w:val="1"/>
      </w:numPr>
      <w:autoSpaceDE/>
      <w:spacing w:before="200" w:line="240" w:lineRule="atLeast"/>
      <w:jc w:val="both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A5873"/>
    <w:pPr>
      <w:spacing w:after="120"/>
      <w:jc w:val="both"/>
    </w:pPr>
    <w:rPr>
      <w:rFonts w:ascii="Times New Roman" w:hAnsi="Times New Roman"/>
      <w:szCs w:val="18"/>
    </w:rPr>
  </w:style>
  <w:style w:type="paragraph" w:styleId="Nzov">
    <w:name w:val="Title"/>
    <w:basedOn w:val="Normlny"/>
    <w:link w:val="NzovChar1"/>
    <w:uiPriority w:val="10"/>
    <w:qFormat/>
    <w:pPr>
      <w:spacing w:before="78"/>
      <w:ind w:left="127" w:right="2352"/>
    </w:pPr>
    <w:rPr>
      <w:rFonts w:ascii="Carlito" w:eastAsia="Carlito" w:hAnsi="Carlito" w:cs="Carlito"/>
      <w:sz w:val="72"/>
      <w:szCs w:val="72"/>
    </w:rPr>
  </w:style>
  <w:style w:type="paragraph" w:styleId="Odsekzoznamu">
    <w:name w:val="List Paragraph"/>
    <w:aliases w:val="necislovany zoznam"/>
    <w:basedOn w:val="Normlny"/>
    <w:link w:val="OdsekzoznamuChar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337"/>
    <w:rPr>
      <w:rFonts w:ascii="Arial" w:eastAsia="Arial" w:hAnsi="Arial" w:cs="Arial"/>
      <w:lang w:val="ca-ES"/>
    </w:rPr>
  </w:style>
  <w:style w:type="paragraph" w:styleId="Pta">
    <w:name w:val="footer"/>
    <w:basedOn w:val="Normlny"/>
    <w:link w:val="Pt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82337"/>
    <w:rPr>
      <w:rFonts w:ascii="Arial" w:eastAsia="Arial" w:hAnsi="Arial" w:cs="Arial"/>
      <w:lang w:val="ca-ES"/>
    </w:rPr>
  </w:style>
  <w:style w:type="character" w:styleId="Hypertextovprepojenie">
    <w:name w:val="Hyperlink"/>
    <w:basedOn w:val="Predvolenpsmoodseku"/>
    <w:uiPriority w:val="99"/>
    <w:unhideWhenUsed/>
    <w:rsid w:val="00B2603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11F1A"/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character" w:customStyle="1" w:styleId="Nadpis2Char">
    <w:name w:val="Nadpis 2 Char"/>
    <w:aliases w:val="h2 Char,2 Char,sub-sect Char,section header Char,sub-sect1 Char,22 Char,sub-sect2 Char,23 Char,sub-sect3 Char,24 Char,sub-sect4 Char,25 Char,sub-sect5 Char,no section Char,21 Char,(1.1 Char,1.2 Char,1.3 etc) Char,Heaidng 2 Char,H2 Char"/>
    <w:basedOn w:val="Predvolenpsmoodseku"/>
    <w:link w:val="Nadpis2"/>
    <w:uiPriority w:val="9"/>
    <w:rsid w:val="001A252B"/>
    <w:rPr>
      <w:rFonts w:ascii="Calibri" w:eastAsia="Times New Roman" w:hAnsi="Calibri" w:cs="Times New Roman"/>
      <w:b/>
      <w:bCs/>
      <w:color w:val="0055A1"/>
      <w:sz w:val="26"/>
      <w:szCs w:val="26"/>
      <w:lang w:val="sk-SK" w:eastAsia="sk-SK"/>
    </w:rPr>
  </w:style>
  <w:style w:type="character" w:customStyle="1" w:styleId="Nadpis3Char">
    <w:name w:val="Nadpis 3 Char"/>
    <w:aliases w:val="h3 Char,l3+toc 3 Char,CT Char,Sub-section Title Char,3 Char,Level 3 Head Char,level 3 no TOC Char,3rd level Char,Head 3 Char,subhead Char,1. Char,TF-Overskrift 3 Char,Subhead Char,titre 1.1.1 Char,ITT t3 Char,PA Minor Section Char,H3 Char"/>
    <w:basedOn w:val="Predvolenpsmoodseku"/>
    <w:link w:val="Nadpis3"/>
    <w:uiPriority w:val="9"/>
    <w:rsid w:val="001A252B"/>
    <w:rPr>
      <w:rFonts w:ascii="Calibri" w:eastAsia="Times New Roman" w:hAnsi="Calibri" w:cs="Times New Roman"/>
      <w:b/>
      <w:bCs/>
      <w:color w:val="0055A1"/>
      <w:lang w:val="sk-SK" w:eastAsia="sk-SK"/>
    </w:rPr>
  </w:style>
  <w:style w:type="character" w:customStyle="1" w:styleId="Nadpis4Char">
    <w:name w:val="Nadpis 4 Char"/>
    <w:aliases w:val="4 Char,14 Char,h4 Char,l4 Char,a. Char,Map Title Char,parapoint Char,¶ Char,H4 Char,l4+toc4 Char,Numbered List Char,I4 Char,Schedules Char,Appendices Char,Req Char,Req1 Char,Subsection Char,4 dash Char,d Char,U4 Char,T4 Char,Sub-Minor Char"/>
    <w:basedOn w:val="Predvolenpsmoodseku"/>
    <w:link w:val="Nadpis4"/>
    <w:rsid w:val="001A252B"/>
    <w:rPr>
      <w:rFonts w:ascii="Cambria" w:eastAsia="Times New Roman" w:hAnsi="Cambria" w:cs="Times New Roman"/>
      <w:b/>
      <w:bCs/>
      <w:i/>
      <w:iCs/>
      <w:color w:val="4F81BD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1A252B"/>
    <w:rPr>
      <w:rFonts w:ascii="Cambria" w:eastAsia="Times New Roman" w:hAnsi="Cambria" w:cs="Times New Roman"/>
      <w:b/>
      <w:i/>
      <w:color w:val="000000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1A252B"/>
    <w:rPr>
      <w:rFonts w:ascii="Cambria" w:eastAsia="Times New Roman" w:hAnsi="Cambria" w:cs="Times New Roman"/>
      <w:i/>
      <w:iCs/>
      <w:color w:val="243F60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1A252B"/>
    <w:rPr>
      <w:rFonts w:ascii="Cambria" w:eastAsia="Times New Roman" w:hAnsi="Cambria" w:cs="Times New Roman"/>
      <w:i/>
      <w:iCs/>
      <w:color w:val="404040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1A252B"/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1A252B"/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numbering" w:customStyle="1" w:styleId="WWOutlineListStyle12">
    <w:name w:val="WW_OutlineListStyle_12"/>
    <w:basedOn w:val="Bezzoznamu"/>
    <w:rsid w:val="001A252B"/>
    <w:pPr>
      <w:numPr>
        <w:numId w:val="1"/>
      </w:numPr>
    </w:pPr>
  </w:style>
  <w:style w:type="paragraph" w:styleId="Textpoznmkypodiarou">
    <w:name w:val="footnote text"/>
    <w:basedOn w:val="Normlny"/>
    <w:link w:val="TextpoznmkypodiarouChar"/>
    <w:rsid w:val="001A252B"/>
    <w:pPr>
      <w:widowControl/>
      <w:autoSpaceDE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rsid w:val="001A252B"/>
    <w:rPr>
      <w:position w:val="0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A25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A25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A252B"/>
    <w:rPr>
      <w:rFonts w:ascii="Segoe UI" w:eastAsia="Arial" w:hAnsi="Segoe UI" w:cs="Segoe UI"/>
      <w:sz w:val="18"/>
      <w:szCs w:val="18"/>
      <w:lang w:val="ca-ES"/>
    </w:rPr>
  </w:style>
  <w:style w:type="paragraph" w:customStyle="1" w:styleId="Standard">
    <w:name w:val="Standard"/>
    <w:rsid w:val="001A252B"/>
    <w:pPr>
      <w:widowControl/>
      <w:autoSpaceDE/>
      <w:spacing w:after="120" w:line="240" w:lineRule="atLeast"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customStyle="1" w:styleId="cislovanyzoznam1">
    <w:name w:val="cislovany zoznam 1)"/>
    <w:basedOn w:val="Normlnysozarkami"/>
    <w:autoRedefine/>
    <w:rsid w:val="001A252B"/>
    <w:pPr>
      <w:spacing w:after="100" w:line="0" w:lineRule="atLeast"/>
      <w:ind w:left="540"/>
    </w:pPr>
  </w:style>
  <w:style w:type="character" w:customStyle="1" w:styleId="cislovanyzoznam1Char">
    <w:name w:val="cislovany zoznam 1) Char"/>
    <w:basedOn w:val="Predvolenpsmoodseku"/>
    <w:rsid w:val="001A252B"/>
    <w:rPr>
      <w:rFonts w:ascii="Times New Roman" w:hAnsi="Times New Roman"/>
    </w:rPr>
  </w:style>
  <w:style w:type="paragraph" w:styleId="Normlnysozarkami">
    <w:name w:val="Normal Indent"/>
    <w:basedOn w:val="Normlny"/>
    <w:rsid w:val="001A252B"/>
    <w:pPr>
      <w:widowControl/>
      <w:autoSpaceDE/>
      <w:spacing w:after="120" w:line="240" w:lineRule="atLeast"/>
      <w:ind w:left="708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referencie">
    <w:name w:val="referencie"/>
    <w:basedOn w:val="Normlny"/>
    <w:qFormat/>
    <w:rsid w:val="001A252B"/>
    <w:pPr>
      <w:widowControl/>
      <w:numPr>
        <w:numId w:val="41"/>
      </w:numPr>
      <w:autoSpaceDE/>
      <w:spacing w:after="12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referencieChar">
    <w:name w:val="referencie Char"/>
    <w:basedOn w:val="Predvolenpsmoodseku"/>
    <w:rsid w:val="001A252B"/>
    <w:rPr>
      <w:rFonts w:ascii="Times New Roman" w:hAnsi="Times New Roman"/>
    </w:rPr>
  </w:style>
  <w:style w:type="paragraph" w:styleId="Popis">
    <w:name w:val="caption"/>
    <w:basedOn w:val="Normlny"/>
    <w:next w:val="Normlny"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sk-SK" w:eastAsia="sk-SK"/>
    </w:rPr>
  </w:style>
  <w:style w:type="character" w:customStyle="1" w:styleId="NzovChar">
    <w:name w:val="Názov Char"/>
    <w:basedOn w:val="Predvolenpsmoodseku"/>
    <w:uiPriority w:val="10"/>
    <w:rsid w:val="001A252B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1A25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Siln1">
    <w:name w:val="Silný1"/>
    <w:basedOn w:val="Predvolenpsmoodseku"/>
    <w:rsid w:val="001A252B"/>
    <w:rPr>
      <w:b/>
      <w:bCs/>
    </w:rPr>
  </w:style>
  <w:style w:type="character" w:styleId="Zvraznenie">
    <w:name w:val="Emphasis"/>
    <w:basedOn w:val="Predvolenpsmoodseku"/>
    <w:uiPriority w:val="20"/>
    <w:qFormat/>
    <w:rsid w:val="001A252B"/>
    <w:rPr>
      <w:i/>
      <w:iCs/>
    </w:rPr>
  </w:style>
  <w:style w:type="paragraph" w:styleId="Bezriadkovania">
    <w:name w:val="No Spacing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libri" w:eastAsia="Times New Roman" w:hAnsi="Calibri" w:cs="Times New Roman"/>
      <w:i/>
      <w:iCs/>
      <w:color w:val="000000"/>
      <w:lang w:val="sk-SK"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1A252B"/>
    <w:rPr>
      <w:rFonts w:ascii="Calibri" w:eastAsia="Times New Roman" w:hAnsi="Calibri" w:cs="Times New Roman"/>
      <w:i/>
      <w:iCs/>
      <w:color w:val="000000"/>
      <w:lang w:val="sk-SK" w:eastAsia="sk-SK"/>
    </w:rPr>
  </w:style>
  <w:style w:type="paragraph" w:styleId="Zvraznencitcia">
    <w:name w:val="Intense Quote"/>
    <w:basedOn w:val="Normlny"/>
    <w:next w:val="Normlny"/>
    <w:link w:val="ZvraznencitciaChar"/>
    <w:rsid w:val="001A252B"/>
    <w:pPr>
      <w:widowControl/>
      <w:pBdr>
        <w:bottom w:val="single" w:sz="4" w:space="4" w:color="4F81BD"/>
      </w:pBdr>
      <w:autoSpaceDE/>
      <w:spacing w:before="200" w:after="280" w:line="240" w:lineRule="atLeast"/>
      <w:ind w:left="936" w:right="936"/>
      <w:jc w:val="both"/>
      <w:textAlignment w:val="baseline"/>
    </w:pPr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customStyle="1" w:styleId="ZvraznencitciaChar">
    <w:name w:val="Zvýraznená citácia Char"/>
    <w:basedOn w:val="Predvolenpsmoodseku"/>
    <w:link w:val="Zvraznencitcia"/>
    <w:rsid w:val="001A252B"/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styleId="Jemnzvraznenie">
    <w:name w:val="Subtle Emphasis"/>
    <w:basedOn w:val="Predvolenpsmoodseku"/>
    <w:rsid w:val="001A252B"/>
    <w:rPr>
      <w:i/>
      <w:iCs/>
      <w:color w:val="808080"/>
    </w:rPr>
  </w:style>
  <w:style w:type="character" w:styleId="Intenzvnezvraznenie">
    <w:name w:val="Intense Emphasis"/>
    <w:basedOn w:val="Predvolenpsmoodseku"/>
    <w:rsid w:val="001A252B"/>
    <w:rPr>
      <w:b/>
      <w:bCs/>
      <w:i/>
      <w:iCs/>
      <w:color w:val="4F81BD"/>
    </w:rPr>
  </w:style>
  <w:style w:type="character" w:styleId="Jemnodkaz">
    <w:name w:val="Subtle Reference"/>
    <w:basedOn w:val="Predvolenpsmoodseku"/>
    <w:rsid w:val="001A252B"/>
    <w:rPr>
      <w:smallCaps/>
      <w:color w:val="C0504D"/>
      <w:u w:val="single"/>
    </w:rPr>
  </w:style>
  <w:style w:type="character" w:customStyle="1" w:styleId="Intenzvnyodkaz1">
    <w:name w:val="Intenzívny odkaz1"/>
    <w:basedOn w:val="Predvolenpsmoodseku"/>
    <w:rsid w:val="001A252B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sid w:val="001A252B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qFormat/>
    <w:rsid w:val="001A252B"/>
  </w:style>
  <w:style w:type="paragraph" w:styleId="Obsah1">
    <w:name w:val="toc 1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22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3">
    <w:name w:val="toc 3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44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Normlnywebov">
    <w:name w:val="Normal (Web)"/>
    <w:basedOn w:val="Normlny"/>
    <w:uiPriority w:val="99"/>
    <w:rsid w:val="001A252B"/>
    <w:pPr>
      <w:widowControl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remennHTML">
    <w:name w:val="HTML Variable"/>
    <w:basedOn w:val="Predvolenpsmoodseku"/>
    <w:uiPriority w:val="99"/>
    <w:rsid w:val="001A252B"/>
    <w:rPr>
      <w:i/>
      <w:iCs/>
    </w:rPr>
  </w:style>
  <w:style w:type="character" w:styleId="PouitHypertextovPrepojenie">
    <w:name w:val="FollowedHyperlink"/>
    <w:basedOn w:val="Predvolenpsmoodseku"/>
    <w:rsid w:val="001A252B"/>
    <w:rPr>
      <w:color w:val="800080"/>
      <w:u w:val="single"/>
    </w:rPr>
  </w:style>
  <w:style w:type="character" w:customStyle="1" w:styleId="normaltextrun">
    <w:name w:val="normaltextrun"/>
    <w:basedOn w:val="Predvolenpsmoodseku"/>
    <w:rsid w:val="001A252B"/>
  </w:style>
  <w:style w:type="character" w:customStyle="1" w:styleId="contextualspellingandgrammarerror">
    <w:name w:val="contextualspellingandgrammarerror"/>
    <w:basedOn w:val="Predvolenpsmoodseku"/>
    <w:rsid w:val="001A252B"/>
  </w:style>
  <w:style w:type="character" w:customStyle="1" w:styleId="eop">
    <w:name w:val="eop"/>
    <w:basedOn w:val="Predvolenpsmoodseku"/>
    <w:rsid w:val="001A252B"/>
  </w:style>
  <w:style w:type="character" w:customStyle="1" w:styleId="h1a">
    <w:name w:val="h1a"/>
    <w:basedOn w:val="Predvolenpsmoodseku"/>
    <w:rsid w:val="001A252B"/>
  </w:style>
  <w:style w:type="numbering" w:customStyle="1" w:styleId="WWOutlineListStyle11">
    <w:name w:val="WW_OutlineListStyle_11"/>
    <w:basedOn w:val="Bezzoznamu"/>
    <w:rsid w:val="001A252B"/>
    <w:pPr>
      <w:numPr>
        <w:numId w:val="2"/>
      </w:numPr>
    </w:pPr>
  </w:style>
  <w:style w:type="numbering" w:customStyle="1" w:styleId="WWOutlineListStyle10">
    <w:name w:val="WW_OutlineListStyle_10"/>
    <w:basedOn w:val="Bezzoznamu"/>
    <w:rsid w:val="001A252B"/>
    <w:pPr>
      <w:numPr>
        <w:numId w:val="3"/>
      </w:numPr>
    </w:pPr>
  </w:style>
  <w:style w:type="numbering" w:customStyle="1" w:styleId="WWOutlineListStyle9">
    <w:name w:val="WW_OutlineListStyle_9"/>
    <w:basedOn w:val="Bezzoznamu"/>
    <w:rsid w:val="001A252B"/>
    <w:pPr>
      <w:numPr>
        <w:numId w:val="4"/>
      </w:numPr>
    </w:pPr>
  </w:style>
  <w:style w:type="numbering" w:customStyle="1" w:styleId="WWOutlineListStyle8">
    <w:name w:val="WW_OutlineListStyle_8"/>
    <w:basedOn w:val="Bezzoznamu"/>
    <w:rsid w:val="001A252B"/>
    <w:pPr>
      <w:numPr>
        <w:numId w:val="5"/>
      </w:numPr>
    </w:pPr>
  </w:style>
  <w:style w:type="numbering" w:customStyle="1" w:styleId="LFO421">
    <w:name w:val="LFO42_1"/>
    <w:basedOn w:val="Bezzoznamu"/>
    <w:rsid w:val="001A252B"/>
    <w:pPr>
      <w:numPr>
        <w:numId w:val="6"/>
      </w:numPr>
    </w:pPr>
  </w:style>
  <w:style w:type="numbering" w:customStyle="1" w:styleId="WWOutlineListStyle7">
    <w:name w:val="WW_OutlineListStyle_7"/>
    <w:basedOn w:val="Bezzoznamu"/>
    <w:rsid w:val="001A252B"/>
    <w:pPr>
      <w:numPr>
        <w:numId w:val="7"/>
      </w:numPr>
    </w:pPr>
  </w:style>
  <w:style w:type="numbering" w:customStyle="1" w:styleId="WWOutlineListStyle6">
    <w:name w:val="WW_OutlineListStyle_6"/>
    <w:basedOn w:val="Bezzoznamu"/>
    <w:rsid w:val="001A252B"/>
    <w:pPr>
      <w:numPr>
        <w:numId w:val="8"/>
      </w:numPr>
    </w:pPr>
  </w:style>
  <w:style w:type="numbering" w:customStyle="1" w:styleId="LFO35">
    <w:name w:val="LFO35"/>
    <w:basedOn w:val="Bezzoznamu"/>
    <w:rsid w:val="001A252B"/>
    <w:pPr>
      <w:numPr>
        <w:numId w:val="9"/>
      </w:numPr>
    </w:pPr>
  </w:style>
  <w:style w:type="numbering" w:customStyle="1" w:styleId="WWOutlineListStyle5">
    <w:name w:val="WW_OutlineListStyle_5"/>
    <w:basedOn w:val="Bezzoznamu"/>
    <w:rsid w:val="001A252B"/>
    <w:pPr>
      <w:numPr>
        <w:numId w:val="10"/>
      </w:numPr>
    </w:pPr>
  </w:style>
  <w:style w:type="numbering" w:customStyle="1" w:styleId="WWOutlineListStyle4">
    <w:name w:val="WW_OutlineListStyle_4"/>
    <w:basedOn w:val="Bezzoznamu"/>
    <w:rsid w:val="001A252B"/>
    <w:pPr>
      <w:numPr>
        <w:numId w:val="11"/>
      </w:numPr>
    </w:pPr>
  </w:style>
  <w:style w:type="numbering" w:customStyle="1" w:styleId="WWOutlineListStyle3">
    <w:name w:val="WW_OutlineListStyle_3"/>
    <w:basedOn w:val="Bezzoznamu"/>
    <w:rsid w:val="001A252B"/>
    <w:pPr>
      <w:numPr>
        <w:numId w:val="12"/>
      </w:numPr>
    </w:pPr>
  </w:style>
  <w:style w:type="numbering" w:customStyle="1" w:styleId="WWOutlineListStyle2">
    <w:name w:val="WW_OutlineListStyle_2"/>
    <w:basedOn w:val="Bezzoznamu"/>
    <w:rsid w:val="001A252B"/>
    <w:pPr>
      <w:numPr>
        <w:numId w:val="13"/>
      </w:numPr>
    </w:pPr>
  </w:style>
  <w:style w:type="numbering" w:customStyle="1" w:styleId="WWOutlineListStyle1">
    <w:name w:val="WW_OutlineListStyle_1"/>
    <w:basedOn w:val="Bezzoznamu"/>
    <w:rsid w:val="001A252B"/>
    <w:pPr>
      <w:numPr>
        <w:numId w:val="14"/>
      </w:numPr>
    </w:pPr>
  </w:style>
  <w:style w:type="numbering" w:customStyle="1" w:styleId="WWOutlineListStyle">
    <w:name w:val="WW_OutlineListStyle"/>
    <w:basedOn w:val="Bezzoznamu"/>
    <w:rsid w:val="001A252B"/>
    <w:pPr>
      <w:numPr>
        <w:numId w:val="15"/>
      </w:numPr>
    </w:pPr>
  </w:style>
  <w:style w:type="numbering" w:customStyle="1" w:styleId="LFO15">
    <w:name w:val="LFO15"/>
    <w:basedOn w:val="Bezzoznamu"/>
    <w:rsid w:val="001A252B"/>
    <w:pPr>
      <w:numPr>
        <w:numId w:val="16"/>
      </w:numPr>
    </w:pPr>
  </w:style>
  <w:style w:type="numbering" w:customStyle="1" w:styleId="LFO20">
    <w:name w:val="LFO20"/>
    <w:basedOn w:val="Bezzoznamu"/>
    <w:rsid w:val="001A252B"/>
    <w:pPr>
      <w:numPr>
        <w:numId w:val="17"/>
      </w:numPr>
    </w:pPr>
  </w:style>
  <w:style w:type="numbering" w:customStyle="1" w:styleId="LFO76">
    <w:name w:val="LFO76"/>
    <w:basedOn w:val="Bezzoznamu"/>
    <w:rsid w:val="001A252B"/>
    <w:pPr>
      <w:numPr>
        <w:numId w:val="18"/>
      </w:numPr>
    </w:pPr>
  </w:style>
  <w:style w:type="numbering" w:customStyle="1" w:styleId="LFO1">
    <w:name w:val="LFO1"/>
    <w:basedOn w:val="Bezzoznamu"/>
    <w:rsid w:val="001A252B"/>
    <w:pPr>
      <w:numPr>
        <w:numId w:val="19"/>
      </w:numPr>
    </w:pPr>
  </w:style>
  <w:style w:type="numbering" w:customStyle="1" w:styleId="LFO12">
    <w:name w:val="LFO12"/>
    <w:basedOn w:val="Bezzoznamu"/>
    <w:rsid w:val="001A252B"/>
    <w:pPr>
      <w:numPr>
        <w:numId w:val="20"/>
      </w:numPr>
    </w:pPr>
  </w:style>
  <w:style w:type="numbering" w:customStyle="1" w:styleId="LFO151">
    <w:name w:val="LFO15_1"/>
    <w:basedOn w:val="Bezzoznamu"/>
    <w:rsid w:val="001A252B"/>
    <w:pPr>
      <w:numPr>
        <w:numId w:val="21"/>
      </w:numPr>
    </w:pPr>
  </w:style>
  <w:style w:type="numbering" w:customStyle="1" w:styleId="LFO121">
    <w:name w:val="LFO12_1"/>
    <w:basedOn w:val="Bezzoznamu"/>
    <w:rsid w:val="001A252B"/>
    <w:pPr>
      <w:numPr>
        <w:numId w:val="22"/>
      </w:numPr>
    </w:pPr>
  </w:style>
  <w:style w:type="numbering" w:customStyle="1" w:styleId="LFO152">
    <w:name w:val="LFO15_2"/>
    <w:basedOn w:val="Bezzoznamu"/>
    <w:rsid w:val="001A252B"/>
    <w:pPr>
      <w:numPr>
        <w:numId w:val="23"/>
      </w:numPr>
    </w:pPr>
  </w:style>
  <w:style w:type="numbering" w:customStyle="1" w:styleId="LFO38">
    <w:name w:val="LFO38"/>
    <w:basedOn w:val="Bezzoznamu"/>
    <w:rsid w:val="001A252B"/>
    <w:pPr>
      <w:numPr>
        <w:numId w:val="24"/>
      </w:numPr>
    </w:pPr>
  </w:style>
  <w:style w:type="numbering" w:customStyle="1" w:styleId="LFO122">
    <w:name w:val="LFO12_2"/>
    <w:basedOn w:val="Bezzoznamu"/>
    <w:rsid w:val="001A252B"/>
    <w:pPr>
      <w:numPr>
        <w:numId w:val="25"/>
      </w:numPr>
    </w:pPr>
  </w:style>
  <w:style w:type="numbering" w:customStyle="1" w:styleId="LFO153">
    <w:name w:val="LFO15_3"/>
    <w:basedOn w:val="Bezzoznamu"/>
    <w:rsid w:val="001A252B"/>
    <w:pPr>
      <w:numPr>
        <w:numId w:val="26"/>
      </w:numPr>
    </w:pPr>
  </w:style>
  <w:style w:type="numbering" w:customStyle="1" w:styleId="LFO33">
    <w:name w:val="LFO33"/>
    <w:basedOn w:val="Bezzoznamu"/>
    <w:rsid w:val="001A252B"/>
    <w:pPr>
      <w:numPr>
        <w:numId w:val="27"/>
      </w:numPr>
    </w:pPr>
  </w:style>
  <w:style w:type="numbering" w:customStyle="1" w:styleId="LFO25">
    <w:name w:val="LFO25"/>
    <w:basedOn w:val="Bezzoznamu"/>
    <w:rsid w:val="001A252B"/>
    <w:pPr>
      <w:numPr>
        <w:numId w:val="28"/>
      </w:numPr>
    </w:pPr>
  </w:style>
  <w:style w:type="numbering" w:customStyle="1" w:styleId="LFO28">
    <w:name w:val="LFO28"/>
    <w:basedOn w:val="Bezzoznamu"/>
    <w:rsid w:val="001A252B"/>
    <w:pPr>
      <w:numPr>
        <w:numId w:val="29"/>
      </w:numPr>
    </w:pPr>
  </w:style>
  <w:style w:type="numbering" w:customStyle="1" w:styleId="LFO29">
    <w:name w:val="LFO29"/>
    <w:basedOn w:val="Bezzoznamu"/>
    <w:rsid w:val="001A252B"/>
    <w:pPr>
      <w:numPr>
        <w:numId w:val="30"/>
      </w:numPr>
    </w:pPr>
  </w:style>
  <w:style w:type="numbering" w:customStyle="1" w:styleId="LFO47">
    <w:name w:val="LFO47"/>
    <w:basedOn w:val="Bezzoznamu"/>
    <w:rsid w:val="001A252B"/>
    <w:pPr>
      <w:numPr>
        <w:numId w:val="31"/>
      </w:numPr>
    </w:pPr>
  </w:style>
  <w:style w:type="numbering" w:customStyle="1" w:styleId="LFO50">
    <w:name w:val="LFO50"/>
    <w:basedOn w:val="Bezzoznamu"/>
    <w:rsid w:val="001A252B"/>
    <w:pPr>
      <w:numPr>
        <w:numId w:val="32"/>
      </w:numPr>
    </w:pPr>
  </w:style>
  <w:style w:type="numbering" w:customStyle="1" w:styleId="LFO39">
    <w:name w:val="LFO39"/>
    <w:basedOn w:val="Bezzoznamu"/>
    <w:rsid w:val="001A252B"/>
    <w:pPr>
      <w:numPr>
        <w:numId w:val="33"/>
      </w:numPr>
    </w:pPr>
  </w:style>
  <w:style w:type="numbering" w:customStyle="1" w:styleId="LFO46">
    <w:name w:val="LFO46"/>
    <w:basedOn w:val="Bezzoznamu"/>
    <w:rsid w:val="001A252B"/>
    <w:pPr>
      <w:numPr>
        <w:numId w:val="34"/>
      </w:numPr>
    </w:pPr>
  </w:style>
  <w:style w:type="numbering" w:customStyle="1" w:styleId="LFO471">
    <w:name w:val="LFO47_1"/>
    <w:basedOn w:val="Bezzoznamu"/>
    <w:rsid w:val="001A252B"/>
    <w:pPr>
      <w:numPr>
        <w:numId w:val="35"/>
      </w:numPr>
    </w:pPr>
  </w:style>
  <w:style w:type="numbering" w:customStyle="1" w:styleId="LFO41">
    <w:name w:val="LFO41"/>
    <w:basedOn w:val="Bezzoznamu"/>
    <w:rsid w:val="001A252B"/>
    <w:pPr>
      <w:numPr>
        <w:numId w:val="36"/>
      </w:numPr>
    </w:pPr>
  </w:style>
  <w:style w:type="numbering" w:customStyle="1" w:styleId="LFO42">
    <w:name w:val="LFO42"/>
    <w:basedOn w:val="Bezzoznamu"/>
    <w:rsid w:val="001A252B"/>
    <w:pPr>
      <w:numPr>
        <w:numId w:val="37"/>
      </w:numPr>
    </w:pPr>
  </w:style>
  <w:style w:type="numbering" w:customStyle="1" w:styleId="LFO51">
    <w:name w:val="LFO51"/>
    <w:basedOn w:val="Bezzoznamu"/>
    <w:rsid w:val="001A252B"/>
    <w:pPr>
      <w:numPr>
        <w:numId w:val="38"/>
      </w:numPr>
    </w:pPr>
  </w:style>
  <w:style w:type="numbering" w:customStyle="1" w:styleId="LFO54">
    <w:name w:val="LFO54"/>
    <w:basedOn w:val="Bezzoznamu"/>
    <w:rsid w:val="001A252B"/>
    <w:pPr>
      <w:numPr>
        <w:numId w:val="39"/>
      </w:numPr>
    </w:pPr>
  </w:style>
  <w:style w:type="numbering" w:customStyle="1" w:styleId="LFO55">
    <w:name w:val="LFO55"/>
    <w:basedOn w:val="Bezzoznamu"/>
    <w:rsid w:val="001A252B"/>
    <w:pPr>
      <w:numPr>
        <w:numId w:val="40"/>
      </w:numPr>
    </w:pPr>
  </w:style>
  <w:style w:type="numbering" w:customStyle="1" w:styleId="LFO59">
    <w:name w:val="LFO59"/>
    <w:basedOn w:val="Bezzoznamu"/>
    <w:rsid w:val="001A252B"/>
    <w:pPr>
      <w:numPr>
        <w:numId w:val="41"/>
      </w:numPr>
    </w:pPr>
  </w:style>
  <w:style w:type="character" w:styleId="Siln">
    <w:name w:val="Strong"/>
    <w:basedOn w:val="Predvolenpsmoodseku"/>
    <w:uiPriority w:val="22"/>
    <w:qFormat/>
    <w:rsid w:val="001A252B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252B"/>
    <w:rPr>
      <w:color w:val="605E5C"/>
      <w:shd w:val="clear" w:color="auto" w:fill="E1DFDD"/>
    </w:rPr>
  </w:style>
  <w:style w:type="paragraph" w:styleId="Obsah4">
    <w:name w:val="toc 4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Obsah5">
    <w:name w:val="toc 5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Obsah6">
    <w:name w:val="toc 6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US"/>
    </w:rPr>
  </w:style>
  <w:style w:type="paragraph" w:customStyle="1" w:styleId="paragraph">
    <w:name w:val="paragraph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breaktextspan">
    <w:name w:val="pagebreaktextspan"/>
    <w:basedOn w:val="Predvolenpsmoodseku"/>
    <w:rsid w:val="001A252B"/>
  </w:style>
  <w:style w:type="table" w:styleId="Mriekatabuky">
    <w:name w:val="Table Grid"/>
    <w:basedOn w:val="Normlnatabuka"/>
    <w:uiPriority w:val="39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LFO75">
    <w:name w:val="LFO75"/>
    <w:basedOn w:val="Bezzoznamu"/>
    <w:rsid w:val="001A252B"/>
    <w:pPr>
      <w:numPr>
        <w:numId w:val="42"/>
      </w:numPr>
    </w:pPr>
  </w:style>
  <w:style w:type="paragraph" w:customStyle="1" w:styleId="Default">
    <w:name w:val="Default"/>
    <w:rsid w:val="001A252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25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252B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62455"/>
    <w:rPr>
      <w:color w:val="605E5C"/>
      <w:shd w:val="clear" w:color="auto" w:fill="E1DFDD"/>
    </w:rPr>
  </w:style>
  <w:style w:type="numbering" w:customStyle="1" w:styleId="WWOutlineListStyle43">
    <w:name w:val="WW_OutlineListStyle_43"/>
    <w:basedOn w:val="Bezzoznamu"/>
    <w:rsid w:val="00C62455"/>
    <w:pPr>
      <w:numPr>
        <w:numId w:val="43"/>
      </w:numPr>
    </w:pPr>
  </w:style>
  <w:style w:type="numbering" w:customStyle="1" w:styleId="WWOutlineListStyle281">
    <w:name w:val="WW_OutlineListStyle_281"/>
    <w:basedOn w:val="Bezzoznamu"/>
    <w:rsid w:val="00C62455"/>
    <w:pPr>
      <w:numPr>
        <w:numId w:val="44"/>
      </w:numPr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EF5382"/>
    <w:rPr>
      <w:color w:val="605E5C"/>
      <w:shd w:val="clear" w:color="auto" w:fill="E1DFDD"/>
    </w:rPr>
  </w:style>
  <w:style w:type="character" w:customStyle="1" w:styleId="OdsekzoznamuChar">
    <w:name w:val="Odsek zoznamu Char"/>
    <w:aliases w:val="necislovany zoznam Char"/>
    <w:link w:val="Odsekzoznamu"/>
    <w:uiPriority w:val="34"/>
    <w:locked/>
    <w:rsid w:val="00763E43"/>
    <w:rPr>
      <w:rFonts w:ascii="Arial" w:eastAsia="Arial" w:hAnsi="Arial" w:cs="Arial"/>
      <w:lang w:val="ca-ES"/>
    </w:rPr>
  </w:style>
  <w:style w:type="table" w:customStyle="1" w:styleId="TableGrid1">
    <w:name w:val="Table Grid1"/>
    <w:basedOn w:val="Normlnatabuka"/>
    <w:next w:val="Mriekatabuky"/>
    <w:uiPriority w:val="39"/>
    <w:rsid w:val="008128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YNormalChar">
    <w:name w:val="EY Normal Char"/>
    <w:basedOn w:val="Predvolenpsmoodseku"/>
    <w:link w:val="EYNormal"/>
    <w:locked/>
    <w:rsid w:val="00B62C5B"/>
    <w:rPr>
      <w:rFonts w:ascii="EYInterstate Light" w:hAnsi="EYInterstate Light"/>
      <w:kern w:val="12"/>
      <w:szCs w:val="24"/>
    </w:rPr>
  </w:style>
  <w:style w:type="paragraph" w:customStyle="1" w:styleId="EYNormal">
    <w:name w:val="EY Normal"/>
    <w:link w:val="EYNormalChar"/>
    <w:rsid w:val="00B62C5B"/>
    <w:pPr>
      <w:widowControl/>
      <w:autoSpaceDE/>
      <w:autoSpaceDN/>
    </w:pPr>
    <w:rPr>
      <w:rFonts w:ascii="EYInterstate Light" w:hAnsi="EYInterstate Light"/>
      <w:kern w:val="12"/>
      <w:szCs w:val="24"/>
    </w:rPr>
  </w:style>
  <w:style w:type="paragraph" w:customStyle="1" w:styleId="EYBulletedList1">
    <w:name w:val="EY Bulleted List 1"/>
    <w:qFormat/>
    <w:rsid w:val="00B62C5B"/>
    <w:pPr>
      <w:widowControl/>
      <w:autoSpaceDE/>
      <w:autoSpaceDN/>
    </w:pPr>
    <w:rPr>
      <w:rFonts w:ascii="EYInterstate Light" w:eastAsia="Times New Roman" w:hAnsi="EYInterstate Light" w:cs="Times New Roman"/>
      <w:kern w:val="12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05926"/>
    <w:rPr>
      <w:rFonts w:ascii="Times New Roman" w:eastAsia="Arial" w:hAnsi="Times New Roman" w:cs="Arial"/>
      <w:szCs w:val="18"/>
      <w:lang w:val="ca-ES"/>
    </w:rPr>
  </w:style>
  <w:style w:type="character" w:customStyle="1" w:styleId="NzovChar1">
    <w:name w:val="Názov Char1"/>
    <w:basedOn w:val="Predvolenpsmoodseku"/>
    <w:link w:val="Nzov"/>
    <w:uiPriority w:val="10"/>
    <w:rsid w:val="00105926"/>
    <w:rPr>
      <w:rFonts w:ascii="Carlito" w:eastAsia="Carlito" w:hAnsi="Carlito" w:cs="Carlito"/>
      <w:sz w:val="72"/>
      <w:szCs w:val="72"/>
      <w:lang w:val="ca-ES"/>
    </w:rPr>
  </w:style>
  <w:style w:type="paragraph" w:customStyle="1" w:styleId="EYBulletedList3">
    <w:name w:val="EY Bulleted List 3"/>
    <w:rsid w:val="00157F2E"/>
    <w:pPr>
      <w:widowControl/>
      <w:tabs>
        <w:tab w:val="num" w:pos="864"/>
      </w:tabs>
      <w:autoSpaceDE/>
      <w:autoSpaceDN/>
      <w:ind w:left="864" w:hanging="288"/>
    </w:pPr>
    <w:rPr>
      <w:rFonts w:ascii="EYInterstate Light" w:eastAsia="Times New Roman" w:hAnsi="EYInterstate Light" w:cs="Times New Roman"/>
      <w:kern w:val="12"/>
      <w:sz w:val="20"/>
      <w:szCs w:val="24"/>
    </w:rPr>
  </w:style>
  <w:style w:type="paragraph" w:customStyle="1" w:styleId="EYAppendix">
    <w:name w:val="EY Appendix"/>
    <w:basedOn w:val="EYNormal"/>
    <w:next w:val="Normlny"/>
    <w:rsid w:val="00B6278E"/>
    <w:pPr>
      <w:numPr>
        <w:numId w:val="46"/>
      </w:numPr>
      <w:spacing w:after="360"/>
      <w:outlineLvl w:val="0"/>
    </w:pPr>
    <w:rPr>
      <w:rFonts w:eastAsia="Times New Roman" w:cs="Times New Roman"/>
      <w:b/>
      <w:color w:val="7F7E82"/>
      <w:sz w:val="32"/>
    </w:rPr>
  </w:style>
  <w:style w:type="character" w:styleId="Zstupntext">
    <w:name w:val="Placeholder Text"/>
    <w:basedOn w:val="Predvolenpsmoodseku"/>
    <w:uiPriority w:val="99"/>
    <w:semiHidden/>
    <w:rsid w:val="00052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mirri.gov.sk/wp-content/uploads/2023/01/KB-K2_3-10-Metodika-na-v%C3%BDkon-anal%C3%BDzy-riz%C3%ADk-v1.1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178DD355C104BA56535BFC1DAA5C3" ma:contentTypeVersion="4" ma:contentTypeDescription="Create a new document." ma:contentTypeScope="" ma:versionID="44c31e6262d067932183dc18a0f99328">
  <xsd:schema xmlns:xsd="http://www.w3.org/2001/XMLSchema" xmlns:xs="http://www.w3.org/2001/XMLSchema" xmlns:p="http://schemas.microsoft.com/office/2006/metadata/properties" xmlns:ns2="8ca633ff-a0a7-4573-9b5e-011ca83f6ee4" xmlns:ns3="d2b3b716-4154-4bf5-9e97-026551f1bb86" targetNamespace="http://schemas.microsoft.com/office/2006/metadata/properties" ma:root="true" ma:fieldsID="e99bbc1490c8a1c64d22ff27c1d0e5c1" ns2:_="" ns3:_="">
    <xsd:import namespace="8ca633ff-a0a7-4573-9b5e-011ca83f6ee4"/>
    <xsd:import namespace="d2b3b716-4154-4bf5-9e97-026551f1b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33ff-a0a7-4573-9b5e-011ca83f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b716-4154-4bf5-9e97-026551f1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5341-85B3-4DB5-9E50-A671C15F2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24F31A-7726-4BF7-95FB-1C59C16C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633ff-a0a7-4573-9b5e-011ca83f6ee4"/>
    <ds:schemaRef ds:uri="d2b3b716-4154-4bf5-9e97-026551f1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F9933-8DB2-4DA2-B2F6-B5222086C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BB038-F1EA-4468-9FA5-D65DBCAC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2702</Words>
  <Characters>15405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2023-05-15T10:13:00Z</dcterms:created>
  <dcterms:modified xsi:type="dcterms:W3CDTF">2023-06-07T08:01:00Z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0x01010077C178DD355C104BA56535BFC1DAA5C3</vt:lpwstr>
  </property>
</Properties>
</file>