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9900C" w14:textId="534DB244" w:rsidR="00AF66C5" w:rsidRPr="00460979" w:rsidRDefault="004F0CF2" w:rsidP="00E1068A">
      <w:pPr>
        <w:pStyle w:val="IDRP"/>
        <w:spacing w:before="80"/>
        <w:ind w:left="709"/>
        <w:rPr>
          <w:bCs/>
          <w:noProof/>
          <w:sz w:val="22"/>
        </w:rPr>
      </w:pPr>
      <w:r w:rsidRPr="0046097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A19FF2" wp14:editId="76E638D1">
                <wp:simplePos x="0" y="0"/>
                <wp:positionH relativeFrom="column">
                  <wp:posOffset>-1062990</wp:posOffset>
                </wp:positionH>
                <wp:positionV relativeFrom="paragraph">
                  <wp:posOffset>1905</wp:posOffset>
                </wp:positionV>
                <wp:extent cx="1405720" cy="264795"/>
                <wp:effectExtent l="0" t="0" r="4445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20" cy="2647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954AC" w14:textId="13B5EF3B" w:rsidR="00F65032" w:rsidRPr="002F70EA" w:rsidRDefault="002F70EA" w:rsidP="00F428C2">
                            <w:pPr>
                              <w:ind w:left="284" w:right="-73"/>
                              <w:jc w:val="right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70EA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Analýza</w:t>
                            </w:r>
                            <w:r w:rsidR="00F65032" w:rsidRPr="002F70EA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E1068A" w:rsidRPr="002F70EA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F65032" w:rsidRPr="002F70EA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/2</w:t>
                            </w:r>
                            <w:r w:rsidR="00E1068A" w:rsidRPr="002F70EA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19F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83.7pt;margin-top:.15pt;width:110.7pt;height:2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" fillcolor="#cfcdcd [2894]" stroked="f" strokeweight=".5pt">
                <v:textbox>
                  <w:txbxContent>
                    <w:p w14:paraId="3E5954AC" w14:textId="13B5EF3B" w:rsidR="00F65032" w:rsidRPr="002F70EA" w:rsidRDefault="002F70EA" w:rsidP="00F428C2">
                      <w:pPr>
                        <w:ind w:left="284" w:right="-73"/>
                        <w:jc w:val="right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70EA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Analýza</w:t>
                      </w:r>
                      <w:r w:rsidR="00F65032" w:rsidRPr="002F70EA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E1068A" w:rsidRPr="002F70EA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F65032" w:rsidRPr="002F70EA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/2</w:t>
                      </w:r>
                      <w:r w:rsidR="00E1068A" w:rsidRPr="002F70EA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92CF9" w:rsidRPr="00460979">
        <w:rPr>
          <w:bCs/>
          <w:noProof/>
          <w:sz w:val="22"/>
        </w:rPr>
        <w:t>Autori: Marian Tihanyi</w:t>
      </w:r>
      <w:r w:rsidR="00C63108" w:rsidRPr="00460979">
        <w:rPr>
          <w:bCs/>
          <w:noProof/>
          <w:sz w:val="22"/>
        </w:rPr>
        <w:t>, Peter Vilim, Viktor Mráz</w:t>
      </w:r>
    </w:p>
    <w:p w14:paraId="079CBC72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57B147CC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23299AC9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0DC8A737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1F44446D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727776CE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1721EFE8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0EC24ACF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33B1FA17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5D3B39F9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6494DC16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5C1C4449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6AB277F7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38CB33E1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0A8F9C6E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713964D7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1040F551" w14:textId="77777777" w:rsidR="00370C83" w:rsidRPr="00460979" w:rsidRDefault="00370C83" w:rsidP="00513EB2">
      <w:pPr>
        <w:pStyle w:val="IDRP"/>
        <w:spacing w:after="0" w:line="276" w:lineRule="auto"/>
        <w:ind w:left="709"/>
        <w:rPr>
          <w:b/>
          <w:bCs/>
          <w:noProof/>
          <w:color w:val="0055A1"/>
          <w:sz w:val="28"/>
        </w:rPr>
      </w:pPr>
    </w:p>
    <w:p w14:paraId="2FB92537" w14:textId="77777777" w:rsidR="00703C92" w:rsidRPr="00460979" w:rsidRDefault="00703C92" w:rsidP="00703C92">
      <w:pPr>
        <w:pStyle w:val="IDRP"/>
        <w:spacing w:after="0" w:line="276" w:lineRule="auto"/>
        <w:ind w:left="709"/>
        <w:rPr>
          <w:b/>
          <w:bCs/>
          <w:noProof/>
          <w:color w:val="0055A1"/>
          <w:sz w:val="48"/>
          <w:szCs w:val="48"/>
        </w:rPr>
      </w:pPr>
      <w:r w:rsidRPr="00460979">
        <w:rPr>
          <w:b/>
          <w:bCs/>
          <w:noProof/>
          <w:color w:val="0055A1"/>
          <w:sz w:val="48"/>
          <w:szCs w:val="48"/>
        </w:rPr>
        <w:t>Nákup stolových PC a notebookov vo verejnej správe</w:t>
      </w:r>
    </w:p>
    <w:p w14:paraId="278328BE" w14:textId="6CD588AB" w:rsidR="00D8083D" w:rsidRPr="00460979" w:rsidRDefault="00703C92" w:rsidP="00703C92">
      <w:pPr>
        <w:pStyle w:val="IDRP"/>
        <w:spacing w:after="100" w:afterAutospacing="1" w:line="276" w:lineRule="auto"/>
        <w:ind w:left="709"/>
        <w:rPr>
          <w:noProof/>
        </w:rPr>
      </w:pPr>
      <w:r w:rsidRPr="00460979">
        <w:rPr>
          <w:noProof/>
        </w:rPr>
        <w:t>Dátová príloha k hodnoteniu cien hardvéru</w:t>
      </w:r>
    </w:p>
    <w:p w14:paraId="4BCB59E2" w14:textId="77777777" w:rsidR="00D8083D" w:rsidRPr="00460979" w:rsidRDefault="00D8083D" w:rsidP="00370C83">
      <w:pPr>
        <w:pStyle w:val="IDRP"/>
        <w:spacing w:after="100" w:afterAutospacing="1" w:line="276" w:lineRule="auto"/>
        <w:ind w:left="709"/>
        <w:rPr>
          <w:noProof/>
        </w:rPr>
      </w:pPr>
    </w:p>
    <w:p w14:paraId="73E81446" w14:textId="77777777" w:rsidR="00D8083D" w:rsidRPr="00460979" w:rsidRDefault="00D8083D" w:rsidP="00370C83">
      <w:pPr>
        <w:pStyle w:val="IDRP"/>
        <w:spacing w:after="100" w:afterAutospacing="1" w:line="276" w:lineRule="auto"/>
        <w:ind w:left="709"/>
        <w:rPr>
          <w:noProof/>
        </w:rPr>
      </w:pPr>
    </w:p>
    <w:p w14:paraId="3062D631" w14:textId="77777777" w:rsidR="00D8083D" w:rsidRPr="00460979" w:rsidRDefault="00D8083D" w:rsidP="00370C83">
      <w:pPr>
        <w:pStyle w:val="IDRP"/>
        <w:spacing w:after="100" w:afterAutospacing="1" w:line="276" w:lineRule="auto"/>
        <w:ind w:left="709"/>
        <w:rPr>
          <w:noProof/>
        </w:rPr>
      </w:pPr>
    </w:p>
    <w:p w14:paraId="0BFB0A90" w14:textId="77777777" w:rsidR="00D8083D" w:rsidRPr="00460979" w:rsidRDefault="00D8083D" w:rsidP="00370C83">
      <w:pPr>
        <w:pStyle w:val="IDRP"/>
        <w:spacing w:after="100" w:afterAutospacing="1" w:line="276" w:lineRule="auto"/>
        <w:ind w:left="709"/>
        <w:rPr>
          <w:noProof/>
        </w:rPr>
      </w:pPr>
    </w:p>
    <w:p w14:paraId="405B2AED" w14:textId="77777777" w:rsidR="00D8083D" w:rsidRPr="00460979" w:rsidRDefault="00D8083D" w:rsidP="00370C83">
      <w:pPr>
        <w:pStyle w:val="IDRP"/>
        <w:spacing w:after="100" w:afterAutospacing="1" w:line="276" w:lineRule="auto"/>
        <w:ind w:left="709"/>
        <w:rPr>
          <w:noProof/>
        </w:rPr>
      </w:pPr>
    </w:p>
    <w:p w14:paraId="571D953A" w14:textId="77777777" w:rsidR="00D8083D" w:rsidRPr="00460979" w:rsidRDefault="00D8083D" w:rsidP="00370C83">
      <w:pPr>
        <w:pStyle w:val="IDRP"/>
        <w:spacing w:after="100" w:afterAutospacing="1" w:line="276" w:lineRule="auto"/>
        <w:ind w:left="709"/>
        <w:rPr>
          <w:noProof/>
        </w:rPr>
      </w:pPr>
    </w:p>
    <w:p w14:paraId="0DD0AEC6" w14:textId="77777777" w:rsidR="00D8083D" w:rsidRPr="00460979" w:rsidRDefault="00D8083D" w:rsidP="00370C83">
      <w:pPr>
        <w:pStyle w:val="IDRP"/>
        <w:spacing w:after="100" w:afterAutospacing="1" w:line="276" w:lineRule="auto"/>
        <w:ind w:left="709"/>
        <w:rPr>
          <w:noProof/>
        </w:rPr>
      </w:pPr>
    </w:p>
    <w:p w14:paraId="022E02D3" w14:textId="77777777" w:rsidR="00D8083D" w:rsidRPr="00460979" w:rsidRDefault="00D8083D" w:rsidP="00370C83">
      <w:pPr>
        <w:pStyle w:val="IDRP"/>
        <w:spacing w:after="100" w:afterAutospacing="1" w:line="276" w:lineRule="auto"/>
        <w:ind w:left="709"/>
        <w:rPr>
          <w:noProof/>
        </w:rPr>
      </w:pPr>
    </w:p>
    <w:p w14:paraId="3C64104D" w14:textId="77777777" w:rsidR="00AA4EC7" w:rsidRPr="00460979" w:rsidRDefault="00D8083D" w:rsidP="00D8083D">
      <w:pPr>
        <w:pStyle w:val="IDRP"/>
        <w:spacing w:after="100" w:afterAutospacing="1" w:line="276" w:lineRule="auto"/>
        <w:ind w:left="709"/>
        <w:rPr>
          <w:noProof/>
        </w:rPr>
      </w:pPr>
      <w:r w:rsidRPr="00460979">
        <w:rPr>
          <w:noProof/>
        </w:rPr>
        <w:tab/>
      </w:r>
      <w:r w:rsidRPr="00460979">
        <w:rPr>
          <w:noProof/>
        </w:rPr>
        <w:tab/>
      </w:r>
      <w:r w:rsidRPr="00460979">
        <w:rPr>
          <w:noProof/>
        </w:rPr>
        <w:tab/>
      </w:r>
      <w:r w:rsidRPr="00460979">
        <w:rPr>
          <w:noProof/>
        </w:rPr>
        <w:tab/>
      </w:r>
      <w:r w:rsidRPr="00460979">
        <w:rPr>
          <w:noProof/>
        </w:rPr>
        <w:tab/>
      </w:r>
      <w:r w:rsidRPr="00460979">
        <w:rPr>
          <w:noProof/>
        </w:rPr>
        <w:tab/>
      </w:r>
      <w:r w:rsidRPr="00460979">
        <w:rPr>
          <w:noProof/>
        </w:rPr>
        <w:tab/>
      </w:r>
      <w:r w:rsidRPr="00460979">
        <w:rPr>
          <w:noProof/>
        </w:rPr>
        <w:tab/>
      </w:r>
      <w:r w:rsidRPr="00460979">
        <w:rPr>
          <w:noProof/>
        </w:rPr>
        <w:tab/>
        <w:t>December 2024</w:t>
      </w:r>
    </w:p>
    <w:p w14:paraId="0A1268EC" w14:textId="12DA865E" w:rsidR="000D740C" w:rsidRPr="00460979" w:rsidRDefault="000D740C" w:rsidP="000D740C">
      <w:pPr>
        <w:pStyle w:val="TOC1"/>
        <w:rPr>
          <w:color w:val="ED1C24"/>
        </w:rPr>
      </w:pPr>
      <w:r w:rsidRPr="00460979">
        <w:rPr>
          <w:color w:val="ED1C24"/>
        </w:rPr>
        <w:lastRenderedPageBreak/>
        <w:t>Obsah</w:t>
      </w:r>
    </w:p>
    <w:p w14:paraId="2BEAC91B" w14:textId="09690F95" w:rsidR="007C07D6" w:rsidRDefault="000D740C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noProof/>
          <w:kern w:val="2"/>
          <w:lang w:eastAsia="sk-SK"/>
          <w14:ligatures w14:val="standardContextual"/>
        </w:rPr>
      </w:pPr>
      <w:r w:rsidRPr="00460979">
        <w:fldChar w:fldCharType="begin"/>
      </w:r>
      <w:r w:rsidRPr="00460979">
        <w:instrText xml:space="preserve"> TOC \o "1-2" \h \z \u </w:instrText>
      </w:r>
      <w:r w:rsidRPr="00460979">
        <w:fldChar w:fldCharType="separate"/>
      </w:r>
      <w:hyperlink w:anchor="_Toc185521404" w:history="1">
        <w:r w:rsidR="007C07D6" w:rsidRPr="00912B67">
          <w:rPr>
            <w:rStyle w:val="Hyperlink"/>
            <w:noProof/>
          </w:rPr>
          <w:t>1</w:t>
        </w:r>
        <w:r w:rsidR="007C07D6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kern w:val="2"/>
            <w:lang w:eastAsia="sk-SK"/>
            <w14:ligatures w14:val="standardContextual"/>
          </w:rPr>
          <w:tab/>
        </w:r>
        <w:r w:rsidR="007C07D6" w:rsidRPr="00912B67">
          <w:rPr>
            <w:rStyle w:val="Hyperlink"/>
            <w:noProof/>
          </w:rPr>
          <w:t>Stolové počítače</w:t>
        </w:r>
        <w:r w:rsidR="007C07D6">
          <w:rPr>
            <w:noProof/>
            <w:webHidden/>
          </w:rPr>
          <w:tab/>
        </w:r>
        <w:r w:rsidR="007C07D6">
          <w:rPr>
            <w:noProof/>
            <w:webHidden/>
          </w:rPr>
          <w:fldChar w:fldCharType="begin"/>
        </w:r>
        <w:r w:rsidR="007C07D6">
          <w:rPr>
            <w:noProof/>
            <w:webHidden/>
          </w:rPr>
          <w:instrText xml:space="preserve"> PAGEREF _Toc185521404 \h </w:instrText>
        </w:r>
        <w:r w:rsidR="007C07D6">
          <w:rPr>
            <w:noProof/>
            <w:webHidden/>
          </w:rPr>
        </w:r>
        <w:r w:rsidR="007C07D6">
          <w:rPr>
            <w:noProof/>
            <w:webHidden/>
          </w:rPr>
          <w:fldChar w:fldCharType="separate"/>
        </w:r>
        <w:r w:rsidR="007C07D6">
          <w:rPr>
            <w:noProof/>
            <w:webHidden/>
          </w:rPr>
          <w:t>3</w:t>
        </w:r>
        <w:r w:rsidR="007C07D6">
          <w:rPr>
            <w:noProof/>
            <w:webHidden/>
          </w:rPr>
          <w:fldChar w:fldCharType="end"/>
        </w:r>
      </w:hyperlink>
    </w:p>
    <w:p w14:paraId="6931DC56" w14:textId="51379E4B" w:rsidR="007C07D6" w:rsidRDefault="00000000">
      <w:pPr>
        <w:pStyle w:val="TOC2"/>
        <w:tabs>
          <w:tab w:val="left" w:pos="1701"/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k-SK"/>
          <w14:ligatures w14:val="standardContextual"/>
        </w:rPr>
      </w:pPr>
      <w:hyperlink w:anchor="_Toc185521405" w:history="1">
        <w:r w:rsidR="007C07D6" w:rsidRPr="00912B67">
          <w:rPr>
            <w:rStyle w:val="Hyperlink"/>
            <w:noProof/>
          </w:rPr>
          <w:t>1.1</w:t>
        </w:r>
        <w:r w:rsidR="007C07D6"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:lang w:eastAsia="sk-SK"/>
            <w14:ligatures w14:val="standardContextual"/>
          </w:rPr>
          <w:tab/>
        </w:r>
        <w:r w:rsidR="007C07D6" w:rsidRPr="00912B67">
          <w:rPr>
            <w:rStyle w:val="Hyperlink"/>
            <w:noProof/>
          </w:rPr>
          <w:t>Stolové počítače – distribučné analýzy</w:t>
        </w:r>
        <w:r w:rsidR="007C07D6">
          <w:rPr>
            <w:noProof/>
            <w:webHidden/>
          </w:rPr>
          <w:tab/>
        </w:r>
        <w:r w:rsidR="007C07D6">
          <w:rPr>
            <w:noProof/>
            <w:webHidden/>
          </w:rPr>
          <w:fldChar w:fldCharType="begin"/>
        </w:r>
        <w:r w:rsidR="007C07D6">
          <w:rPr>
            <w:noProof/>
            <w:webHidden/>
          </w:rPr>
          <w:instrText xml:space="preserve"> PAGEREF _Toc185521405 \h </w:instrText>
        </w:r>
        <w:r w:rsidR="007C07D6">
          <w:rPr>
            <w:noProof/>
            <w:webHidden/>
          </w:rPr>
        </w:r>
        <w:r w:rsidR="007C07D6">
          <w:rPr>
            <w:noProof/>
            <w:webHidden/>
          </w:rPr>
          <w:fldChar w:fldCharType="separate"/>
        </w:r>
        <w:r w:rsidR="007C07D6">
          <w:rPr>
            <w:noProof/>
            <w:webHidden/>
          </w:rPr>
          <w:t>3</w:t>
        </w:r>
        <w:r w:rsidR="007C07D6">
          <w:rPr>
            <w:noProof/>
            <w:webHidden/>
          </w:rPr>
          <w:fldChar w:fldCharType="end"/>
        </w:r>
      </w:hyperlink>
    </w:p>
    <w:p w14:paraId="38DEACAE" w14:textId="40657A4E" w:rsidR="007C07D6" w:rsidRDefault="00000000">
      <w:pPr>
        <w:pStyle w:val="TOC2"/>
        <w:tabs>
          <w:tab w:val="left" w:pos="1701"/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k-SK"/>
          <w14:ligatures w14:val="standardContextual"/>
        </w:rPr>
      </w:pPr>
      <w:hyperlink w:anchor="_Toc185521406" w:history="1">
        <w:r w:rsidR="007C07D6" w:rsidRPr="00912B67">
          <w:rPr>
            <w:rStyle w:val="Hyperlink"/>
            <w:noProof/>
          </w:rPr>
          <w:t>1.2</w:t>
        </w:r>
        <w:r w:rsidR="007C07D6"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:lang w:eastAsia="sk-SK"/>
            <w14:ligatures w14:val="standardContextual"/>
          </w:rPr>
          <w:tab/>
        </w:r>
        <w:r w:rsidR="007C07D6" w:rsidRPr="00912B67">
          <w:rPr>
            <w:rStyle w:val="Hyperlink"/>
            <w:noProof/>
          </w:rPr>
          <w:t>Stolové počítače -  porovnanie priemerných cien po objednávateľoch s parametrami</w:t>
        </w:r>
        <w:r w:rsidR="007C07D6">
          <w:rPr>
            <w:noProof/>
            <w:webHidden/>
          </w:rPr>
          <w:tab/>
        </w:r>
        <w:r w:rsidR="007C07D6">
          <w:rPr>
            <w:noProof/>
            <w:webHidden/>
          </w:rPr>
          <w:fldChar w:fldCharType="begin"/>
        </w:r>
        <w:r w:rsidR="007C07D6">
          <w:rPr>
            <w:noProof/>
            <w:webHidden/>
          </w:rPr>
          <w:instrText xml:space="preserve"> PAGEREF _Toc185521406 \h </w:instrText>
        </w:r>
        <w:r w:rsidR="007C07D6">
          <w:rPr>
            <w:noProof/>
            <w:webHidden/>
          </w:rPr>
        </w:r>
        <w:r w:rsidR="007C07D6">
          <w:rPr>
            <w:noProof/>
            <w:webHidden/>
          </w:rPr>
          <w:fldChar w:fldCharType="separate"/>
        </w:r>
        <w:r w:rsidR="007C07D6">
          <w:rPr>
            <w:noProof/>
            <w:webHidden/>
          </w:rPr>
          <w:t>7</w:t>
        </w:r>
        <w:r w:rsidR="007C07D6">
          <w:rPr>
            <w:noProof/>
            <w:webHidden/>
          </w:rPr>
          <w:fldChar w:fldCharType="end"/>
        </w:r>
      </w:hyperlink>
    </w:p>
    <w:p w14:paraId="51935618" w14:textId="190A5295" w:rsidR="007C07D6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noProof/>
          <w:kern w:val="2"/>
          <w:lang w:eastAsia="sk-SK"/>
          <w14:ligatures w14:val="standardContextual"/>
        </w:rPr>
      </w:pPr>
      <w:hyperlink w:anchor="_Toc185521407" w:history="1">
        <w:r w:rsidR="007C07D6" w:rsidRPr="00912B67">
          <w:rPr>
            <w:rStyle w:val="Hyperlink"/>
            <w:noProof/>
          </w:rPr>
          <w:t>2</w:t>
        </w:r>
        <w:r w:rsidR="007C07D6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kern w:val="2"/>
            <w:lang w:eastAsia="sk-SK"/>
            <w14:ligatures w14:val="standardContextual"/>
          </w:rPr>
          <w:tab/>
        </w:r>
        <w:r w:rsidR="007C07D6" w:rsidRPr="00912B67">
          <w:rPr>
            <w:rStyle w:val="Hyperlink"/>
            <w:noProof/>
          </w:rPr>
          <w:t>Notebooky</w:t>
        </w:r>
        <w:r w:rsidR="007C07D6">
          <w:rPr>
            <w:noProof/>
            <w:webHidden/>
          </w:rPr>
          <w:tab/>
        </w:r>
        <w:r w:rsidR="007C07D6">
          <w:rPr>
            <w:noProof/>
            <w:webHidden/>
          </w:rPr>
          <w:fldChar w:fldCharType="begin"/>
        </w:r>
        <w:r w:rsidR="007C07D6">
          <w:rPr>
            <w:noProof/>
            <w:webHidden/>
          </w:rPr>
          <w:instrText xml:space="preserve"> PAGEREF _Toc185521407 \h </w:instrText>
        </w:r>
        <w:r w:rsidR="007C07D6">
          <w:rPr>
            <w:noProof/>
            <w:webHidden/>
          </w:rPr>
        </w:r>
        <w:r w:rsidR="007C07D6">
          <w:rPr>
            <w:noProof/>
            <w:webHidden/>
          </w:rPr>
          <w:fldChar w:fldCharType="separate"/>
        </w:r>
        <w:r w:rsidR="007C07D6">
          <w:rPr>
            <w:noProof/>
            <w:webHidden/>
          </w:rPr>
          <w:t>9</w:t>
        </w:r>
        <w:r w:rsidR="007C07D6">
          <w:rPr>
            <w:noProof/>
            <w:webHidden/>
          </w:rPr>
          <w:fldChar w:fldCharType="end"/>
        </w:r>
      </w:hyperlink>
    </w:p>
    <w:p w14:paraId="1C5AAA1E" w14:textId="20638F49" w:rsidR="007C07D6" w:rsidRDefault="00000000">
      <w:pPr>
        <w:pStyle w:val="TOC2"/>
        <w:tabs>
          <w:tab w:val="left" w:pos="1701"/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k-SK"/>
          <w14:ligatures w14:val="standardContextual"/>
        </w:rPr>
      </w:pPr>
      <w:hyperlink w:anchor="_Toc185521408" w:history="1">
        <w:r w:rsidR="007C07D6" w:rsidRPr="00912B67">
          <w:rPr>
            <w:rStyle w:val="Hyperlink"/>
            <w:noProof/>
          </w:rPr>
          <w:t>2.1</w:t>
        </w:r>
        <w:r w:rsidR="007C07D6"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:lang w:eastAsia="sk-SK"/>
            <w14:ligatures w14:val="standardContextual"/>
          </w:rPr>
          <w:tab/>
        </w:r>
        <w:r w:rsidR="007C07D6" w:rsidRPr="00912B67">
          <w:rPr>
            <w:rStyle w:val="Hyperlink"/>
            <w:noProof/>
          </w:rPr>
          <w:t>Notebooky – distribučné analýzy</w:t>
        </w:r>
        <w:r w:rsidR="007C07D6">
          <w:rPr>
            <w:noProof/>
            <w:webHidden/>
          </w:rPr>
          <w:tab/>
        </w:r>
        <w:r w:rsidR="007C07D6">
          <w:rPr>
            <w:noProof/>
            <w:webHidden/>
          </w:rPr>
          <w:fldChar w:fldCharType="begin"/>
        </w:r>
        <w:r w:rsidR="007C07D6">
          <w:rPr>
            <w:noProof/>
            <w:webHidden/>
          </w:rPr>
          <w:instrText xml:space="preserve"> PAGEREF _Toc185521408 \h </w:instrText>
        </w:r>
        <w:r w:rsidR="007C07D6">
          <w:rPr>
            <w:noProof/>
            <w:webHidden/>
          </w:rPr>
        </w:r>
        <w:r w:rsidR="007C07D6">
          <w:rPr>
            <w:noProof/>
            <w:webHidden/>
          </w:rPr>
          <w:fldChar w:fldCharType="separate"/>
        </w:r>
        <w:r w:rsidR="007C07D6">
          <w:rPr>
            <w:noProof/>
            <w:webHidden/>
          </w:rPr>
          <w:t>9</w:t>
        </w:r>
        <w:r w:rsidR="007C07D6">
          <w:rPr>
            <w:noProof/>
            <w:webHidden/>
          </w:rPr>
          <w:fldChar w:fldCharType="end"/>
        </w:r>
      </w:hyperlink>
    </w:p>
    <w:p w14:paraId="5D3CFABE" w14:textId="1454EAD7" w:rsidR="007C07D6" w:rsidRDefault="00000000">
      <w:pPr>
        <w:pStyle w:val="TOC2"/>
        <w:tabs>
          <w:tab w:val="left" w:pos="1701"/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k-SK"/>
          <w14:ligatures w14:val="standardContextual"/>
        </w:rPr>
      </w:pPr>
      <w:hyperlink w:anchor="_Toc185521409" w:history="1">
        <w:r w:rsidR="007C07D6" w:rsidRPr="00912B67">
          <w:rPr>
            <w:rStyle w:val="Hyperlink"/>
            <w:noProof/>
          </w:rPr>
          <w:t>2.2</w:t>
        </w:r>
        <w:r w:rsidR="007C07D6"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szCs w:val="24"/>
            <w:lang w:eastAsia="sk-SK"/>
            <w14:ligatures w14:val="standardContextual"/>
          </w:rPr>
          <w:tab/>
        </w:r>
        <w:r w:rsidR="007C07D6" w:rsidRPr="00912B67">
          <w:rPr>
            <w:rStyle w:val="Hyperlink"/>
            <w:noProof/>
          </w:rPr>
          <w:t>Notebooky -  porovnanie priemerných cien po objednávateľoch s parametrami</w:t>
        </w:r>
        <w:r w:rsidR="007C07D6">
          <w:rPr>
            <w:noProof/>
            <w:webHidden/>
          </w:rPr>
          <w:tab/>
        </w:r>
        <w:r w:rsidR="007C07D6">
          <w:rPr>
            <w:noProof/>
            <w:webHidden/>
          </w:rPr>
          <w:fldChar w:fldCharType="begin"/>
        </w:r>
        <w:r w:rsidR="007C07D6">
          <w:rPr>
            <w:noProof/>
            <w:webHidden/>
          </w:rPr>
          <w:instrText xml:space="preserve"> PAGEREF _Toc185521409 \h </w:instrText>
        </w:r>
        <w:r w:rsidR="007C07D6">
          <w:rPr>
            <w:noProof/>
            <w:webHidden/>
          </w:rPr>
        </w:r>
        <w:r w:rsidR="007C07D6">
          <w:rPr>
            <w:noProof/>
            <w:webHidden/>
          </w:rPr>
          <w:fldChar w:fldCharType="separate"/>
        </w:r>
        <w:r w:rsidR="007C07D6">
          <w:rPr>
            <w:noProof/>
            <w:webHidden/>
          </w:rPr>
          <w:t>13</w:t>
        </w:r>
        <w:r w:rsidR="007C07D6">
          <w:rPr>
            <w:noProof/>
            <w:webHidden/>
          </w:rPr>
          <w:fldChar w:fldCharType="end"/>
        </w:r>
      </w:hyperlink>
    </w:p>
    <w:p w14:paraId="06F40B8A" w14:textId="076C2D8F" w:rsidR="00AA4EC7" w:rsidRPr="00460979" w:rsidRDefault="000D740C" w:rsidP="007805D0">
      <w:pPr>
        <w:pStyle w:val="TOC1"/>
      </w:pPr>
      <w:r w:rsidRPr="00460979">
        <w:rPr>
          <w:b w:val="0"/>
          <w:bCs w:val="0"/>
          <w:iCs w:val="0"/>
        </w:rPr>
        <w:fldChar w:fldCharType="end"/>
      </w:r>
    </w:p>
    <w:p w14:paraId="02511299" w14:textId="745ACEE3" w:rsidR="00CF62C3" w:rsidRPr="00460979" w:rsidRDefault="00CF62C3">
      <w:pPr>
        <w:ind w:left="0"/>
        <w:jc w:val="left"/>
        <w:rPr>
          <w:noProof/>
          <w:sz w:val="24"/>
        </w:rPr>
      </w:pPr>
    </w:p>
    <w:p w14:paraId="2B90A9D0" w14:textId="671038AA" w:rsidR="00E469B9" w:rsidRPr="00460979" w:rsidRDefault="00E469B9" w:rsidP="00E469B9">
      <w:pPr>
        <w:pStyle w:val="TableofFigures"/>
        <w:tabs>
          <w:tab w:val="left" w:pos="1701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k-SK"/>
          <w14:ligatures w14:val="standardContextual"/>
        </w:rPr>
      </w:pPr>
      <w:r w:rsidRPr="00460979">
        <w:rPr>
          <w:noProof/>
        </w:rPr>
        <w:fldChar w:fldCharType="begin"/>
      </w:r>
      <w:r w:rsidRPr="00460979">
        <w:rPr>
          <w:noProof/>
        </w:rPr>
        <w:instrText xml:space="preserve"> TOC \h \z \t "Graf" \c </w:instrText>
      </w:r>
      <w:r w:rsidRPr="00460979">
        <w:rPr>
          <w:noProof/>
        </w:rPr>
        <w:fldChar w:fldCharType="separate"/>
      </w:r>
    </w:p>
    <w:p w14:paraId="1C8E4E20" w14:textId="0EA6FA0A" w:rsidR="00E469B9" w:rsidRPr="00460979" w:rsidRDefault="00E469B9">
      <w:pPr>
        <w:pStyle w:val="TableofFigures"/>
        <w:tabs>
          <w:tab w:val="left" w:pos="1701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k-SK"/>
          <w14:ligatures w14:val="standardContextual"/>
        </w:rPr>
      </w:pPr>
    </w:p>
    <w:p w14:paraId="6030DFE4" w14:textId="1A57D34E" w:rsidR="004E6548" w:rsidRPr="00460979" w:rsidRDefault="00E469B9" w:rsidP="004E6548">
      <w:pPr>
        <w:pStyle w:val="TableofFigures"/>
        <w:tabs>
          <w:tab w:val="left" w:pos="1701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k-SK"/>
          <w14:ligatures w14:val="standardContextual"/>
        </w:rPr>
      </w:pPr>
      <w:r w:rsidRPr="00460979">
        <w:rPr>
          <w:noProof/>
        </w:rPr>
        <w:fldChar w:fldCharType="end"/>
      </w:r>
      <w:r w:rsidR="004E6548" w:rsidRPr="00460979">
        <w:rPr>
          <w:noProof/>
        </w:rPr>
        <w:fldChar w:fldCharType="begin"/>
      </w:r>
      <w:r w:rsidR="004E6548" w:rsidRPr="00460979">
        <w:rPr>
          <w:noProof/>
        </w:rPr>
        <w:instrText xml:space="preserve"> TOC \h \z \t "Graf" \c </w:instrText>
      </w:r>
      <w:r w:rsidR="004E6548" w:rsidRPr="00460979">
        <w:rPr>
          <w:noProof/>
        </w:rPr>
        <w:fldChar w:fldCharType="separate"/>
      </w:r>
    </w:p>
    <w:p w14:paraId="19B4ED5B" w14:textId="4E0A1860" w:rsidR="004E6548" w:rsidRPr="00460979" w:rsidRDefault="004E6548" w:rsidP="00AA4EC7">
      <w:pPr>
        <w:pStyle w:val="IDRP"/>
        <w:rPr>
          <w:noProof/>
        </w:rPr>
      </w:pPr>
      <w:r w:rsidRPr="00460979">
        <w:rPr>
          <w:noProof/>
        </w:rPr>
        <w:fldChar w:fldCharType="end"/>
      </w:r>
    </w:p>
    <w:p w14:paraId="53AF4E84" w14:textId="248737A3" w:rsidR="004E6548" w:rsidRPr="00460979" w:rsidRDefault="004E6548">
      <w:pPr>
        <w:ind w:left="0"/>
        <w:jc w:val="left"/>
        <w:rPr>
          <w:noProof/>
          <w:sz w:val="24"/>
        </w:rPr>
      </w:pPr>
      <w:r w:rsidRPr="00460979">
        <w:rPr>
          <w:noProof/>
        </w:rPr>
        <w:br w:type="page"/>
      </w:r>
    </w:p>
    <w:p w14:paraId="5E3BD02E" w14:textId="030A2C39" w:rsidR="00003BB6" w:rsidRPr="00460979" w:rsidRDefault="00460979" w:rsidP="00E469B9">
      <w:pPr>
        <w:pStyle w:val="Heading1"/>
        <w:numPr>
          <w:ilvl w:val="0"/>
          <w:numId w:val="18"/>
        </w:numPr>
        <w:ind w:left="1134"/>
        <w:rPr>
          <w:noProof/>
        </w:rPr>
      </w:pPr>
      <w:bookmarkStart w:id="0" w:name="_Toc185521404"/>
      <w:r w:rsidRPr="00460979">
        <w:rPr>
          <w:noProof/>
        </w:rPr>
        <w:lastRenderedPageBreak/>
        <w:t>Stolové počítače</w:t>
      </w:r>
      <w:bookmarkEnd w:id="0"/>
    </w:p>
    <w:p w14:paraId="0A48EEF1" w14:textId="7FCE1996" w:rsidR="00460979" w:rsidRPr="00460979" w:rsidRDefault="00460979" w:rsidP="00897C8B">
      <w:pPr>
        <w:rPr>
          <w:bCs/>
        </w:rPr>
      </w:pPr>
      <w:r w:rsidRPr="00460979">
        <w:rPr>
          <w:bCs/>
        </w:rPr>
        <w:t>Parametre stolových počítačov v spracovanom súbore údajov majú nasledovné rozsahy:</w:t>
      </w:r>
    </w:p>
    <w:p w14:paraId="6387502C" w14:textId="0D4D0E33" w:rsidR="00460979" w:rsidRDefault="00460979" w:rsidP="00460979">
      <w:pPr>
        <w:pStyle w:val="ListParagraph"/>
        <w:numPr>
          <w:ilvl w:val="0"/>
          <w:numId w:val="19"/>
        </w:numPr>
        <w:rPr>
          <w:bCs/>
          <w:lang w:val="sk-SK"/>
        </w:rPr>
      </w:pPr>
      <w:proofErr w:type="spellStart"/>
      <w:r w:rsidRPr="00460979">
        <w:rPr>
          <w:bCs/>
          <w:lang w:val="sk-SK"/>
        </w:rPr>
        <w:t>Passmark</w:t>
      </w:r>
      <w:proofErr w:type="spellEnd"/>
      <w:r w:rsidRPr="00460979">
        <w:rPr>
          <w:bCs/>
          <w:lang w:val="sk-SK"/>
        </w:rPr>
        <w:t xml:space="preserve"> procesora od </w:t>
      </w:r>
      <w:r>
        <w:rPr>
          <w:bCs/>
          <w:lang w:val="sk-SK"/>
        </w:rPr>
        <w:t>3 040 do 63 043 bodov</w:t>
      </w:r>
    </w:p>
    <w:p w14:paraId="3F3F980D" w14:textId="5F1DB8BE" w:rsidR="00460979" w:rsidRDefault="00460979" w:rsidP="00460979">
      <w:pPr>
        <w:pStyle w:val="ListParagraph"/>
        <w:numPr>
          <w:ilvl w:val="0"/>
          <w:numId w:val="19"/>
        </w:numPr>
        <w:rPr>
          <w:bCs/>
          <w:lang w:val="sk-SK"/>
        </w:rPr>
      </w:pPr>
      <w:r>
        <w:rPr>
          <w:bCs/>
          <w:lang w:val="sk-SK"/>
        </w:rPr>
        <w:t>Kapacita nainštalovanej pamäte RAM od 4 GB do 128 GB</w:t>
      </w:r>
    </w:p>
    <w:p w14:paraId="58E6FCCE" w14:textId="75474B80" w:rsidR="00460979" w:rsidRDefault="00460979" w:rsidP="00460979">
      <w:pPr>
        <w:pStyle w:val="ListParagraph"/>
        <w:numPr>
          <w:ilvl w:val="0"/>
          <w:numId w:val="19"/>
        </w:numPr>
        <w:rPr>
          <w:bCs/>
          <w:lang w:val="sk-SK"/>
        </w:rPr>
      </w:pPr>
      <w:r>
        <w:rPr>
          <w:bCs/>
          <w:lang w:val="sk-SK"/>
        </w:rPr>
        <w:t>Celková kapacita diskov od 32 GB do 41 472 GB</w:t>
      </w:r>
    </w:p>
    <w:p w14:paraId="6813EF00" w14:textId="0D80F522" w:rsidR="00460979" w:rsidRDefault="00460979" w:rsidP="00460979">
      <w:pPr>
        <w:pStyle w:val="ListParagraph"/>
        <w:numPr>
          <w:ilvl w:val="0"/>
          <w:numId w:val="19"/>
        </w:numPr>
        <w:rPr>
          <w:bCs/>
          <w:lang w:val="sk-SK"/>
        </w:rPr>
      </w:pPr>
      <w:r>
        <w:rPr>
          <w:bCs/>
          <w:lang w:val="sk-SK"/>
        </w:rPr>
        <w:t>Technológia diskov: SSD, HDD a ich kombinácia</w:t>
      </w:r>
    </w:p>
    <w:p w14:paraId="2F8A8B51" w14:textId="7764CE95" w:rsidR="00460979" w:rsidRDefault="00460979" w:rsidP="00460979">
      <w:pPr>
        <w:pStyle w:val="ListParagraph"/>
        <w:numPr>
          <w:ilvl w:val="0"/>
          <w:numId w:val="19"/>
        </w:numPr>
        <w:rPr>
          <w:bCs/>
          <w:lang w:val="sk-SK"/>
        </w:rPr>
      </w:pPr>
      <w:r>
        <w:rPr>
          <w:bCs/>
          <w:lang w:val="sk-SK"/>
        </w:rPr>
        <w:t xml:space="preserve">Grafická karta: zdieľaná </w:t>
      </w:r>
      <w:proofErr w:type="spellStart"/>
      <w:r>
        <w:rPr>
          <w:bCs/>
          <w:lang w:val="sk-SK"/>
        </w:rPr>
        <w:t>vs</w:t>
      </w:r>
      <w:proofErr w:type="spellEnd"/>
      <w:r>
        <w:rPr>
          <w:bCs/>
          <w:lang w:val="sk-SK"/>
        </w:rPr>
        <w:t>. dedikovaná</w:t>
      </w:r>
    </w:p>
    <w:p w14:paraId="12C243B2" w14:textId="5A316A78" w:rsidR="00460979" w:rsidRDefault="00460979" w:rsidP="00460979">
      <w:pPr>
        <w:rPr>
          <w:bCs/>
        </w:rPr>
      </w:pPr>
      <w:r>
        <w:rPr>
          <w:bCs/>
        </w:rPr>
        <w:t xml:space="preserve">Celková priemerná cena stolových PC v hodnotenom súbore údajov predstavuje </w:t>
      </w:r>
      <w:r w:rsidRPr="00460979">
        <w:rPr>
          <w:b/>
        </w:rPr>
        <w:t>1 355 eur</w:t>
      </w:r>
      <w:r>
        <w:rPr>
          <w:rStyle w:val="FootnoteReference"/>
          <w:bCs/>
        </w:rPr>
        <w:footnoteReference w:id="1"/>
      </w:r>
      <w:r>
        <w:rPr>
          <w:bCs/>
        </w:rPr>
        <w:t>.</w:t>
      </w:r>
    </w:p>
    <w:p w14:paraId="6AC95152" w14:textId="5017E1DA" w:rsidR="00460979" w:rsidRDefault="00460979" w:rsidP="00460979">
      <w:pPr>
        <w:pStyle w:val="Tabulka"/>
        <w:ind w:left="1843" w:hanging="1134"/>
      </w:pPr>
      <w:r>
        <w:t>Štatistické hodnoty cien stolových PC podľa rôznych konfigurácií nainštalovanej RAM a celkovej diskovej kapacity</w:t>
      </w:r>
    </w:p>
    <w:tbl>
      <w:tblPr>
        <w:tblW w:w="0" w:type="auto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1634"/>
        <w:gridCol w:w="843"/>
        <w:gridCol w:w="843"/>
        <w:gridCol w:w="843"/>
        <w:gridCol w:w="843"/>
      </w:tblGrid>
      <w:tr w:rsidR="00460979" w:rsidRPr="00460979" w14:paraId="51D20A49" w14:textId="77777777" w:rsidTr="003467BC"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1A8C8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RAM [GB]/Disk [GB]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8E3D15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 pozorovaní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3C40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3334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FE19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9EE55E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</w:tr>
      <w:tr w:rsidR="00460979" w:rsidRPr="00460979" w14:paraId="08D73774" w14:textId="77777777" w:rsidTr="003467BC"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E162C6" w14:textId="77777777" w:rsidR="00460979" w:rsidRPr="00460979" w:rsidRDefault="00460979" w:rsidP="0046097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96E7A6" w14:textId="77777777" w:rsidR="00460979" w:rsidRPr="00460979" w:rsidRDefault="00460979" w:rsidP="00460979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19B1B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83671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D92DF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785EB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460979" w:rsidRPr="00460979" w14:paraId="6CF498AA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18DC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4/500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80D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BEE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798,50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74FE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FC4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802,50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1F1EF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800,67</w:t>
            </w:r>
          </w:p>
        </w:tc>
      </w:tr>
      <w:tr w:rsidR="00460979" w:rsidRPr="00460979" w14:paraId="27DBB4E0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99E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4/1024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45B4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DDF0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414,38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07F9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451,25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8F63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488,13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7677B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451,25</w:t>
            </w:r>
          </w:p>
        </w:tc>
      </w:tr>
      <w:tr w:rsidR="00460979" w:rsidRPr="00460979" w14:paraId="7ADD41A4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B67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8/256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AD55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5A24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618,95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DCC3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736,48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FBD5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990,91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55EFC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792,19</w:t>
            </w:r>
          </w:p>
        </w:tc>
      </w:tr>
      <w:tr w:rsidR="00460979" w:rsidRPr="00460979" w14:paraId="38042B63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D4C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8/500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44E1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5563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514,67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9526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669,50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B902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FF5247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615,17</w:t>
            </w:r>
          </w:p>
        </w:tc>
      </w:tr>
      <w:tr w:rsidR="00460979" w:rsidRPr="00460979" w14:paraId="7D4F63AE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344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8/512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744A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1553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655,14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CDD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856,58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B642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1 109,50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CACD6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929,36</w:t>
            </w:r>
          </w:p>
        </w:tc>
      </w:tr>
      <w:tr w:rsidR="00460979" w:rsidRPr="00460979" w14:paraId="1EFA85BD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1786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8/1024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5FB3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1EB6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401,28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E6F0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482,55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4F3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563,83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30F382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482,55</w:t>
            </w:r>
          </w:p>
        </w:tc>
      </w:tr>
      <w:tr w:rsidR="00460979" w:rsidRPr="00460979" w14:paraId="1BE8EEB8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7064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16/256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5FCF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3382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1 027,08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DB9E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1 122,78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0AA0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1 579,77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C767E1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1 277,46</w:t>
            </w:r>
          </w:p>
        </w:tc>
      </w:tr>
      <w:tr w:rsidR="00460979" w:rsidRPr="00460979" w14:paraId="49AA9AC6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C35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16/512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9B4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D4FB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829,17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6C44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1 298,16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2054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1 524,62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B1161F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1 552,32</w:t>
            </w:r>
          </w:p>
        </w:tc>
      </w:tr>
      <w:tr w:rsidR="00460979" w:rsidRPr="00460979" w14:paraId="54C6F416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CE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16/1024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C4F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0D67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858,22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0D0C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976,78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5D06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1 052,01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B99CF2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963,39</w:t>
            </w:r>
          </w:p>
        </w:tc>
      </w:tr>
      <w:tr w:rsidR="00460979" w:rsidRPr="00460979" w14:paraId="26DB9D88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D9B7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16/1280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26A2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F715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1 485,83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BF7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1 660,00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F69A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2 806,60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D343C4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2 175,29</w:t>
            </w:r>
          </w:p>
        </w:tc>
      </w:tr>
      <w:tr w:rsidR="00460979" w:rsidRPr="00460979" w14:paraId="5AEBF977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3063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32/512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38D5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0850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2 190,50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C318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2 889,67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6E59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3 694,08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9B2520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2 994,92</w:t>
            </w:r>
          </w:p>
        </w:tc>
      </w:tr>
      <w:tr w:rsidR="00460979" w:rsidRPr="00460979" w14:paraId="412851B0" w14:textId="77777777" w:rsidTr="003467B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36F4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32/4608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0315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31AB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2 293,61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3C51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2 346,31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EF67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3 898,66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B7258C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color w:val="000000"/>
                <w:lang w:eastAsia="sk-SK"/>
              </w:rPr>
              <w:t>3 346,07</w:t>
            </w:r>
          </w:p>
        </w:tc>
      </w:tr>
      <w:tr w:rsidR="00460979" w:rsidRPr="00460979" w14:paraId="7C52B6AD" w14:textId="77777777" w:rsidTr="003467BC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B93" w14:textId="77777777" w:rsid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460979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 xml:space="preserve">Ostatné do </w:t>
            </w:r>
            <w:proofErr w:type="spellStart"/>
            <w:r w:rsidRPr="00460979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celk</w:t>
            </w:r>
            <w:proofErr w:type="spellEnd"/>
            <w:r w:rsidRPr="00460979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. počtu</w:t>
            </w:r>
          </w:p>
          <w:p w14:paraId="42D2A102" w14:textId="5412188C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460979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(mimo nastavený filter)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9BE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460979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59089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460979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689,17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D5E1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460979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7C0D3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460979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3 220,06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3F51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460979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2 578,30</w:t>
            </w:r>
          </w:p>
        </w:tc>
      </w:tr>
      <w:tr w:rsidR="00460979" w:rsidRPr="00460979" w14:paraId="3B78DB31" w14:textId="77777777" w:rsidTr="003467BC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BD8C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96F4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C21D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644,91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CA92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964,40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1C6E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1 452,68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2E7630" w14:textId="77777777" w:rsidR="00460979" w:rsidRPr="00460979" w:rsidRDefault="00460979" w:rsidP="0046097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60979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1 355,29</w:t>
            </w:r>
          </w:p>
        </w:tc>
      </w:tr>
    </w:tbl>
    <w:p w14:paraId="6EEC6523" w14:textId="45B729B8" w:rsidR="00BB7165" w:rsidRPr="00BB7165" w:rsidRDefault="00BB7165" w:rsidP="00BB7165">
      <w:pPr>
        <w:pStyle w:val="IDRP"/>
        <w:spacing w:before="120"/>
        <w:ind w:left="709"/>
        <w:jc w:val="right"/>
        <w:rPr>
          <w:i/>
          <w:iCs/>
        </w:rPr>
      </w:pPr>
      <w:r w:rsidRPr="00BB7165">
        <w:rPr>
          <w:i/>
          <w:iCs/>
        </w:rPr>
        <w:t>Zdroj: Centrálny register zmlúv, spracovanie: IDRP MIRRI SR</w:t>
      </w:r>
    </w:p>
    <w:p w14:paraId="11D4391F" w14:textId="0FA2ADA6" w:rsidR="004820A6" w:rsidRDefault="004820A6" w:rsidP="004820A6">
      <w:pPr>
        <w:pStyle w:val="Heading2"/>
      </w:pPr>
      <w:bookmarkStart w:id="1" w:name="_Toc185521405"/>
      <w:r>
        <w:t>Stolové počítače – distribučné analýzy</w:t>
      </w:r>
      <w:bookmarkEnd w:id="1"/>
    </w:p>
    <w:p w14:paraId="20B6337C" w14:textId="2A04B659" w:rsidR="00C84112" w:rsidRDefault="00460979" w:rsidP="00460979">
      <w:pPr>
        <w:spacing w:before="160"/>
        <w:ind w:left="709"/>
        <w:rPr>
          <w:lang w:eastAsia="en-GB"/>
        </w:rPr>
      </w:pPr>
      <w:r>
        <w:rPr>
          <w:lang w:eastAsia="en-GB"/>
        </w:rPr>
        <w:t xml:space="preserve">Distribúcia počtu pozorovaní, počtu nakúpených kusov a cien podľa hodnoty </w:t>
      </w:r>
      <w:proofErr w:type="spellStart"/>
      <w:r>
        <w:rPr>
          <w:lang w:eastAsia="en-GB"/>
        </w:rPr>
        <w:t>Passmark</w:t>
      </w:r>
      <w:proofErr w:type="spellEnd"/>
      <w:r>
        <w:rPr>
          <w:lang w:eastAsia="en-GB"/>
        </w:rPr>
        <w:t xml:space="preserve"> procesora </w:t>
      </w:r>
      <w:r w:rsidR="00C84112">
        <w:rPr>
          <w:lang w:eastAsia="en-GB"/>
        </w:rPr>
        <w:t xml:space="preserve">ukazuje, že najviac pozorovaní je v intervaloch od 7 250 do 9 500 bodov, ďalej od 9 500 do 12 000 bodov a potom zas v rozsahu od 14 500 do 16 000 bodov. Toto </w:t>
      </w:r>
      <w:proofErr w:type="spellStart"/>
      <w:r w:rsidR="00C84112">
        <w:rPr>
          <w:lang w:eastAsia="en-GB"/>
        </w:rPr>
        <w:t>nekoreluje</w:t>
      </w:r>
      <w:proofErr w:type="spellEnd"/>
      <w:r w:rsidR="00C84112">
        <w:rPr>
          <w:lang w:eastAsia="en-GB"/>
        </w:rPr>
        <w:t xml:space="preserve"> s distribúciou celkového počtu nakúpených kusov, nakoľko najviac kusov je v kategórii od 5 000 do 7 250 bodov. Znamená to, že najviac kusov sa nakúpilo v rámci malého počtu zmlúv a išlo o identické konfigurácie.</w:t>
      </w:r>
    </w:p>
    <w:p w14:paraId="4E36777C" w14:textId="77777777" w:rsidR="00C84112" w:rsidRDefault="00C84112">
      <w:pPr>
        <w:ind w:left="0"/>
        <w:jc w:val="left"/>
        <w:rPr>
          <w:lang w:eastAsia="en-GB"/>
        </w:rPr>
      </w:pPr>
      <w:r>
        <w:rPr>
          <w:lang w:eastAsia="en-GB"/>
        </w:rPr>
        <w:br w:type="page"/>
      </w:r>
    </w:p>
    <w:p w14:paraId="0EA6D3BC" w14:textId="1AC9B4CE" w:rsidR="00C84112" w:rsidRDefault="00C84112" w:rsidP="00C84112">
      <w:pPr>
        <w:pStyle w:val="Tabulka"/>
        <w:ind w:left="1843" w:hanging="1143"/>
      </w:pPr>
      <w:r>
        <w:lastRenderedPageBreak/>
        <w:t xml:space="preserve">Distribučná analýza nákupu stolových počítačov podľa hodnoty </w:t>
      </w:r>
      <w:proofErr w:type="spellStart"/>
      <w:r>
        <w:t>Passmark</w:t>
      </w:r>
      <w:proofErr w:type="spellEnd"/>
      <w:r>
        <w:t xml:space="preserve"> procesora</w:t>
      </w:r>
    </w:p>
    <w:tbl>
      <w:tblPr>
        <w:tblW w:w="9026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3"/>
        <w:gridCol w:w="1015"/>
        <w:gridCol w:w="779"/>
        <w:gridCol w:w="779"/>
        <w:gridCol w:w="779"/>
        <w:gridCol w:w="779"/>
        <w:gridCol w:w="988"/>
        <w:gridCol w:w="1034"/>
      </w:tblGrid>
      <w:tr w:rsidR="00C84112" w:rsidRPr="00C84112" w14:paraId="664126D7" w14:textId="77777777" w:rsidTr="00C84112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225526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55B8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2F2F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18E2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64DA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D55D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2648" w14:textId="30346988" w:rsidR="00C84112" w:rsidRPr="00C84112" w:rsidRDefault="007B408F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C84112"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elk</w:t>
            </w:r>
            <w:proofErr w:type="spellEnd"/>
            <w:r w:rsidR="00C84112"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554B" w14:textId="477098BB" w:rsidR="00C84112" w:rsidRPr="00C84112" w:rsidRDefault="007B408F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C84112"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elk</w:t>
            </w:r>
            <w:proofErr w:type="spellEnd"/>
            <w:r w:rsidR="00C84112"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platba</w:t>
            </w:r>
          </w:p>
        </w:tc>
      </w:tr>
      <w:tr w:rsidR="00C84112" w:rsidRPr="00C84112" w14:paraId="44DF562E" w14:textId="77777777" w:rsidTr="00C84112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7BE50A" w14:textId="77777777" w:rsidR="00C84112" w:rsidRPr="00C84112" w:rsidRDefault="00C84112" w:rsidP="00C84112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E8FCA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F2C9A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EB8D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68A24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E6617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F401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BAED8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</w:tr>
      <w:tr w:rsidR="00C84112" w:rsidRPr="00C84112" w14:paraId="64049F9F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0804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do 3500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4B1D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39DA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324,17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4161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328,33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FBB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332,50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1870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328,33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62EB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B03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96 300</w:t>
            </w:r>
          </w:p>
        </w:tc>
      </w:tr>
      <w:tr w:rsidR="007B408F" w:rsidRPr="00C84112" w14:paraId="623A1D96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8EF4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3500 a do 5000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D83D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A5CD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374,95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9D3D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377,50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F8F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475,75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D4D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441,30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B265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A88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332 190</w:t>
            </w:r>
          </w:p>
        </w:tc>
      </w:tr>
      <w:tr w:rsidR="007B408F" w:rsidRPr="00C84112" w14:paraId="29E9D387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DE0B3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5000 a do 7250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31BB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B2B1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0F63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0FB3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798,50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0B7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725,33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7C7F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4 835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F611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2 982 685</w:t>
            </w:r>
          </w:p>
        </w:tc>
      </w:tr>
      <w:tr w:rsidR="007B408F" w:rsidRPr="00C84112" w14:paraId="438BC10A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4A45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7250 a do 9500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0762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09A7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528,75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1759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603,50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7658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644,10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CC9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732,55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50D1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3B17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700 481</w:t>
            </w:r>
          </w:p>
        </w:tc>
      </w:tr>
      <w:tr w:rsidR="007B408F" w:rsidRPr="00C84112" w14:paraId="28E577DD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74BF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9500 a do 12000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B49A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6364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684,58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DF4D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5D13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1 047,50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5C0B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888,14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1066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11B0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1 157 189</w:t>
            </w:r>
          </w:p>
        </w:tc>
      </w:tr>
      <w:tr w:rsidR="007B408F" w:rsidRPr="00C84112" w14:paraId="19B6C83D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147B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12000 a do 14500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7932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23B7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854,38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184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1 244,52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D5E8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1 590,14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E4E6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1 234,24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0733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F97B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261 781</w:t>
            </w:r>
          </w:p>
        </w:tc>
      </w:tr>
      <w:tr w:rsidR="007B408F" w:rsidRPr="00C84112" w14:paraId="712B55D3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9CD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14500 a do 16000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6F74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6C36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802,89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40D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1 068,18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31D5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1 274,90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8029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1 161,92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7F2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0332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463 922</w:t>
            </w:r>
          </w:p>
        </w:tc>
      </w:tr>
      <w:tr w:rsidR="007B408F" w:rsidRPr="00C84112" w14:paraId="7EAFDA03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767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16000 a do 18500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768B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AA3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1 064,85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7D51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1 445,00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44C6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1 532,76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2A2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1 323,49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2723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5070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1 198 198</w:t>
            </w:r>
          </w:p>
        </w:tc>
      </w:tr>
      <w:tr w:rsidR="007B408F" w:rsidRPr="00C84112" w14:paraId="49390FA7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92B6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18500 a do 21000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2010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FEBF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1 826,67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C5A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3 220,06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1A9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3 498,22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1603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2 777,60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392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1CC8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308 499</w:t>
            </w:r>
          </w:p>
        </w:tc>
      </w:tr>
      <w:tr w:rsidR="007B408F" w:rsidRPr="00C84112" w14:paraId="4BEDBD56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6232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21000 a do 23500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DA8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A83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1 863,23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D4E2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2 221,92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AE26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2 319,96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F605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2 518,52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EE5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49B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62 316</w:t>
            </w:r>
          </w:p>
        </w:tc>
      </w:tr>
      <w:tr w:rsidR="007B408F" w:rsidRPr="00C84112" w14:paraId="767BA03D" w14:textId="77777777" w:rsidTr="00C84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78BC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</w:t>
            </w:r>
            <w:proofErr w:type="spellEnd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nad 23500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C519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3336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1 236,97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8472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3 728,01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DD7B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7 061,75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B03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4 570,71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1E68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3421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28 278</w:t>
            </w:r>
          </w:p>
        </w:tc>
      </w:tr>
      <w:tr w:rsidR="007B408F" w:rsidRPr="00C84112" w14:paraId="15E4B50C" w14:textId="77777777" w:rsidTr="00C84112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F4495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Bez údajov o </w:t>
            </w:r>
            <w:proofErr w:type="spellStart"/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passmarku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1537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E061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736,00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DDAD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970,00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E1A2D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1 207,50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1282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973,50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B6C2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E66E" w14:textId="77777777" w:rsidR="00C84112" w:rsidRPr="00C84112" w:rsidRDefault="00C84112" w:rsidP="00C84112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C84112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50 436</w:t>
            </w:r>
          </w:p>
        </w:tc>
      </w:tr>
    </w:tbl>
    <w:p w14:paraId="62DB5F8B" w14:textId="4DD86F24" w:rsidR="00C84112" w:rsidRDefault="00C84112" w:rsidP="00C84112">
      <w:pPr>
        <w:pStyle w:val="Graf"/>
        <w:ind w:left="1418" w:hanging="710"/>
      </w:pPr>
      <w:r>
        <w:t xml:space="preserve">Distribučná analýza nákupu stolových počítačov podľa hodnoty </w:t>
      </w:r>
      <w:proofErr w:type="spellStart"/>
      <w:r>
        <w:t>Passmark</w:t>
      </w:r>
      <w:proofErr w:type="spellEnd"/>
      <w:r>
        <w:t xml:space="preserve"> procesora (priemer a medián ceny)</w:t>
      </w:r>
    </w:p>
    <w:p w14:paraId="41FD55F7" w14:textId="329281FC" w:rsidR="00C84112" w:rsidRDefault="00C84112" w:rsidP="00C84112">
      <w:pPr>
        <w:ind w:left="-567"/>
        <w:rPr>
          <w:lang w:eastAsia="en-GB"/>
        </w:rPr>
      </w:pPr>
      <w:r w:rsidRPr="00C84112">
        <w:rPr>
          <w:noProof/>
        </w:rPr>
        <w:drawing>
          <wp:inline distT="0" distB="0" distL="0" distR="0" wp14:anchorId="43E0F41D" wp14:editId="756F6220">
            <wp:extent cx="6600615" cy="2927350"/>
            <wp:effectExtent l="0" t="0" r="0" b="6350"/>
            <wp:docPr id="648148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350" cy="292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F82FC" w14:textId="58F0D0B7" w:rsidR="00BB7165" w:rsidRDefault="00BB7165" w:rsidP="00BB7165">
      <w:pPr>
        <w:pStyle w:val="IDRP"/>
        <w:jc w:val="right"/>
        <w:rPr>
          <w:lang w:eastAsia="en-GB"/>
        </w:rPr>
      </w:pPr>
      <w:r w:rsidRPr="00BB7165">
        <w:rPr>
          <w:i/>
          <w:iCs/>
        </w:rPr>
        <w:t>Zdroj: Centrálny register zmlúv, spracovanie: IDRP MIRRI SR</w:t>
      </w:r>
    </w:p>
    <w:p w14:paraId="6C699139" w14:textId="1BACA415" w:rsidR="00A01995" w:rsidRDefault="00A01995" w:rsidP="00A01995">
      <w:pPr>
        <w:pStyle w:val="IDRP"/>
        <w:rPr>
          <w:lang w:eastAsia="en-GB"/>
        </w:rPr>
      </w:pPr>
      <w:r>
        <w:rPr>
          <w:lang w:eastAsia="en-GB"/>
        </w:rPr>
        <w:t>Distribučná analýza nákupu stolových počítačov podľa celkovej kapacity nainštalovanej pamäte RAM ukazuje, že najväčší počet pozorovaní ako aj nakúpených kusov, bolo v kategórii nad 4 GB a do 8 GB RAM vrátane.</w:t>
      </w:r>
    </w:p>
    <w:p w14:paraId="50DAF5A3" w14:textId="7B0E40B5" w:rsidR="00A01995" w:rsidRDefault="00A01995">
      <w:pPr>
        <w:ind w:left="0"/>
        <w:jc w:val="left"/>
        <w:rPr>
          <w:sz w:val="24"/>
          <w:lang w:eastAsia="en-GB"/>
        </w:rPr>
      </w:pPr>
      <w:r>
        <w:rPr>
          <w:lang w:eastAsia="en-GB"/>
        </w:rPr>
        <w:br w:type="page"/>
      </w:r>
    </w:p>
    <w:p w14:paraId="322372B2" w14:textId="5D7D71E3" w:rsidR="00246281" w:rsidRDefault="00A01995" w:rsidP="00A01995">
      <w:pPr>
        <w:pStyle w:val="Tabulka"/>
        <w:ind w:left="1843" w:hanging="1134"/>
      </w:pPr>
      <w:r>
        <w:lastRenderedPageBreak/>
        <w:t>Distribučná analýza nákupu stolových počítačov podľa celkovej kapacity nainštalovanej pamäte RAM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1015"/>
        <w:gridCol w:w="779"/>
        <w:gridCol w:w="779"/>
        <w:gridCol w:w="779"/>
        <w:gridCol w:w="779"/>
        <w:gridCol w:w="988"/>
        <w:gridCol w:w="1034"/>
      </w:tblGrid>
      <w:tr w:rsidR="007B408F" w:rsidRPr="00BB7165" w14:paraId="4D250765" w14:textId="77777777" w:rsidTr="00A01995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0D25A9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87C1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DC44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FEC9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35F1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3EFB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1A9F" w14:textId="36E5B8A8" w:rsidR="00A01995" w:rsidRPr="00A01995" w:rsidRDefault="007B408F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A01995"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elk</w:t>
            </w:r>
            <w:proofErr w:type="spellEnd"/>
            <w:r w:rsidR="00A01995"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0DC4" w14:textId="199ED119" w:rsidR="00A01995" w:rsidRPr="00A01995" w:rsidRDefault="007B408F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A01995"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elk</w:t>
            </w:r>
            <w:proofErr w:type="spellEnd"/>
            <w:r w:rsidR="00A01995"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platba</w:t>
            </w:r>
          </w:p>
        </w:tc>
      </w:tr>
      <w:tr w:rsidR="007B408F" w:rsidRPr="00BB7165" w14:paraId="164AAF8B" w14:textId="77777777" w:rsidTr="00A01995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999CD0" w14:textId="77777777" w:rsidR="00A01995" w:rsidRPr="00A01995" w:rsidRDefault="00A01995" w:rsidP="00A01995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1995A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4D79A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01AD8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29986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88757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CF064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F19B9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</w:tr>
      <w:tr w:rsidR="00BB7165" w:rsidRPr="00A01995" w14:paraId="5A5D1951" w14:textId="77777777" w:rsidTr="00BB7165">
        <w:trPr>
          <w:trHeight w:val="2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1919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RAM do 4GB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B75D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381C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7566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7AD5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20BB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660,90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A097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A808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750 945</w:t>
            </w:r>
          </w:p>
        </w:tc>
      </w:tr>
      <w:tr w:rsidR="00BB7165" w:rsidRPr="00A01995" w14:paraId="601DD9D8" w14:textId="77777777" w:rsidTr="00A01995">
        <w:trPr>
          <w:trHeight w:val="5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10D2C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RAM nad 4GB a do 8GB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152A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F7B3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579,00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6937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689,17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3EFE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7236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766,43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5696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8 905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9194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5 815 167</w:t>
            </w:r>
          </w:p>
        </w:tc>
      </w:tr>
      <w:tr w:rsidR="00BB7165" w:rsidRPr="00A01995" w14:paraId="1AE7B3B0" w14:textId="77777777" w:rsidTr="00BB7165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0FB4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RAM nad 8GB a do 16GB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5D3C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8F8D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981,75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FC5F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1 285,50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B4EF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1 559,04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084C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1 485,78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0C6D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69A4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1 107 923</w:t>
            </w:r>
          </w:p>
        </w:tc>
      </w:tr>
      <w:tr w:rsidR="00BB7165" w:rsidRPr="00A01995" w14:paraId="6F2FFE00" w14:textId="77777777" w:rsidTr="00A01995">
        <w:trPr>
          <w:trHeight w:val="5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2B1F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RAM nad 16GB a do 32GB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2958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C9B8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2 293,61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6CE3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3 163,00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2087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4 122,89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8946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3 328,39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1F0B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AFF4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397 006</w:t>
            </w:r>
          </w:p>
        </w:tc>
      </w:tr>
      <w:tr w:rsidR="00BB7165" w:rsidRPr="00A01995" w14:paraId="20A965FD" w14:textId="77777777" w:rsidTr="00BB7165">
        <w:trPr>
          <w:trHeight w:val="6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04874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RAM nad 32GB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46C3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F584B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4 913,80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0A97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6 607,53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186D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8 301,27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D1B6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6 607,53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EADE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FF86" w14:textId="77777777" w:rsidR="00A01995" w:rsidRPr="00A01995" w:rsidRDefault="00A01995" w:rsidP="00A0199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0199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23 210</w:t>
            </w:r>
          </w:p>
        </w:tc>
      </w:tr>
    </w:tbl>
    <w:p w14:paraId="450360BB" w14:textId="3F9C1638" w:rsidR="00A01995" w:rsidRDefault="00A01995" w:rsidP="00A01995">
      <w:pPr>
        <w:pStyle w:val="Graf"/>
        <w:ind w:left="1560" w:hanging="852"/>
      </w:pPr>
      <w:r>
        <w:t>Distribučná analýza nákupu stolových počítačov podľa celkovej kapacity nainštalovanej pamäte RAM (priemer a medián ceny)</w:t>
      </w:r>
    </w:p>
    <w:p w14:paraId="0B948C1D" w14:textId="44187436" w:rsidR="00A01995" w:rsidRDefault="00A01995" w:rsidP="00A01995">
      <w:pPr>
        <w:ind w:left="0"/>
        <w:rPr>
          <w:lang w:eastAsia="en-GB"/>
        </w:rPr>
      </w:pPr>
      <w:r w:rsidRPr="00A01995">
        <w:rPr>
          <w:noProof/>
        </w:rPr>
        <w:drawing>
          <wp:inline distT="0" distB="0" distL="0" distR="0" wp14:anchorId="25DCDE3A" wp14:editId="50C5B6A1">
            <wp:extent cx="5486400" cy="2588808"/>
            <wp:effectExtent l="0" t="0" r="0" b="2540"/>
            <wp:docPr id="21225452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595" cy="25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F056" w14:textId="4037E67D" w:rsidR="00BB7165" w:rsidRDefault="00BB7165" w:rsidP="00BB7165">
      <w:pPr>
        <w:pStyle w:val="IDRP"/>
        <w:spacing w:before="60" w:after="60"/>
        <w:ind w:left="709"/>
        <w:jc w:val="right"/>
        <w:rPr>
          <w:lang w:eastAsia="en-GB"/>
        </w:rPr>
      </w:pPr>
      <w:r w:rsidRPr="00BB7165">
        <w:rPr>
          <w:i/>
          <w:iCs/>
        </w:rPr>
        <w:t>Zdroj: Centrálny register zmlúv, spracovanie: IDRP MIRRI SR</w:t>
      </w:r>
    </w:p>
    <w:p w14:paraId="23954297" w14:textId="5C5BA22E" w:rsidR="00613D7A" w:rsidRDefault="00613D7A" w:rsidP="00613D7A">
      <w:pPr>
        <w:pStyle w:val="IDRP"/>
        <w:rPr>
          <w:lang w:eastAsia="en-GB"/>
        </w:rPr>
      </w:pPr>
      <w:r>
        <w:rPr>
          <w:lang w:eastAsia="en-GB"/>
        </w:rPr>
        <w:t>V prípade celkovej diskovej kapacity je situácia porovnateľná s celkovou kapacitou nainštalovanej pamäte RAM – počet pozorovaní aj počet kusov koreluje.</w:t>
      </w:r>
      <w:r w:rsidR="00863F40">
        <w:rPr>
          <w:lang w:eastAsia="en-GB"/>
        </w:rPr>
        <w:t xml:space="preserve"> Najviac pozorovaní aj počítačov je v kategórii nad 128 GB do 256 GB vrátane.</w:t>
      </w:r>
      <w:r>
        <w:rPr>
          <w:lang w:eastAsia="en-GB"/>
        </w:rPr>
        <w:t xml:space="preserve"> Z tohto dôvodu má zmysel hneď prvá tabuľka cien, kde sú deliace kritéria práve kapacita RAM a diskov, bez filtrovania hodnoty </w:t>
      </w:r>
      <w:proofErr w:type="spellStart"/>
      <w:r>
        <w:rPr>
          <w:lang w:eastAsia="en-GB"/>
        </w:rPr>
        <w:t>Passmark</w:t>
      </w:r>
      <w:proofErr w:type="spellEnd"/>
      <w:r>
        <w:rPr>
          <w:lang w:eastAsia="en-GB"/>
        </w:rPr>
        <w:t>.</w:t>
      </w:r>
    </w:p>
    <w:p w14:paraId="618627EF" w14:textId="5727ECC9" w:rsidR="00613D7A" w:rsidRDefault="00BB7165" w:rsidP="00BB7165">
      <w:pPr>
        <w:pStyle w:val="Tabulka"/>
        <w:ind w:left="1843" w:hanging="1134"/>
      </w:pPr>
      <w:r>
        <w:t>Distribučná analýza nákupu stolových počítačov podľa celkovej diskovej kapacity</w:t>
      </w:r>
    </w:p>
    <w:tbl>
      <w:tblPr>
        <w:tblW w:w="9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110"/>
        <w:gridCol w:w="852"/>
        <w:gridCol w:w="852"/>
        <w:gridCol w:w="852"/>
        <w:gridCol w:w="852"/>
        <w:gridCol w:w="1081"/>
        <w:gridCol w:w="1131"/>
      </w:tblGrid>
      <w:tr w:rsidR="00BB7165" w:rsidRPr="00BB7165" w14:paraId="448ECF8A" w14:textId="77777777" w:rsidTr="00344D5C">
        <w:tc>
          <w:tcPr>
            <w:tcW w:w="293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31DB64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4C37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BF5C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FD0B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779EB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0DEE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29F7" w14:textId="645BC6DC" w:rsidR="00BB7165" w:rsidRPr="00BB7165" w:rsidRDefault="002048F4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BB7165"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elk</w:t>
            </w:r>
            <w:proofErr w:type="spellEnd"/>
            <w:r w:rsidR="00BB7165"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E602" w14:textId="0FC6855E" w:rsidR="00BB7165" w:rsidRPr="00BB7165" w:rsidRDefault="002048F4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BB7165"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elk</w:t>
            </w:r>
            <w:proofErr w:type="spellEnd"/>
            <w:r w:rsidR="00BB7165"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platba</w:t>
            </w:r>
          </w:p>
        </w:tc>
      </w:tr>
      <w:tr w:rsidR="00BB7165" w:rsidRPr="00BB7165" w14:paraId="2B42CDC7" w14:textId="77777777" w:rsidTr="00344D5C">
        <w:tc>
          <w:tcPr>
            <w:tcW w:w="293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BCC1CB" w14:textId="77777777" w:rsidR="00BB7165" w:rsidRPr="00BB7165" w:rsidRDefault="00BB7165" w:rsidP="00344D5C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3485D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BD36D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AECEA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FB1A2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E91E2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F52AA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2E2C8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[eur]</w:t>
            </w:r>
          </w:p>
        </w:tc>
      </w:tr>
      <w:tr w:rsidR="00BB7165" w:rsidRPr="00BB7165" w14:paraId="4524E5D0" w14:textId="77777777" w:rsidTr="00BB7165">
        <w:trPr>
          <w:trHeight w:val="401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1656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Disky do 128GB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A492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1D34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372,40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1527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372,40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5B06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372,40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D78F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372,40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75BF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F057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223 440</w:t>
            </w:r>
          </w:p>
        </w:tc>
      </w:tr>
      <w:tr w:rsidR="00BB7165" w:rsidRPr="00BB7165" w14:paraId="744915D0" w14:textId="77777777" w:rsidTr="00344D5C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3CD9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Disky nad 128GB do 256GB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13F7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E158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619,65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B50E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744,57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8386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1 012,46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7051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959,32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9596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843E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4 856 222</w:t>
            </w:r>
          </w:p>
        </w:tc>
      </w:tr>
      <w:tr w:rsidR="00BB7165" w:rsidRPr="00BB7165" w14:paraId="30A0CFBC" w14:textId="77777777" w:rsidTr="00BB7165">
        <w:trPr>
          <w:trHeight w:val="462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BDDB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Disky nad 256GB do 512GB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469C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B686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033B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1 119,00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AC06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1 487,95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47DC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1 407,41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890F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B886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2 186 592</w:t>
            </w:r>
          </w:p>
        </w:tc>
      </w:tr>
      <w:tr w:rsidR="00BB7165" w:rsidRPr="00BB7165" w14:paraId="25907A18" w14:textId="77777777" w:rsidTr="00344D5C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E3E15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Disky nad 512GB do 1024GB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7CD9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8D23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585,05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5EAB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831,84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8FA0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1 040,08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CE3B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96DC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3F33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198 149</w:t>
            </w:r>
          </w:p>
        </w:tc>
      </w:tr>
      <w:tr w:rsidR="00BB7165" w:rsidRPr="00BB7165" w14:paraId="34AA2A69" w14:textId="77777777" w:rsidTr="00BB7165">
        <w:trPr>
          <w:trHeight w:val="646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BA38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Disky nad 1024GB do 2048GB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C579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5F3E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1 345,00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8E6A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1 660,00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3787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E04E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1 831,23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D4E4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36BF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467 711</w:t>
            </w:r>
          </w:p>
        </w:tc>
      </w:tr>
      <w:tr w:rsidR="00BB7165" w:rsidRPr="00BB7165" w14:paraId="573B98C3" w14:textId="77777777" w:rsidTr="00344D5C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BCA2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Disky nad 2048GB do 8192GB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7F6B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33B7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2 319,96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D976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2 881,88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3F82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3 925,83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4E8B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3 363,91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0F0D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366B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114 816</w:t>
            </w:r>
          </w:p>
        </w:tc>
      </w:tr>
      <w:tr w:rsidR="00BB7165" w:rsidRPr="00BB7165" w14:paraId="2785A227" w14:textId="77777777" w:rsidTr="00BB7165">
        <w:trPr>
          <w:trHeight w:val="429"/>
        </w:trPr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04E47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Disková kapacita nad 8192GB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C0AD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803E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1 953,19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AABC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AA77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6 579,00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6B9A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4 633,79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BAA6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6BFD" w14:textId="77777777" w:rsidR="00BB7165" w:rsidRPr="00BB7165" w:rsidRDefault="00BB7165" w:rsidP="00344D5C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B71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47 320</w:t>
            </w:r>
          </w:p>
        </w:tc>
      </w:tr>
    </w:tbl>
    <w:p w14:paraId="74D54B1E" w14:textId="0C9AAC01" w:rsidR="00BB7165" w:rsidRDefault="00BB7165" w:rsidP="00BB7165">
      <w:pPr>
        <w:pStyle w:val="Graf"/>
        <w:ind w:left="1418" w:hanging="710"/>
      </w:pPr>
      <w:r>
        <w:lastRenderedPageBreak/>
        <w:t>Distribučná analýza nákupu stolových počítačov podľa celkovej diskovej kapacity (priemer a medián ceny)</w:t>
      </w:r>
    </w:p>
    <w:p w14:paraId="41136F6F" w14:textId="6B8E302D" w:rsidR="00BB7165" w:rsidRDefault="007A5DB6" w:rsidP="007A5DB6">
      <w:pPr>
        <w:ind w:left="-142"/>
        <w:rPr>
          <w:lang w:eastAsia="en-GB"/>
        </w:rPr>
      </w:pPr>
      <w:r w:rsidRPr="007A5DB6">
        <w:rPr>
          <w:noProof/>
        </w:rPr>
        <w:drawing>
          <wp:inline distT="0" distB="0" distL="0" distR="0" wp14:anchorId="4587ED62" wp14:editId="21385B8A">
            <wp:extent cx="6085341" cy="2806700"/>
            <wp:effectExtent l="0" t="0" r="0" b="0"/>
            <wp:docPr id="18907682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63" cy="280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1FE57" w14:textId="4D684072" w:rsidR="007A5DB6" w:rsidRDefault="007A5DB6" w:rsidP="007A5DB6">
      <w:pPr>
        <w:pStyle w:val="IDRP"/>
        <w:spacing w:before="60" w:after="60"/>
        <w:ind w:left="709"/>
        <w:jc w:val="right"/>
        <w:rPr>
          <w:lang w:eastAsia="en-GB"/>
        </w:rPr>
      </w:pPr>
      <w:r w:rsidRPr="00BB7165">
        <w:rPr>
          <w:i/>
          <w:iCs/>
        </w:rPr>
        <w:t>Zdroj: Centrálny register zmlúv, spracovanie: IDRP MIRRI SR</w:t>
      </w:r>
    </w:p>
    <w:p w14:paraId="22D81582" w14:textId="2942599F" w:rsidR="007A5DB6" w:rsidRDefault="007A5DB6" w:rsidP="007A5DB6">
      <w:pPr>
        <w:pStyle w:val="IDRP"/>
        <w:rPr>
          <w:lang w:eastAsia="en-GB"/>
        </w:rPr>
      </w:pPr>
      <w:r>
        <w:rPr>
          <w:lang w:eastAsia="en-GB"/>
        </w:rPr>
        <w:t xml:space="preserve">Distribučné analýzy podľa technológie pevných diskov a skutočnosti, či bol počítač vybavený len zdieľanou alebo aj dedikovanou grafickou kartou, sú spracované len v tabuľkovej forme. Z pohľadu počtu pozorovaní </w:t>
      </w:r>
      <w:r w:rsidRPr="00132CFE">
        <w:rPr>
          <w:b/>
          <w:bCs/>
          <w:lang w:eastAsia="en-GB"/>
        </w:rPr>
        <w:t xml:space="preserve">vyše 87 % </w:t>
      </w:r>
      <w:r>
        <w:rPr>
          <w:lang w:eastAsia="en-GB"/>
        </w:rPr>
        <w:t xml:space="preserve">všetkých hodnotených počítačov bolo vybavených buď </w:t>
      </w:r>
      <w:r w:rsidRPr="00132CFE">
        <w:rPr>
          <w:b/>
          <w:bCs/>
          <w:lang w:eastAsia="en-GB"/>
        </w:rPr>
        <w:t>samostatným diskom SSD alebo kombináciou SSD a HDD</w:t>
      </w:r>
      <w:r>
        <w:rPr>
          <w:lang w:eastAsia="en-GB"/>
        </w:rPr>
        <w:t xml:space="preserve"> (pozor, nie SSHD). Z pohľadu počtu kusov je táto hodnota </w:t>
      </w:r>
      <w:r w:rsidR="00132CFE" w:rsidRPr="00132CFE">
        <w:rPr>
          <w:b/>
          <w:bCs/>
          <w:lang w:eastAsia="en-GB"/>
        </w:rPr>
        <w:t>84 %</w:t>
      </w:r>
      <w:r w:rsidR="00132CFE">
        <w:rPr>
          <w:lang w:eastAsia="en-GB"/>
        </w:rPr>
        <w:t>.</w:t>
      </w:r>
    </w:p>
    <w:p w14:paraId="2E98DAA6" w14:textId="52BE07D2" w:rsidR="00132CFE" w:rsidRDefault="00132CFE" w:rsidP="007A5DB6">
      <w:pPr>
        <w:pStyle w:val="IDRP"/>
        <w:rPr>
          <w:lang w:eastAsia="en-GB"/>
        </w:rPr>
      </w:pPr>
      <w:r w:rsidRPr="00132CFE">
        <w:rPr>
          <w:b/>
          <w:bCs/>
          <w:lang w:eastAsia="en-GB"/>
        </w:rPr>
        <w:t>Iba integrovanou (zdieľanou) grafickou kartou</w:t>
      </w:r>
      <w:r>
        <w:rPr>
          <w:lang w:eastAsia="en-GB"/>
        </w:rPr>
        <w:t xml:space="preserve"> boli stolové počítače vybavené </w:t>
      </w:r>
      <w:r w:rsidRPr="00132CFE">
        <w:rPr>
          <w:b/>
          <w:bCs/>
          <w:lang w:eastAsia="en-GB"/>
        </w:rPr>
        <w:t>v 93 % pozorovaniach</w:t>
      </w:r>
      <w:r>
        <w:rPr>
          <w:lang w:eastAsia="en-GB"/>
        </w:rPr>
        <w:t xml:space="preserve"> a </w:t>
      </w:r>
      <w:r w:rsidRPr="00132CFE">
        <w:rPr>
          <w:b/>
          <w:bCs/>
          <w:lang w:eastAsia="en-GB"/>
        </w:rPr>
        <w:t>v 70 % z celkového počtu kusov</w:t>
      </w:r>
      <w:r>
        <w:rPr>
          <w:lang w:eastAsia="en-GB"/>
        </w:rPr>
        <w:t>.</w:t>
      </w:r>
    </w:p>
    <w:p w14:paraId="0A6284E7" w14:textId="777CFCA0" w:rsidR="00132CFE" w:rsidRDefault="00132CFE" w:rsidP="00132CFE">
      <w:pPr>
        <w:pStyle w:val="Tabulka"/>
        <w:ind w:left="1843" w:hanging="1134"/>
      </w:pPr>
      <w:r>
        <w:t>Distribučná analýza nákupu stolových počítačov podľa technológie nainštalovaných pevných diskov</w:t>
      </w:r>
    </w:p>
    <w:tbl>
      <w:tblPr>
        <w:tblW w:w="9191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1103"/>
        <w:gridCol w:w="929"/>
        <w:gridCol w:w="851"/>
        <w:gridCol w:w="850"/>
        <w:gridCol w:w="992"/>
        <w:gridCol w:w="1134"/>
        <w:gridCol w:w="1253"/>
      </w:tblGrid>
      <w:tr w:rsidR="00132CFE" w:rsidRPr="00132CFE" w14:paraId="2B4E92D2" w14:textId="77777777" w:rsidTr="00D820EA">
        <w:tc>
          <w:tcPr>
            <w:tcW w:w="207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53415A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FD94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CF1D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55C9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0073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FC24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CC0A" w14:textId="1335E193" w:rsidR="00132CFE" w:rsidRPr="00132CFE" w:rsidRDefault="002048F4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="00132CFE"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="00132CFE"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počet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891B" w14:textId="127D734B" w:rsidR="00132CFE" w:rsidRPr="00132CFE" w:rsidRDefault="002048F4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="00132CFE"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="00132CFE"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platba</w:t>
            </w:r>
          </w:p>
        </w:tc>
      </w:tr>
      <w:tr w:rsidR="00132CFE" w:rsidRPr="00132CFE" w14:paraId="64FCC020" w14:textId="77777777" w:rsidTr="00D820EA">
        <w:tc>
          <w:tcPr>
            <w:tcW w:w="207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35D1C" w14:textId="77777777" w:rsidR="00132CFE" w:rsidRPr="00132CFE" w:rsidRDefault="00132CFE" w:rsidP="00132CF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7A4FA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18A8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BEDC6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DB1CC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ADC63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5B6C8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[ks]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1D106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132CFE" w:rsidRPr="00132CFE" w14:paraId="0F6DC58E" w14:textId="77777777" w:rsidTr="00D820EA">
        <w:trPr>
          <w:trHeight w:val="423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6982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iba disky SSD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90EB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6867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638,37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19DF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930,00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73C6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1 269,29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6532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1 186,45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0914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8 830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1CE9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6 180 323</w:t>
            </w:r>
          </w:p>
        </w:tc>
      </w:tr>
      <w:tr w:rsidR="00132CFE" w:rsidRPr="00132CFE" w14:paraId="3B1F9E02" w14:textId="77777777" w:rsidTr="00D820EA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80D4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iba disky HDD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E6E3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49D7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591,78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8501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791,00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228F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809,50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AA11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730,15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35BA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1 785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FB75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1 301 922</w:t>
            </w:r>
          </w:p>
        </w:tc>
      </w:tr>
      <w:tr w:rsidR="00132CFE" w:rsidRPr="00132CFE" w14:paraId="4FB968DC" w14:textId="77777777" w:rsidTr="00D820EA">
        <w:trPr>
          <w:trHeight w:val="457"/>
        </w:trPr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D78C9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obidva typy SSD + HDD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8A7E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C496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1 572,92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8CE8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2 240,90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4EAA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3 290,22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A93F0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2 872,98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69A1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421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20AE" w14:textId="77777777" w:rsidR="00132CFE" w:rsidRPr="00132CFE" w:rsidRDefault="00132CFE" w:rsidP="00132CF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132CFE">
              <w:rPr>
                <w:rFonts w:eastAsia="Times New Roman" w:cs="Times New Roman"/>
                <w:color w:val="000000"/>
                <w:lang w:eastAsia="sk-SK"/>
              </w:rPr>
              <w:t>612 007</w:t>
            </w:r>
          </w:p>
        </w:tc>
      </w:tr>
    </w:tbl>
    <w:p w14:paraId="0D25F50C" w14:textId="3C0C492C" w:rsidR="00132CFE" w:rsidRDefault="00132CFE" w:rsidP="00132CFE">
      <w:pPr>
        <w:pStyle w:val="Tabulka"/>
        <w:ind w:left="1843" w:hanging="1134"/>
      </w:pPr>
      <w:r>
        <w:t xml:space="preserve">Distribučná analýza nákupu stolových počítačov podľa nainštalovanej grafickej karty (zdieľaná </w:t>
      </w:r>
      <w:proofErr w:type="spellStart"/>
      <w:r>
        <w:t>vs</w:t>
      </w:r>
      <w:proofErr w:type="spellEnd"/>
      <w:r>
        <w:t>. nezdieľaná)</w:t>
      </w:r>
    </w:p>
    <w:tbl>
      <w:tblPr>
        <w:tblW w:w="8627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1103"/>
        <w:gridCol w:w="843"/>
        <w:gridCol w:w="843"/>
        <w:gridCol w:w="843"/>
        <w:gridCol w:w="843"/>
        <w:gridCol w:w="1073"/>
        <w:gridCol w:w="1123"/>
      </w:tblGrid>
      <w:tr w:rsidR="00D820EA" w:rsidRPr="00D820EA" w14:paraId="0308D728" w14:textId="77777777" w:rsidTr="00D820EA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08E22E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E98E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ED8A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91C3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BC63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CD94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4F4E" w14:textId="59658953" w:rsidR="00D820EA" w:rsidRPr="00D820EA" w:rsidRDefault="002048F4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="00D820EA"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="00D820EA"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2114" w14:textId="70933DDC" w:rsidR="00D820EA" w:rsidRPr="00D820EA" w:rsidRDefault="002048F4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="00D820EA"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="00D820EA"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platba</w:t>
            </w:r>
          </w:p>
        </w:tc>
      </w:tr>
      <w:tr w:rsidR="00D820EA" w:rsidRPr="00D820EA" w14:paraId="545108E9" w14:textId="77777777" w:rsidTr="00D820EA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32D9AC" w14:textId="77777777" w:rsidR="00D820EA" w:rsidRPr="00D820EA" w:rsidRDefault="00D820EA" w:rsidP="00D820EA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5618C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BFBF6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DDB38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FD7E6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A6341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E8023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6C283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D820EA" w:rsidRPr="00D820EA" w14:paraId="796DC765" w14:textId="77777777" w:rsidTr="00D820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AD02" w14:textId="395B1160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820EA">
              <w:rPr>
                <w:rFonts w:eastAsia="Times New Roman" w:cs="Times New Roman"/>
                <w:color w:val="000000"/>
                <w:lang w:eastAsia="sk-SK"/>
              </w:rPr>
              <w:t>die</w:t>
            </w:r>
            <w:r>
              <w:rPr>
                <w:rFonts w:eastAsia="Times New Roman" w:cs="Times New Roman"/>
                <w:color w:val="000000"/>
                <w:lang w:eastAsia="sk-SK"/>
              </w:rPr>
              <w:t>ľaná</w:t>
            </w:r>
            <w:r w:rsidRPr="00D820EA">
              <w:rPr>
                <w:rFonts w:eastAsia="Times New Roman" w:cs="Times New Roman"/>
                <w:color w:val="000000"/>
                <w:lang w:eastAsia="sk-SK"/>
              </w:rPr>
              <w:t xml:space="preserve"> grafická karta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01D1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6B79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618,95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AB70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761,01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E784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1 052,01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884C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947,80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A12D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10 296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25D3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6 977 944</w:t>
            </w:r>
          </w:p>
        </w:tc>
      </w:tr>
      <w:tr w:rsidR="00D820EA" w:rsidRPr="00D820EA" w14:paraId="1089EDA0" w14:textId="77777777" w:rsidTr="00D820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734B" w14:textId="090AE5D8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n</w:t>
            </w:r>
            <w:r w:rsidRPr="00D820EA">
              <w:rPr>
                <w:rFonts w:eastAsia="Times New Roman" w:cs="Times New Roman"/>
                <w:color w:val="000000"/>
                <w:lang w:eastAsia="sk-SK"/>
              </w:rPr>
              <w:t>ezdie</w:t>
            </w:r>
            <w:r>
              <w:rPr>
                <w:rFonts w:eastAsia="Times New Roman" w:cs="Times New Roman"/>
                <w:color w:val="000000"/>
                <w:lang w:eastAsia="sk-SK"/>
              </w:rPr>
              <w:t>ľaná</w:t>
            </w:r>
            <w:r w:rsidRPr="00D820EA">
              <w:rPr>
                <w:rFonts w:eastAsia="Times New Roman" w:cs="Times New Roman"/>
                <w:color w:val="000000"/>
                <w:lang w:eastAsia="sk-SK"/>
              </w:rPr>
              <w:t xml:space="preserve"> grafická karta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B2A0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8EAD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1 120,00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41B6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1 445,00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CC2C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3 163,00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5A6D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2 308,54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C20C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ED8C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1 112 942</w:t>
            </w:r>
          </w:p>
        </w:tc>
      </w:tr>
      <w:tr w:rsidR="002048F4" w:rsidRPr="00D820EA" w14:paraId="5DFB3C6B" w14:textId="77777777" w:rsidTr="00D820EA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DDDD5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bez údajov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EB88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67E5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1 682,60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18B76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1 682,60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34D0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1 682,60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EEA7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1 682,60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E1D09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CCE17" w14:textId="77777777" w:rsidR="00D820EA" w:rsidRPr="00D820EA" w:rsidRDefault="00D820EA" w:rsidP="00D820E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D820EA">
              <w:rPr>
                <w:rFonts w:eastAsia="Times New Roman" w:cs="Times New Roman"/>
                <w:color w:val="000000"/>
                <w:lang w:eastAsia="sk-SK"/>
              </w:rPr>
              <w:t>3 365</w:t>
            </w:r>
          </w:p>
        </w:tc>
      </w:tr>
    </w:tbl>
    <w:p w14:paraId="7FB2AF2B" w14:textId="77777777" w:rsidR="00132CFE" w:rsidRPr="00132CFE" w:rsidRDefault="00132CFE" w:rsidP="00132CFE">
      <w:pPr>
        <w:rPr>
          <w:lang w:eastAsia="en-GB"/>
        </w:rPr>
      </w:pPr>
    </w:p>
    <w:p w14:paraId="6617CA12" w14:textId="77777777" w:rsidR="00BB7165" w:rsidRPr="00460979" w:rsidRDefault="00DF3511" w:rsidP="00613D7A">
      <w:pPr>
        <w:pStyle w:val="IDRP"/>
        <w:rPr>
          <w:color w:val="ED1C24"/>
        </w:rPr>
      </w:pPr>
      <w:r w:rsidRPr="00460979">
        <w:br w:type="page"/>
      </w:r>
    </w:p>
    <w:p w14:paraId="46653BBC" w14:textId="658979F0" w:rsidR="007C43D2" w:rsidRPr="00460979" w:rsidRDefault="007C43D2" w:rsidP="00613D7A">
      <w:pPr>
        <w:pStyle w:val="IDRP"/>
        <w:rPr>
          <w:color w:val="ED1C24"/>
        </w:rPr>
        <w:sectPr w:rsidR="007C43D2" w:rsidRPr="00460979" w:rsidSect="00721993"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94" w:footer="708" w:gutter="0"/>
          <w:pgNumType w:start="1"/>
          <w:cols w:space="708"/>
          <w:docGrid w:linePitch="360"/>
        </w:sectPr>
      </w:pPr>
    </w:p>
    <w:p w14:paraId="2BF82355" w14:textId="5CCFA426" w:rsidR="00BB0A7A" w:rsidRDefault="00BB0A7A" w:rsidP="00BB0A7A">
      <w:pPr>
        <w:pStyle w:val="Tabulka"/>
        <w:ind w:left="1985" w:hanging="1276"/>
      </w:pPr>
      <w:bookmarkStart w:id="2" w:name="_Toc185521406"/>
      <w:r>
        <w:lastRenderedPageBreak/>
        <w:t xml:space="preserve">Distribučná analýza nákupu stolových počítačov podľa </w:t>
      </w:r>
      <w:r>
        <w:t>záručnej doby a úrovne servisných služieb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1103"/>
        <w:gridCol w:w="692"/>
        <w:gridCol w:w="843"/>
        <w:gridCol w:w="843"/>
        <w:gridCol w:w="843"/>
        <w:gridCol w:w="1103"/>
        <w:gridCol w:w="1153"/>
      </w:tblGrid>
      <w:tr w:rsidR="00BB0A7A" w:rsidRPr="00BB0A7A" w14:paraId="6C1997E3" w14:textId="77777777" w:rsidTr="00BB0A7A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344656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17D3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DD789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9376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F6E6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B803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187D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Celk</w:t>
            </w:r>
            <w:proofErr w:type="spellEnd"/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659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Celk</w:t>
            </w:r>
            <w:proofErr w:type="spellEnd"/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platba</w:t>
            </w:r>
          </w:p>
        </w:tc>
      </w:tr>
      <w:tr w:rsidR="00BB0A7A" w:rsidRPr="00BB0A7A" w14:paraId="0A6D12EF" w14:textId="77777777" w:rsidTr="00BB0A7A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E4E297" w14:textId="77777777" w:rsidR="00BB0A7A" w:rsidRPr="00BB0A7A" w:rsidRDefault="00BB0A7A" w:rsidP="00BB0A7A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58FE6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E4A9E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13DA1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6261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7A68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49BC8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923BE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BB0A7A" w:rsidRPr="00BB0A7A" w14:paraId="7D5A031B" w14:textId="77777777" w:rsidTr="00BB0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0550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Štandardná záruka 2 roky, základná služba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812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FD74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659,00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12C7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739,00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0249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819,00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6185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739,00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EB3B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4 038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0DF3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2 348 562</w:t>
            </w:r>
          </w:p>
        </w:tc>
      </w:tr>
      <w:tr w:rsidR="00BB0A7A" w:rsidRPr="00BB0A7A" w14:paraId="21664F4A" w14:textId="77777777" w:rsidTr="00BB0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2F3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Záruka  3 roky, základná služba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86D6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6D27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820,08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32FF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1 138,00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16D9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1 951,47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597D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1 824,23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D9B2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2780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390 506</w:t>
            </w:r>
          </w:p>
        </w:tc>
      </w:tr>
      <w:tr w:rsidR="00BB0A7A" w:rsidRPr="00BB0A7A" w14:paraId="75E87BCA" w14:textId="77777777" w:rsidTr="00BB0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9209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Záruka 5 rokov, základná služba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6067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1016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798,50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C61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991,00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B06F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1 049,00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55C2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1 269,29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DF9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CE8B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1 086 107</w:t>
            </w:r>
          </w:p>
        </w:tc>
      </w:tr>
      <w:tr w:rsidR="00BB0A7A" w:rsidRPr="00BB0A7A" w14:paraId="75E1635C" w14:textId="77777777" w:rsidTr="00BB0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F7A8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Záruka 3 roky, zásah NBD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CADC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4A3D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672,78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EAB7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814,73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3F54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1 230,34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52FC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1 117,40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3C61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2 052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1CDF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1 335 016</w:t>
            </w:r>
          </w:p>
        </w:tc>
      </w:tr>
      <w:tr w:rsidR="00BB0A7A" w:rsidRPr="00BB0A7A" w14:paraId="7EA57364" w14:textId="77777777" w:rsidTr="00BB0A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DC425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Záruka 5 rokov, zásah NBD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A5DE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1B1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892,50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8C09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980,00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1C12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987,50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C079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926,67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A4F2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9A3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1 199 805</w:t>
            </w:r>
          </w:p>
        </w:tc>
      </w:tr>
      <w:tr w:rsidR="00BB0A7A" w:rsidRPr="00BB0A7A" w14:paraId="46AB6CCE" w14:textId="77777777" w:rsidTr="00BB0A7A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8B8BE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Bez uvedenia údajov o záruke /  servise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1CC6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CA45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639,88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9A1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993,36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938A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1 460,36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8E288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1 386,90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6D99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5987" w14:textId="77777777" w:rsidR="00BB0A7A" w:rsidRPr="00BB0A7A" w:rsidRDefault="00BB0A7A" w:rsidP="00BB0A7A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B0A7A">
              <w:rPr>
                <w:rFonts w:eastAsia="Times New Roman" w:cs="Times New Roman"/>
                <w:color w:val="000000"/>
                <w:lang w:eastAsia="sk-SK"/>
              </w:rPr>
              <w:t>1 734 255</w:t>
            </w:r>
          </w:p>
        </w:tc>
      </w:tr>
    </w:tbl>
    <w:p w14:paraId="16E6D8BB" w14:textId="030E75F3" w:rsidR="00BB0A7A" w:rsidRDefault="00BB0A7A" w:rsidP="00BB0A7A">
      <w:pPr>
        <w:pStyle w:val="Graf"/>
        <w:ind w:left="1418" w:hanging="710"/>
      </w:pPr>
      <w:r>
        <w:t>Distribučná analýza nákupu stolových počítačov podľa záručnej doby a úrovne servisných služieb</w:t>
      </w:r>
      <w:r>
        <w:t xml:space="preserve"> (priemer a medián ceny)</w:t>
      </w:r>
    </w:p>
    <w:p w14:paraId="6B1D98E2" w14:textId="13869F22" w:rsidR="00BB0A7A" w:rsidRDefault="0009681B" w:rsidP="00BB0A7A">
      <w:pPr>
        <w:ind w:left="0"/>
        <w:rPr>
          <w:lang w:eastAsia="en-GB"/>
        </w:rPr>
      </w:pPr>
      <w:r w:rsidRPr="0009681B">
        <w:drawing>
          <wp:inline distT="0" distB="0" distL="0" distR="0" wp14:anchorId="3F74FCE9" wp14:editId="029DAA91">
            <wp:extent cx="6084559" cy="2809036"/>
            <wp:effectExtent l="0" t="0" r="0" b="0"/>
            <wp:docPr id="914027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63" cy="28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F6A34" w14:textId="2F5567C6" w:rsidR="00B141D1" w:rsidRDefault="00B141D1" w:rsidP="00B141D1">
      <w:pPr>
        <w:ind w:left="705"/>
        <w:rPr>
          <w:lang w:eastAsia="en-GB"/>
        </w:rPr>
      </w:pPr>
      <w:r>
        <w:rPr>
          <w:lang w:eastAsia="en-GB"/>
        </w:rPr>
        <w:t>Každý rok záručnej doby navyše stojí pri stolovom PC v priemere o 100-150 eur viac. Pri 5-ročnej záruke sú k dispozícii len 3 pozorovania a pri 2-ročnej len dve. Uvedené vyhodnotenie je do budúcna potrebné spresniť, nakoľko vo väčšine prípadov nebola záručná doba, ani úroveň servisných služieb uvedená.</w:t>
      </w:r>
    </w:p>
    <w:p w14:paraId="7A7AD7F7" w14:textId="77777777" w:rsidR="00B141D1" w:rsidRDefault="00B141D1">
      <w:pPr>
        <w:ind w:left="0"/>
        <w:jc w:val="left"/>
        <w:rPr>
          <w:lang w:eastAsia="en-GB"/>
        </w:rPr>
      </w:pPr>
      <w:r>
        <w:rPr>
          <w:lang w:eastAsia="en-GB"/>
        </w:rPr>
        <w:br w:type="page"/>
      </w:r>
    </w:p>
    <w:p w14:paraId="358CE57C" w14:textId="32342E74" w:rsidR="007C43D2" w:rsidRDefault="00D820EA" w:rsidP="00D820EA">
      <w:pPr>
        <w:pStyle w:val="Heading2"/>
      </w:pPr>
      <w:r>
        <w:lastRenderedPageBreak/>
        <w:t>Stolové počítače -  porovnanie priemerných cien po objednávateľoch s parametrami</w:t>
      </w:r>
      <w:bookmarkEnd w:id="2"/>
    </w:p>
    <w:p w14:paraId="09291576" w14:textId="7E841DEE" w:rsidR="00D820EA" w:rsidRDefault="007A19AB" w:rsidP="00D820EA">
      <w:pPr>
        <w:rPr>
          <w:lang w:eastAsia="en-GB"/>
        </w:rPr>
      </w:pPr>
      <w:r>
        <w:rPr>
          <w:lang w:eastAsia="en-GB"/>
        </w:rPr>
        <w:t xml:space="preserve">Z porovnávacej analýzy </w:t>
      </w:r>
      <w:r w:rsidR="00864FD3">
        <w:rPr>
          <w:lang w:eastAsia="en-GB"/>
        </w:rPr>
        <w:t xml:space="preserve">priemerných parametrov stolových počítačov po objednávateľoch </w:t>
      </w:r>
      <w:r>
        <w:rPr>
          <w:lang w:eastAsia="en-GB"/>
        </w:rPr>
        <w:t xml:space="preserve">vyplynulo, že v prípade hodnoty </w:t>
      </w:r>
      <w:proofErr w:type="spellStart"/>
      <w:r>
        <w:rPr>
          <w:lang w:eastAsia="en-GB"/>
        </w:rPr>
        <w:t>Passmark</w:t>
      </w:r>
      <w:proofErr w:type="spellEnd"/>
      <w:r>
        <w:rPr>
          <w:lang w:eastAsia="en-GB"/>
        </w:rPr>
        <w:t xml:space="preserve"> trend vývoja ceny </w:t>
      </w:r>
      <w:proofErr w:type="spellStart"/>
      <w:r>
        <w:rPr>
          <w:lang w:eastAsia="en-GB"/>
        </w:rPr>
        <w:t>nekoreluje</w:t>
      </w:r>
      <w:proofErr w:type="spellEnd"/>
      <w:r>
        <w:rPr>
          <w:lang w:eastAsia="en-GB"/>
        </w:rPr>
        <w:t xml:space="preserve"> (nárast hodnoty </w:t>
      </w:r>
      <w:proofErr w:type="spellStart"/>
      <w:r>
        <w:rPr>
          <w:lang w:eastAsia="en-GB"/>
        </w:rPr>
        <w:t>Passmark</w:t>
      </w:r>
      <w:proofErr w:type="spellEnd"/>
      <w:r>
        <w:rPr>
          <w:lang w:eastAsia="en-GB"/>
        </w:rPr>
        <w:t xml:space="preserve"> automaticky neznamená aj zodpovedajúci nárast ceny, v niektorých prípadoch došlo aj k poklesu, čo sa dá vysvetliť tak, že ostatné parametre boli u takých počítačov slabšie).</w:t>
      </w:r>
    </w:p>
    <w:p w14:paraId="23EFB856" w14:textId="2D7D1C96" w:rsidR="007A19AB" w:rsidRDefault="007A19AB" w:rsidP="00D820EA">
      <w:pPr>
        <w:rPr>
          <w:lang w:eastAsia="en-GB"/>
        </w:rPr>
      </w:pPr>
      <w:r>
        <w:rPr>
          <w:lang w:eastAsia="en-GB"/>
        </w:rPr>
        <w:t xml:space="preserve">Pri kapacite RAM a diskovej kapacite je korelačný vzťah silnejší, aj keď aj </w:t>
      </w:r>
      <w:r w:rsidR="00CA4DE8">
        <w:rPr>
          <w:lang w:eastAsia="en-GB"/>
        </w:rPr>
        <w:t>pri týchto parametroch sú odchýlky.</w:t>
      </w:r>
    </w:p>
    <w:p w14:paraId="2D6818E6" w14:textId="7320D192" w:rsidR="00864FD3" w:rsidRDefault="00864FD3" w:rsidP="00864FD3">
      <w:pPr>
        <w:pStyle w:val="Graf"/>
      </w:pPr>
      <w:r>
        <w:t xml:space="preserve">Ceny stolových počítačov v porovnaní s priemernou hodnotou </w:t>
      </w:r>
      <w:proofErr w:type="spellStart"/>
      <w:r>
        <w:t>Passmark</w:t>
      </w:r>
      <w:proofErr w:type="spellEnd"/>
      <w:r>
        <w:t xml:space="preserve"> procesora</w:t>
      </w:r>
    </w:p>
    <w:p w14:paraId="2EE6188D" w14:textId="7C0711AD" w:rsidR="00864FD3" w:rsidRDefault="00864FD3" w:rsidP="00864FD3">
      <w:pPr>
        <w:rPr>
          <w:lang w:eastAsia="en-GB"/>
        </w:rPr>
      </w:pPr>
      <w:r w:rsidRPr="00864FD3">
        <w:rPr>
          <w:noProof/>
        </w:rPr>
        <w:drawing>
          <wp:inline distT="0" distB="0" distL="0" distR="0" wp14:anchorId="0C6CF251" wp14:editId="312835E4">
            <wp:extent cx="5644095" cy="3321050"/>
            <wp:effectExtent l="0" t="0" r="0" b="0"/>
            <wp:docPr id="17438472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88" cy="332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BE70" w14:textId="5639DD8C" w:rsidR="0051624F" w:rsidRDefault="0051624F" w:rsidP="0051624F">
      <w:pPr>
        <w:pStyle w:val="Graf"/>
        <w:ind w:left="1418" w:hanging="710"/>
      </w:pPr>
      <w:r>
        <w:t>Ceny stolových počítačov v porovnaní s priemernou kapacitou nainštalovanej pamäte RAM</w:t>
      </w:r>
    </w:p>
    <w:p w14:paraId="76D10D60" w14:textId="4CF89CA4" w:rsidR="0051624F" w:rsidRDefault="00AB1F06" w:rsidP="0051624F">
      <w:pPr>
        <w:rPr>
          <w:lang w:eastAsia="en-GB"/>
        </w:rPr>
      </w:pPr>
      <w:r w:rsidRPr="00AB1F06">
        <w:rPr>
          <w:noProof/>
        </w:rPr>
        <w:drawing>
          <wp:inline distT="0" distB="0" distL="0" distR="0" wp14:anchorId="284B9A3C" wp14:editId="42FDADC0">
            <wp:extent cx="5651500" cy="3260914"/>
            <wp:effectExtent l="0" t="0" r="6350" b="0"/>
            <wp:docPr id="16013677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748" cy="326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80090" w14:textId="21952E6B" w:rsidR="0051624F" w:rsidRDefault="00AB1F06" w:rsidP="00AB1F06">
      <w:pPr>
        <w:pStyle w:val="Graf"/>
      </w:pPr>
      <w:r>
        <w:lastRenderedPageBreak/>
        <w:t>Ceny stolových počítačov v porovnaní s celkovou priemernou diskovou kapacitou</w:t>
      </w:r>
    </w:p>
    <w:p w14:paraId="7AC4B2F3" w14:textId="6711FDED" w:rsidR="00AB1F06" w:rsidRDefault="00AB1F06" w:rsidP="00AB1F06">
      <w:pPr>
        <w:rPr>
          <w:lang w:eastAsia="en-GB"/>
        </w:rPr>
      </w:pPr>
      <w:r w:rsidRPr="0051624F">
        <w:rPr>
          <w:noProof/>
        </w:rPr>
        <w:drawing>
          <wp:inline distT="0" distB="0" distL="0" distR="0" wp14:anchorId="38474B6F" wp14:editId="0DBA202B">
            <wp:extent cx="5731510" cy="3095625"/>
            <wp:effectExtent l="0" t="0" r="2540" b="9525"/>
            <wp:docPr id="11908413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57ED7" w14:textId="3365F3CD" w:rsidR="00AB1F06" w:rsidRDefault="000378BF" w:rsidP="00AB1F06">
      <w:pPr>
        <w:rPr>
          <w:lang w:eastAsia="en-GB"/>
        </w:rPr>
      </w:pPr>
      <w:r>
        <w:rPr>
          <w:lang w:eastAsia="en-GB"/>
        </w:rPr>
        <w:t>Ceny stolových počítačov s integrovanou (zdieľanou) grafickou kartou v porovnaní s cenami počítačov s dedikovanou (nezdieľanou) grafickou kartou sa výrazne líšia, pričom rozdiel je ešte vyšší ako pri notebookoch. Toto je spôsobené skutočnosťou, že integrované grafické karty na procesoroch v čase spracovania analýzy sú pomerne výkonné na bežné pracovné úlohy</w:t>
      </w:r>
      <w:r w:rsidR="00F0618C">
        <w:rPr>
          <w:lang w:eastAsia="en-GB"/>
        </w:rPr>
        <w:t xml:space="preserve"> postačujú s rezervou</w:t>
      </w:r>
      <w:r>
        <w:rPr>
          <w:lang w:eastAsia="en-GB"/>
        </w:rPr>
        <w:t xml:space="preserve"> (procesory pre stolové počítače sú spravidla výkonnejšie ako ich dvojičky pre notebooky)</w:t>
      </w:r>
      <w:r w:rsidR="00F0618C">
        <w:rPr>
          <w:lang w:eastAsia="en-GB"/>
        </w:rPr>
        <w:t>.</w:t>
      </w:r>
      <w:r>
        <w:rPr>
          <w:lang w:eastAsia="en-GB"/>
        </w:rPr>
        <w:t xml:space="preserve"> </w:t>
      </w:r>
      <w:r w:rsidR="00F0618C">
        <w:rPr>
          <w:lang w:eastAsia="en-GB"/>
        </w:rPr>
        <w:t>A</w:t>
      </w:r>
      <w:r>
        <w:rPr>
          <w:lang w:eastAsia="en-GB"/>
        </w:rPr>
        <w:t>k vznikne potreba do stolového PC doplniť dedikovanú grafickú kartu, vo väčšine prípadov</w:t>
      </w:r>
      <w:r w:rsidR="00F0618C">
        <w:rPr>
          <w:lang w:eastAsia="en-GB"/>
        </w:rPr>
        <w:t xml:space="preserve"> je to kvôli požiadavke na nadštandardne vysoký grafický výkon, aký integrovaná karta nemôže ani len z väčšej časti poskytnúť. Nemalo by zmysel kupovať stredne výkonnú dedikovanú kartu. Z dát aj vyplýva, že takto doplnené karty sú z výkonového (a cenového) hľadiska vo vyšších triedach, pričom v jednom prípade boli v počítači osadené dve karty v tandeme.</w:t>
      </w:r>
    </w:p>
    <w:p w14:paraId="428E6185" w14:textId="50356BC0" w:rsidR="00F0618C" w:rsidRDefault="00F0618C" w:rsidP="00F0618C">
      <w:pPr>
        <w:pStyle w:val="Graf"/>
        <w:ind w:left="1418" w:hanging="710"/>
      </w:pPr>
      <w:r>
        <w:t xml:space="preserve">Priemerná cena počítačov s integrovanou (zdieľanou) grafickou kartou </w:t>
      </w:r>
      <w:proofErr w:type="spellStart"/>
      <w:r>
        <w:t>vs</w:t>
      </w:r>
      <w:proofErr w:type="spellEnd"/>
      <w:r>
        <w:t>. počítačov s dedikovanou (nezdieľanou) grafickou kartou</w:t>
      </w:r>
    </w:p>
    <w:p w14:paraId="448B084A" w14:textId="3ACD5AAF" w:rsidR="00F0618C" w:rsidRPr="00F0618C" w:rsidRDefault="00F0618C" w:rsidP="00F0618C">
      <w:pPr>
        <w:ind w:left="426"/>
        <w:rPr>
          <w:lang w:eastAsia="en-GB"/>
        </w:rPr>
      </w:pPr>
      <w:r w:rsidRPr="00F0618C">
        <w:rPr>
          <w:noProof/>
        </w:rPr>
        <w:drawing>
          <wp:inline distT="0" distB="0" distL="0" distR="0" wp14:anchorId="13D0B41B" wp14:editId="33DFA678">
            <wp:extent cx="5731510" cy="2778125"/>
            <wp:effectExtent l="0" t="0" r="2540" b="3175"/>
            <wp:docPr id="18272843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0725" w14:textId="77777777" w:rsidR="00AB1F06" w:rsidRPr="00AB1F06" w:rsidRDefault="00AB1F06" w:rsidP="00AB1F06">
      <w:pPr>
        <w:rPr>
          <w:lang w:eastAsia="en-GB"/>
        </w:rPr>
      </w:pPr>
    </w:p>
    <w:p w14:paraId="4F56233E" w14:textId="10F1D637" w:rsidR="00C31054" w:rsidRPr="00460979" w:rsidRDefault="00C31054" w:rsidP="00C31054">
      <w:pPr>
        <w:pStyle w:val="Heading1"/>
        <w:numPr>
          <w:ilvl w:val="0"/>
          <w:numId w:val="18"/>
        </w:numPr>
        <w:ind w:left="1134"/>
        <w:rPr>
          <w:noProof/>
        </w:rPr>
      </w:pPr>
      <w:bookmarkStart w:id="3" w:name="_Toc185521407"/>
      <w:r>
        <w:rPr>
          <w:noProof/>
        </w:rPr>
        <w:lastRenderedPageBreak/>
        <w:t>Notebooky</w:t>
      </w:r>
      <w:bookmarkEnd w:id="3"/>
    </w:p>
    <w:p w14:paraId="3692E974" w14:textId="5DEBAEBA" w:rsidR="00C31054" w:rsidRPr="00460979" w:rsidRDefault="00C31054" w:rsidP="00C31054">
      <w:pPr>
        <w:rPr>
          <w:bCs/>
        </w:rPr>
      </w:pPr>
      <w:r w:rsidRPr="00460979">
        <w:rPr>
          <w:bCs/>
        </w:rPr>
        <w:t xml:space="preserve">Parametre </w:t>
      </w:r>
      <w:r w:rsidR="008771A9">
        <w:rPr>
          <w:bCs/>
        </w:rPr>
        <w:t>notebookov</w:t>
      </w:r>
      <w:r w:rsidRPr="00460979">
        <w:rPr>
          <w:bCs/>
        </w:rPr>
        <w:t xml:space="preserve"> v spracovanom súbore údajov majú nasledovné rozsahy:</w:t>
      </w:r>
    </w:p>
    <w:p w14:paraId="3D12CF26" w14:textId="6E7E680F" w:rsidR="00C31054" w:rsidRDefault="00C31054" w:rsidP="00C31054">
      <w:pPr>
        <w:pStyle w:val="ListParagraph"/>
        <w:numPr>
          <w:ilvl w:val="0"/>
          <w:numId w:val="19"/>
        </w:numPr>
        <w:rPr>
          <w:bCs/>
          <w:lang w:val="sk-SK"/>
        </w:rPr>
      </w:pPr>
      <w:proofErr w:type="spellStart"/>
      <w:r w:rsidRPr="00460979">
        <w:rPr>
          <w:bCs/>
          <w:lang w:val="sk-SK"/>
        </w:rPr>
        <w:t>Passmark</w:t>
      </w:r>
      <w:proofErr w:type="spellEnd"/>
      <w:r w:rsidRPr="00460979">
        <w:rPr>
          <w:bCs/>
          <w:lang w:val="sk-SK"/>
        </w:rPr>
        <w:t xml:space="preserve"> procesora od </w:t>
      </w:r>
      <w:r>
        <w:rPr>
          <w:bCs/>
          <w:lang w:val="sk-SK"/>
        </w:rPr>
        <w:t>3 </w:t>
      </w:r>
      <w:r w:rsidR="008771A9">
        <w:rPr>
          <w:bCs/>
          <w:lang w:val="sk-SK"/>
        </w:rPr>
        <w:t>468</w:t>
      </w:r>
      <w:r>
        <w:rPr>
          <w:bCs/>
          <w:lang w:val="sk-SK"/>
        </w:rPr>
        <w:t xml:space="preserve"> do </w:t>
      </w:r>
      <w:r w:rsidR="008771A9">
        <w:rPr>
          <w:bCs/>
          <w:lang w:val="sk-SK"/>
        </w:rPr>
        <w:t>22 650</w:t>
      </w:r>
      <w:r>
        <w:rPr>
          <w:bCs/>
          <w:lang w:val="sk-SK"/>
        </w:rPr>
        <w:t xml:space="preserve"> bodov</w:t>
      </w:r>
    </w:p>
    <w:p w14:paraId="15A1ADA3" w14:textId="2D359665" w:rsidR="00C31054" w:rsidRDefault="00C31054" w:rsidP="00C31054">
      <w:pPr>
        <w:pStyle w:val="ListParagraph"/>
        <w:numPr>
          <w:ilvl w:val="0"/>
          <w:numId w:val="19"/>
        </w:numPr>
        <w:rPr>
          <w:bCs/>
          <w:lang w:val="sk-SK"/>
        </w:rPr>
      </w:pPr>
      <w:r>
        <w:rPr>
          <w:bCs/>
          <w:lang w:val="sk-SK"/>
        </w:rPr>
        <w:t xml:space="preserve">Kapacita nainštalovanej pamäte RAM od </w:t>
      </w:r>
      <w:r w:rsidR="00F429C4">
        <w:rPr>
          <w:bCs/>
          <w:lang w:val="sk-SK"/>
        </w:rPr>
        <w:t>8</w:t>
      </w:r>
      <w:r>
        <w:rPr>
          <w:bCs/>
          <w:lang w:val="sk-SK"/>
        </w:rPr>
        <w:t xml:space="preserve"> GB do </w:t>
      </w:r>
      <w:r w:rsidR="008771A9">
        <w:rPr>
          <w:bCs/>
          <w:lang w:val="sk-SK"/>
        </w:rPr>
        <w:t>32</w:t>
      </w:r>
      <w:r>
        <w:rPr>
          <w:bCs/>
          <w:lang w:val="sk-SK"/>
        </w:rPr>
        <w:t xml:space="preserve"> GB</w:t>
      </w:r>
      <w:r w:rsidR="00F429C4">
        <w:rPr>
          <w:bCs/>
          <w:lang w:val="sk-SK"/>
        </w:rPr>
        <w:t>, jeden notebook so 4 GB RAM</w:t>
      </w:r>
    </w:p>
    <w:p w14:paraId="768F0EF8" w14:textId="7F2347A9" w:rsidR="00C31054" w:rsidRDefault="00C31054" w:rsidP="00C31054">
      <w:pPr>
        <w:pStyle w:val="ListParagraph"/>
        <w:numPr>
          <w:ilvl w:val="0"/>
          <w:numId w:val="19"/>
        </w:numPr>
        <w:rPr>
          <w:bCs/>
          <w:lang w:val="sk-SK"/>
        </w:rPr>
      </w:pPr>
      <w:r>
        <w:rPr>
          <w:bCs/>
          <w:lang w:val="sk-SK"/>
        </w:rPr>
        <w:t xml:space="preserve">Celková kapacita diskov od </w:t>
      </w:r>
      <w:r w:rsidR="00F429C4">
        <w:rPr>
          <w:bCs/>
          <w:lang w:val="sk-SK"/>
        </w:rPr>
        <w:t>120</w:t>
      </w:r>
      <w:r>
        <w:rPr>
          <w:bCs/>
          <w:lang w:val="sk-SK"/>
        </w:rPr>
        <w:t xml:space="preserve"> GB do </w:t>
      </w:r>
      <w:r w:rsidR="00F429C4">
        <w:rPr>
          <w:bCs/>
          <w:lang w:val="sk-SK"/>
        </w:rPr>
        <w:t>1 536</w:t>
      </w:r>
      <w:r>
        <w:rPr>
          <w:bCs/>
          <w:lang w:val="sk-SK"/>
        </w:rPr>
        <w:t xml:space="preserve"> GB</w:t>
      </w:r>
    </w:p>
    <w:p w14:paraId="693E283E" w14:textId="580E2CBF" w:rsidR="00C31054" w:rsidRDefault="00C31054" w:rsidP="00C31054">
      <w:pPr>
        <w:pStyle w:val="ListParagraph"/>
        <w:numPr>
          <w:ilvl w:val="0"/>
          <w:numId w:val="19"/>
        </w:numPr>
        <w:rPr>
          <w:bCs/>
          <w:lang w:val="sk-SK"/>
        </w:rPr>
      </w:pPr>
      <w:r>
        <w:rPr>
          <w:bCs/>
          <w:lang w:val="sk-SK"/>
        </w:rPr>
        <w:t>Technológia diskov: SSD</w:t>
      </w:r>
      <w:r w:rsidR="00457641">
        <w:rPr>
          <w:bCs/>
          <w:lang w:val="sk-SK"/>
        </w:rPr>
        <w:t xml:space="preserve">, </w:t>
      </w:r>
      <w:r w:rsidR="00F429C4">
        <w:rPr>
          <w:bCs/>
          <w:lang w:val="sk-SK"/>
        </w:rPr>
        <w:t>HDD</w:t>
      </w:r>
      <w:r w:rsidR="00457641">
        <w:rPr>
          <w:bCs/>
          <w:lang w:val="sk-SK"/>
        </w:rPr>
        <w:t xml:space="preserve"> alebo kombinácia oboch</w:t>
      </w:r>
    </w:p>
    <w:p w14:paraId="109ABEF3" w14:textId="77777777" w:rsidR="00C31054" w:rsidRDefault="00C31054" w:rsidP="00C31054">
      <w:pPr>
        <w:pStyle w:val="ListParagraph"/>
        <w:numPr>
          <w:ilvl w:val="0"/>
          <w:numId w:val="19"/>
        </w:numPr>
        <w:rPr>
          <w:bCs/>
          <w:lang w:val="sk-SK"/>
        </w:rPr>
      </w:pPr>
      <w:r>
        <w:rPr>
          <w:bCs/>
          <w:lang w:val="sk-SK"/>
        </w:rPr>
        <w:t xml:space="preserve">Grafická karta: zdieľaná </w:t>
      </w:r>
      <w:proofErr w:type="spellStart"/>
      <w:r>
        <w:rPr>
          <w:bCs/>
          <w:lang w:val="sk-SK"/>
        </w:rPr>
        <w:t>vs</w:t>
      </w:r>
      <w:proofErr w:type="spellEnd"/>
      <w:r>
        <w:rPr>
          <w:bCs/>
          <w:lang w:val="sk-SK"/>
        </w:rPr>
        <w:t>. dedikovaná</w:t>
      </w:r>
    </w:p>
    <w:p w14:paraId="1B9C1D63" w14:textId="29BA6FDA" w:rsidR="00C31054" w:rsidRDefault="00C31054" w:rsidP="00C31054">
      <w:pPr>
        <w:rPr>
          <w:bCs/>
        </w:rPr>
      </w:pPr>
      <w:r>
        <w:rPr>
          <w:bCs/>
        </w:rPr>
        <w:t xml:space="preserve">Celková priemerná cena </w:t>
      </w:r>
      <w:r w:rsidR="00F429C4">
        <w:rPr>
          <w:bCs/>
        </w:rPr>
        <w:t>notebookov</w:t>
      </w:r>
      <w:r>
        <w:rPr>
          <w:bCs/>
        </w:rPr>
        <w:t xml:space="preserve"> v hodnotenom súbore údajov predstavuje </w:t>
      </w:r>
      <w:r w:rsidRPr="00460979">
        <w:rPr>
          <w:b/>
        </w:rPr>
        <w:t>1 </w:t>
      </w:r>
      <w:r w:rsidR="00457641">
        <w:rPr>
          <w:b/>
        </w:rPr>
        <w:t>259</w:t>
      </w:r>
      <w:r w:rsidRPr="00460979">
        <w:rPr>
          <w:b/>
        </w:rPr>
        <w:t xml:space="preserve"> eur</w:t>
      </w:r>
      <w:r>
        <w:rPr>
          <w:bCs/>
        </w:rPr>
        <w:t>.</w:t>
      </w:r>
    </w:p>
    <w:p w14:paraId="4F201FC7" w14:textId="0BCE54C6" w:rsidR="00C31054" w:rsidRDefault="00C31054" w:rsidP="00C31054">
      <w:pPr>
        <w:pStyle w:val="Tabulka"/>
        <w:ind w:left="1843" w:hanging="1134"/>
      </w:pPr>
      <w:r>
        <w:t xml:space="preserve">Štatistické hodnoty cien </w:t>
      </w:r>
      <w:r w:rsidR="00F429C4">
        <w:t>notebookov</w:t>
      </w:r>
      <w:r>
        <w:t xml:space="preserve"> podľa rôznych konfigurácií nainštalovanej RAM a celkovej diskovej kapacity</w:t>
      </w:r>
      <w:r w:rsidR="00F429C4">
        <w:t xml:space="preserve"> – notebook so 4 GB RAM bol vyradený z hodnotenia</w:t>
      </w:r>
    </w:p>
    <w:tbl>
      <w:tblPr>
        <w:tblW w:w="0" w:type="auto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1103"/>
        <w:gridCol w:w="843"/>
        <w:gridCol w:w="843"/>
        <w:gridCol w:w="843"/>
        <w:gridCol w:w="843"/>
      </w:tblGrid>
      <w:tr w:rsidR="00F429C4" w:rsidRPr="00F429C4" w14:paraId="1009DFE4" w14:textId="77777777" w:rsidTr="00F429C4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4B2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RAM [GB]/SSD [GB]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4C74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C52C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0A51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9D77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9AC87B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</w:tr>
      <w:tr w:rsidR="00F429C4" w:rsidRPr="00F429C4" w14:paraId="5D624D78" w14:textId="77777777" w:rsidTr="00F429C4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F30F" w14:textId="77777777" w:rsidR="00F429C4" w:rsidRPr="00F429C4" w:rsidRDefault="00F429C4" w:rsidP="00F429C4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F805C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C1135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CD22E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803D4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D7C30B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F429C4" w:rsidRPr="00F429C4" w14:paraId="42B2BB5B" w14:textId="77777777" w:rsidTr="00F429C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D195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8/256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0490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F46E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244A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752,60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D5F8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1 129,11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0D4F94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886,88</w:t>
            </w:r>
          </w:p>
        </w:tc>
      </w:tr>
      <w:tr w:rsidR="00F429C4" w:rsidRPr="00F429C4" w14:paraId="77927C3D" w14:textId="77777777" w:rsidTr="00F429C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5CB0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8/512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A27B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1AA7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717,08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6DEE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1 086,13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27A3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1 296,75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3E92CD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1 025,20</w:t>
            </w:r>
          </w:p>
        </w:tc>
      </w:tr>
      <w:tr w:rsidR="00F429C4" w:rsidRPr="00F429C4" w14:paraId="71CB1AB1" w14:textId="77777777" w:rsidTr="00F429C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3216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16/256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4EA2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721F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1 132,10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DDDD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1 690,50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2F84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2 394,54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45B8B1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1 829,04</w:t>
            </w:r>
          </w:p>
        </w:tc>
      </w:tr>
      <w:tr w:rsidR="00F429C4" w:rsidRPr="00F429C4" w14:paraId="4944C77D" w14:textId="77777777" w:rsidTr="00F429C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E194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16/512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A630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347D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1 109,25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69F8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1 360,24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F84F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1 754,42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C29E6E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color w:val="000000"/>
                <w:lang w:eastAsia="sk-SK"/>
              </w:rPr>
              <w:t>1 530,55</w:t>
            </w:r>
          </w:p>
        </w:tc>
      </w:tr>
      <w:tr w:rsidR="00F429C4" w:rsidRPr="00F429C4" w14:paraId="15825FE0" w14:textId="77777777" w:rsidTr="00F429C4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AEA" w14:textId="77777777" w:rsid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F429C4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 xml:space="preserve">Ostatné do </w:t>
            </w:r>
            <w:proofErr w:type="spellStart"/>
            <w:r w:rsidRPr="00F429C4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celk</w:t>
            </w:r>
            <w:proofErr w:type="spellEnd"/>
            <w:r w:rsidRPr="00F429C4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. počtu</w:t>
            </w:r>
          </w:p>
          <w:p w14:paraId="6EA5E4F8" w14:textId="179C0AE8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F429C4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(mimo nastavený filter)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E0C6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F429C4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EE4F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F429C4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1 164,00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3992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F429C4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1 431,01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6CF4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F429C4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2 768,00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8C175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iCs/>
                <w:color w:val="002060"/>
                <w:lang w:eastAsia="sk-SK"/>
              </w:rPr>
            </w:pPr>
            <w:r w:rsidRPr="00F429C4">
              <w:rPr>
                <w:rFonts w:eastAsia="Times New Roman" w:cs="Times New Roman"/>
                <w:i/>
                <w:iCs/>
                <w:color w:val="002060"/>
                <w:lang w:eastAsia="sk-SK"/>
              </w:rPr>
              <w:t>1 893,12</w:t>
            </w:r>
          </w:p>
        </w:tc>
      </w:tr>
      <w:tr w:rsidR="00F429C4" w:rsidRPr="00F429C4" w14:paraId="51345522" w14:textId="77777777" w:rsidTr="00F429C4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17AF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4AF9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12D9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728,07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E7FF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1 127,89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0151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1 505,29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7F7EE7" w14:textId="77777777" w:rsidR="00F429C4" w:rsidRPr="00F429C4" w:rsidRDefault="00F429C4" w:rsidP="00F429C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429C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1 265,92</w:t>
            </w:r>
          </w:p>
        </w:tc>
      </w:tr>
    </w:tbl>
    <w:p w14:paraId="1EAFBECA" w14:textId="77777777" w:rsidR="00C31054" w:rsidRPr="00BB7165" w:rsidRDefault="00C31054" w:rsidP="00C31054">
      <w:pPr>
        <w:pStyle w:val="IDRP"/>
        <w:spacing w:before="120"/>
        <w:ind w:left="709"/>
        <w:jc w:val="right"/>
        <w:rPr>
          <w:i/>
          <w:iCs/>
        </w:rPr>
      </w:pPr>
      <w:r w:rsidRPr="00BB7165">
        <w:rPr>
          <w:i/>
          <w:iCs/>
        </w:rPr>
        <w:t>Zdroj: Centrálny register zmlúv, spracovanie: IDRP MIRRI SR</w:t>
      </w:r>
    </w:p>
    <w:p w14:paraId="573719D5" w14:textId="5B4864DE" w:rsidR="00C31054" w:rsidRDefault="003467BC" w:rsidP="00C31054">
      <w:pPr>
        <w:pStyle w:val="Heading2"/>
      </w:pPr>
      <w:bookmarkStart w:id="4" w:name="_Toc185521408"/>
      <w:r>
        <w:t>Notebooky</w:t>
      </w:r>
      <w:r w:rsidR="00C31054">
        <w:t xml:space="preserve"> – distribučné analýzy</w:t>
      </w:r>
      <w:bookmarkEnd w:id="4"/>
    </w:p>
    <w:p w14:paraId="77E6E109" w14:textId="52F44972" w:rsidR="00C31054" w:rsidRDefault="00C31054" w:rsidP="00C31054">
      <w:pPr>
        <w:spacing w:before="160"/>
        <w:ind w:left="709"/>
        <w:rPr>
          <w:lang w:eastAsia="en-GB"/>
        </w:rPr>
      </w:pPr>
      <w:r>
        <w:rPr>
          <w:lang w:eastAsia="en-GB"/>
        </w:rPr>
        <w:t xml:space="preserve">Distribúcia počtu pozorovaní, počtu nakúpených kusov a cien podľa hodnoty </w:t>
      </w:r>
      <w:proofErr w:type="spellStart"/>
      <w:r>
        <w:rPr>
          <w:lang w:eastAsia="en-GB"/>
        </w:rPr>
        <w:t>Passmark</w:t>
      </w:r>
      <w:proofErr w:type="spellEnd"/>
      <w:r>
        <w:rPr>
          <w:lang w:eastAsia="en-GB"/>
        </w:rPr>
        <w:t xml:space="preserve"> procesora ukazuje, že najviac pozorovaní je v intervaloch od </w:t>
      </w:r>
      <w:r w:rsidR="003467BC">
        <w:rPr>
          <w:lang w:eastAsia="en-GB"/>
        </w:rPr>
        <w:t>5 000</w:t>
      </w:r>
      <w:r>
        <w:rPr>
          <w:lang w:eastAsia="en-GB"/>
        </w:rPr>
        <w:t xml:space="preserve"> do </w:t>
      </w:r>
      <w:r w:rsidR="003467BC">
        <w:rPr>
          <w:lang w:eastAsia="en-GB"/>
        </w:rPr>
        <w:t>7 250</w:t>
      </w:r>
      <w:r>
        <w:rPr>
          <w:lang w:eastAsia="en-GB"/>
        </w:rPr>
        <w:t xml:space="preserve"> bodov, ďalej od </w:t>
      </w:r>
      <w:r w:rsidR="003467BC">
        <w:rPr>
          <w:lang w:eastAsia="en-GB"/>
        </w:rPr>
        <w:t>7 250</w:t>
      </w:r>
      <w:r>
        <w:rPr>
          <w:lang w:eastAsia="en-GB"/>
        </w:rPr>
        <w:t xml:space="preserve"> do </w:t>
      </w:r>
      <w:r w:rsidR="003467BC">
        <w:rPr>
          <w:lang w:eastAsia="en-GB"/>
        </w:rPr>
        <w:t>9 500</w:t>
      </w:r>
      <w:r>
        <w:rPr>
          <w:lang w:eastAsia="en-GB"/>
        </w:rPr>
        <w:t xml:space="preserve"> bodov a potom od </w:t>
      </w:r>
      <w:r w:rsidR="003467BC">
        <w:rPr>
          <w:lang w:eastAsia="en-GB"/>
        </w:rPr>
        <w:t>9 500</w:t>
      </w:r>
      <w:r>
        <w:rPr>
          <w:lang w:eastAsia="en-GB"/>
        </w:rPr>
        <w:t xml:space="preserve"> do </w:t>
      </w:r>
      <w:r w:rsidR="003467BC">
        <w:rPr>
          <w:lang w:eastAsia="en-GB"/>
        </w:rPr>
        <w:t>12</w:t>
      </w:r>
      <w:r>
        <w:rPr>
          <w:lang w:eastAsia="en-GB"/>
        </w:rPr>
        <w:t xml:space="preserve"> 000 bodov. Toto </w:t>
      </w:r>
      <w:r w:rsidR="003467BC">
        <w:rPr>
          <w:lang w:eastAsia="en-GB"/>
        </w:rPr>
        <w:t>má ofset</w:t>
      </w:r>
      <w:r>
        <w:rPr>
          <w:lang w:eastAsia="en-GB"/>
        </w:rPr>
        <w:t xml:space="preserve"> </w:t>
      </w:r>
      <w:r w:rsidR="003467BC">
        <w:rPr>
          <w:lang w:eastAsia="en-GB"/>
        </w:rPr>
        <w:t>oproti</w:t>
      </w:r>
      <w:r>
        <w:rPr>
          <w:lang w:eastAsia="en-GB"/>
        </w:rPr>
        <w:t> distribúci</w:t>
      </w:r>
      <w:r w:rsidR="003467BC">
        <w:rPr>
          <w:lang w:eastAsia="en-GB"/>
        </w:rPr>
        <w:t>i</w:t>
      </w:r>
      <w:r>
        <w:rPr>
          <w:lang w:eastAsia="en-GB"/>
        </w:rPr>
        <w:t xml:space="preserve"> celkového počtu nakúpených kusov, nakoľko najviac kusov je v kategóri</w:t>
      </w:r>
      <w:r w:rsidR="003467BC">
        <w:rPr>
          <w:lang w:eastAsia="en-GB"/>
        </w:rPr>
        <w:t>ách</w:t>
      </w:r>
      <w:r>
        <w:rPr>
          <w:lang w:eastAsia="en-GB"/>
        </w:rPr>
        <w:t xml:space="preserve"> od </w:t>
      </w:r>
      <w:r w:rsidR="003467BC">
        <w:rPr>
          <w:lang w:eastAsia="en-GB"/>
        </w:rPr>
        <w:t>7 250</w:t>
      </w:r>
      <w:r>
        <w:rPr>
          <w:lang w:eastAsia="en-GB"/>
        </w:rPr>
        <w:t xml:space="preserve"> do </w:t>
      </w:r>
      <w:r w:rsidR="003467BC">
        <w:rPr>
          <w:lang w:eastAsia="en-GB"/>
        </w:rPr>
        <w:t>9500</w:t>
      </w:r>
      <w:r>
        <w:rPr>
          <w:lang w:eastAsia="en-GB"/>
        </w:rPr>
        <w:t xml:space="preserve"> bodov</w:t>
      </w:r>
      <w:r w:rsidR="003467BC">
        <w:rPr>
          <w:lang w:eastAsia="en-GB"/>
        </w:rPr>
        <w:t>, od 9 500 do 12 000 bodov a od 12 000 do 14 500 bodov</w:t>
      </w:r>
      <w:r>
        <w:rPr>
          <w:lang w:eastAsia="en-GB"/>
        </w:rPr>
        <w:t xml:space="preserve">. Znamená to, že </w:t>
      </w:r>
      <w:r w:rsidR="003467BC">
        <w:rPr>
          <w:lang w:eastAsia="en-GB"/>
        </w:rPr>
        <w:t>v najvyššej kategórii sa nakúpilo naraz väčšie množstvo a naopak, v najnižšej zasa išlo o rôzne konfigurácie s nízkym výkonom po menšom počte kusov</w:t>
      </w:r>
      <w:r>
        <w:rPr>
          <w:lang w:eastAsia="en-GB"/>
        </w:rPr>
        <w:t>.</w:t>
      </w:r>
    </w:p>
    <w:p w14:paraId="3D2AE09F" w14:textId="300B47F1" w:rsidR="00F8072E" w:rsidRDefault="00F8072E" w:rsidP="00C31054">
      <w:pPr>
        <w:spacing w:before="160"/>
        <w:ind w:left="709"/>
        <w:rPr>
          <w:lang w:eastAsia="en-GB"/>
        </w:rPr>
      </w:pPr>
      <w:r>
        <w:rPr>
          <w:lang w:eastAsia="en-GB"/>
        </w:rPr>
        <w:t>Jednou významnou skupinou je ešte kategória od 18 500 do 21 000 bodov, kde bolo nakúpených vyše 2 700 notebookov v celkom 6 rôznych konfiguráciách.</w:t>
      </w:r>
    </w:p>
    <w:p w14:paraId="6F53FC3F" w14:textId="77777777" w:rsidR="00C31054" w:rsidRDefault="00C31054" w:rsidP="00C31054">
      <w:pPr>
        <w:ind w:left="0"/>
        <w:jc w:val="left"/>
        <w:rPr>
          <w:lang w:eastAsia="en-GB"/>
        </w:rPr>
      </w:pPr>
      <w:r>
        <w:rPr>
          <w:lang w:eastAsia="en-GB"/>
        </w:rPr>
        <w:br w:type="page"/>
      </w:r>
    </w:p>
    <w:p w14:paraId="0400DEF9" w14:textId="4E644602" w:rsidR="00C31054" w:rsidRDefault="00C31054" w:rsidP="00C31054">
      <w:pPr>
        <w:pStyle w:val="Tabulka"/>
        <w:ind w:left="1843" w:hanging="1143"/>
      </w:pPr>
      <w:r>
        <w:lastRenderedPageBreak/>
        <w:t xml:space="preserve">Distribučná analýza nákupu </w:t>
      </w:r>
      <w:r w:rsidR="003467BC">
        <w:t>notebookov</w:t>
      </w:r>
      <w:r>
        <w:t xml:space="preserve"> podľa hodnoty </w:t>
      </w:r>
      <w:proofErr w:type="spellStart"/>
      <w:r>
        <w:t>Passmark</w:t>
      </w:r>
      <w:proofErr w:type="spellEnd"/>
      <w:r>
        <w:t xml:space="preserve"> procesora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103"/>
        <w:gridCol w:w="843"/>
        <w:gridCol w:w="843"/>
        <w:gridCol w:w="843"/>
        <w:gridCol w:w="843"/>
        <w:gridCol w:w="1073"/>
        <w:gridCol w:w="1123"/>
      </w:tblGrid>
      <w:tr w:rsidR="00F8072E" w:rsidRPr="00E72690" w14:paraId="18E615D9" w14:textId="77777777" w:rsidTr="00E72690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B0473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B23B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3E0E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508A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937A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84E4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E2F0" w14:textId="1787F8CF" w:rsidR="00E72690" w:rsidRPr="00E72690" w:rsidRDefault="00F8072E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="00E72690"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="00E72690"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EF4D" w14:textId="5F1201E7" w:rsidR="00E72690" w:rsidRPr="00E72690" w:rsidRDefault="00F8072E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="00E72690"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="00E72690"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platba</w:t>
            </w:r>
          </w:p>
        </w:tc>
      </w:tr>
      <w:tr w:rsidR="00F8072E" w:rsidRPr="00E72690" w14:paraId="36284EA1" w14:textId="77777777" w:rsidTr="00E72690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E0D423" w14:textId="77777777" w:rsidR="00E72690" w:rsidRPr="00E72690" w:rsidRDefault="00E72690" w:rsidP="00E72690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7264B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4F471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29426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A74D0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FFE8B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4F011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A804A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F8072E" w:rsidRPr="00E72690" w14:paraId="4341CD58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55B9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do 3500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6EE0" w14:textId="5DDDB519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6AF5" w14:textId="55784D84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FBEB" w14:textId="2D13D11A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21B7" w14:textId="5DD9DDEE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3DEC" w14:textId="1DF1AD55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7BC5" w14:textId="3E5AA3BF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2A47" w14:textId="1C0B04DA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3 591</w:t>
            </w:r>
          </w:p>
        </w:tc>
      </w:tr>
      <w:tr w:rsidR="00F8072E" w:rsidRPr="00E72690" w14:paraId="69500D5F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8402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nad 3500 a do 5000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0ECE" w14:textId="59582058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B2A7" w14:textId="69911BCC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690,55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84E3" w14:textId="16B5F6EF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864,25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D89A" w14:textId="6408FE70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1 362,28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4125" w14:textId="0D358152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964,84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00EF" w14:textId="46403CA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9827" w14:textId="6F1491F3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136 473</w:t>
            </w:r>
          </w:p>
        </w:tc>
      </w:tr>
      <w:tr w:rsidR="00F8072E" w:rsidRPr="00E72690" w14:paraId="0CAEF0C1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DE36F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nad 5000 a do 7250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DEB4" w14:textId="642D3C05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A73C" w14:textId="45FE56CD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667,18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8EC6" w14:textId="5321FD41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23F0" w14:textId="6F29DD4F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1 193,49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7825" w14:textId="31F5E139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964,19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E1A1" w14:textId="3E00F402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D48C" w14:textId="4FA7E2E9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687 381</w:t>
            </w:r>
          </w:p>
        </w:tc>
      </w:tr>
      <w:tr w:rsidR="00F8072E" w:rsidRPr="00E72690" w14:paraId="57B4D0AF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D330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nad 7250 a do 9500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9F52" w14:textId="2DA0A832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E02F" w14:textId="39404AFE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758,06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4B48" w14:textId="277473BB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1 043,00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EBB1" w14:textId="49535889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1 308,22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9350" w14:textId="2B85D931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1 061,07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0567" w14:textId="53F99FAA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4 465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3A19" w14:textId="047D695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3 617 554</w:t>
            </w:r>
          </w:p>
        </w:tc>
      </w:tr>
      <w:tr w:rsidR="00F8072E" w:rsidRPr="00E72690" w14:paraId="105F6F43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B04D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nad 9500 a do 12000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54EF" w14:textId="3C0373D1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424C" w14:textId="7D4E7C3D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549,15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1F8B" w14:textId="11F44531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1 090,50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11B4" w14:textId="5899A07C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1 459,68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0A1E" w14:textId="7F1924B0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1 136,41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1809" w14:textId="083BEC08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4 427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E3EB" w14:textId="47919265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3 223 575</w:t>
            </w:r>
          </w:p>
        </w:tc>
      </w:tr>
      <w:tr w:rsidR="00F8072E" w:rsidRPr="00E72690" w14:paraId="7A0878E8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1C5B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nad 12000 a do 14500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9FAE" w14:textId="3675824D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C122" w14:textId="0FA42C85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827,50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16FD" w14:textId="1D1214A5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1 226,40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8F06" w14:textId="22797243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2 393,94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ABFB" w14:textId="1F345E3B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1 545,71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701C" w14:textId="74AE7684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4 740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B74B" w14:textId="43BF0C94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3 111 900</w:t>
            </w:r>
          </w:p>
        </w:tc>
      </w:tr>
      <w:tr w:rsidR="00F8072E" w:rsidRPr="00E72690" w14:paraId="1E257345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531E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nad 14500 a do 16000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8309" w14:textId="589EFBAE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C1A5" w14:textId="7B6B6EE5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1 041,67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9475" w14:textId="4BD6145F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1 045,00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2B38" w14:textId="7C3D29CE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1 799,00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A73B" w14:textId="466B5080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1 466,81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82DD" w14:textId="6D97583F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18A6" w14:textId="342027D4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977 344</w:t>
            </w:r>
          </w:p>
        </w:tc>
      </w:tr>
      <w:tr w:rsidR="00F8072E" w:rsidRPr="00E72690" w14:paraId="67E3FB8C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3E52D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nad 16000 a do 18500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B148" w14:textId="5BC9D4C6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115E" w14:textId="0AAEE136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3 103,70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0085" w14:textId="69424ED3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4 056,00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98B9" w14:textId="6151ABB3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4 923,40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EA11" w14:textId="271BC2B3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3 999,40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75F4" w14:textId="4A61C422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DB26" w14:textId="6D5D5C0E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216 191</w:t>
            </w:r>
          </w:p>
        </w:tc>
      </w:tr>
      <w:tr w:rsidR="00F8072E" w:rsidRPr="00E72690" w14:paraId="14DAB5D2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1349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nad 18500 a do 21000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A0CD" w14:textId="17FFAD9F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A4AC" w14:textId="12E51E6D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1 584,64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5046" w14:textId="261E797F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2 231,34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5596" w14:textId="5FCC076A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2 782,81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3242" w14:textId="495078B2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2 131,96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F4DA" w14:textId="55825F6A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382B" w14:textId="00CEDE85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2 682 890</w:t>
            </w:r>
          </w:p>
        </w:tc>
      </w:tr>
      <w:tr w:rsidR="00F8072E" w:rsidRPr="00E72690" w14:paraId="32E20032" w14:textId="77777777" w:rsidTr="00E72690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DF7DB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</w:t>
            </w:r>
            <w:proofErr w:type="spellEnd"/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 nad 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59BB" w14:textId="4C71C61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5E94" w14:textId="1BD41A6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2 303,68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5984" w14:textId="7B868052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2 608,36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D946" w14:textId="7D306892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2 688,18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0E60" w14:textId="40D824F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2 458,45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3856" w14:textId="3A4AEBBD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35AC" w14:textId="7ECEE09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101 946</w:t>
            </w:r>
          </w:p>
        </w:tc>
      </w:tr>
      <w:tr w:rsidR="00F8072E" w:rsidRPr="00E72690" w14:paraId="1A1D9BDF" w14:textId="77777777" w:rsidTr="00E72690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E499E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color w:val="000000"/>
                <w:lang w:eastAsia="sk-SK"/>
              </w:rPr>
              <w:t xml:space="preserve">Bez údajov o </w:t>
            </w:r>
            <w:proofErr w:type="spellStart"/>
            <w:r w:rsidRPr="00E72690">
              <w:rPr>
                <w:rFonts w:eastAsia="Times New Roman" w:cs="Times New Roman"/>
                <w:color w:val="000000"/>
                <w:lang w:eastAsia="sk-SK"/>
              </w:rPr>
              <w:t>passmarku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08DE" w14:textId="2DAE8305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F7A7" w14:textId="65910E50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1 164,00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C94B0" w14:textId="6F075F7D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1 424,40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07AB" w14:textId="26A82968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2 247,70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FFBE5" w14:textId="427CDDBD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1 661,67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F52AF" w14:textId="5AF7EADF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40340" w14:textId="63BF07E4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75 569</w:t>
            </w:r>
          </w:p>
        </w:tc>
      </w:tr>
    </w:tbl>
    <w:p w14:paraId="53741CDF" w14:textId="77E10392" w:rsidR="00C31054" w:rsidRDefault="00C31054" w:rsidP="00C31054">
      <w:pPr>
        <w:pStyle w:val="Graf"/>
        <w:ind w:left="1418" w:hanging="710"/>
      </w:pPr>
      <w:r>
        <w:t xml:space="preserve">Distribučná analýza nákupu </w:t>
      </w:r>
      <w:r w:rsidR="00E72690">
        <w:t>notebookov</w:t>
      </w:r>
      <w:r>
        <w:t xml:space="preserve"> podľa hodnoty </w:t>
      </w:r>
      <w:proofErr w:type="spellStart"/>
      <w:r>
        <w:t>Passmark</w:t>
      </w:r>
      <w:proofErr w:type="spellEnd"/>
      <w:r>
        <w:t xml:space="preserve"> procesora (priemer a medián ceny)</w:t>
      </w:r>
    </w:p>
    <w:p w14:paraId="28847DD1" w14:textId="7D364AF0" w:rsidR="00C31054" w:rsidRDefault="00F8072E" w:rsidP="00C31054">
      <w:pPr>
        <w:ind w:left="-567"/>
        <w:rPr>
          <w:lang w:eastAsia="en-GB"/>
        </w:rPr>
      </w:pPr>
      <w:r w:rsidRPr="00F8072E">
        <w:rPr>
          <w:noProof/>
        </w:rPr>
        <w:drawing>
          <wp:inline distT="0" distB="0" distL="0" distR="0" wp14:anchorId="6B3A54CF" wp14:editId="5CE71F44">
            <wp:extent cx="6591617" cy="2749550"/>
            <wp:effectExtent l="0" t="0" r="0" b="0"/>
            <wp:docPr id="17517597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141" cy="275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B767E" w14:textId="77777777" w:rsidR="00C31054" w:rsidRDefault="00C31054" w:rsidP="00C31054">
      <w:pPr>
        <w:pStyle w:val="IDRP"/>
        <w:jc w:val="right"/>
        <w:rPr>
          <w:lang w:eastAsia="en-GB"/>
        </w:rPr>
      </w:pPr>
      <w:r w:rsidRPr="00BB7165">
        <w:rPr>
          <w:i/>
          <w:iCs/>
        </w:rPr>
        <w:t>Zdroj: Centrálny register zmlúv, spracovanie: IDRP MIRRI SR</w:t>
      </w:r>
    </w:p>
    <w:p w14:paraId="675DA91F" w14:textId="62E7D172" w:rsidR="00C31054" w:rsidRDefault="00C31054" w:rsidP="00C31054">
      <w:pPr>
        <w:pStyle w:val="IDRP"/>
        <w:rPr>
          <w:lang w:eastAsia="en-GB"/>
        </w:rPr>
      </w:pPr>
      <w:r>
        <w:rPr>
          <w:lang w:eastAsia="en-GB"/>
        </w:rPr>
        <w:t xml:space="preserve">Distribučná analýza nákupu </w:t>
      </w:r>
      <w:r w:rsidR="00E72690">
        <w:rPr>
          <w:lang w:eastAsia="en-GB"/>
        </w:rPr>
        <w:t>notebookov</w:t>
      </w:r>
      <w:r>
        <w:rPr>
          <w:lang w:eastAsia="en-GB"/>
        </w:rPr>
        <w:t xml:space="preserve"> podľa celkovej kapacity nainštalovanej pamäte RAM ukazuje, že najväčší počet pozorovaní ako aj nakúpených kusov, bolo v kategórii nad 4 GB a do 8 GB RAM vrátane.</w:t>
      </w:r>
    </w:p>
    <w:p w14:paraId="0F2DF317" w14:textId="77777777" w:rsidR="00C31054" w:rsidRDefault="00C31054" w:rsidP="00C31054">
      <w:pPr>
        <w:ind w:left="0"/>
        <w:jc w:val="left"/>
        <w:rPr>
          <w:sz w:val="24"/>
          <w:lang w:eastAsia="en-GB"/>
        </w:rPr>
      </w:pPr>
      <w:r>
        <w:rPr>
          <w:lang w:eastAsia="en-GB"/>
        </w:rPr>
        <w:br w:type="page"/>
      </w:r>
    </w:p>
    <w:p w14:paraId="70D37140" w14:textId="2EA17C65" w:rsidR="00C31054" w:rsidRDefault="00C31054" w:rsidP="00C31054">
      <w:pPr>
        <w:pStyle w:val="Tabulka"/>
        <w:ind w:left="1843" w:hanging="1134"/>
      </w:pPr>
      <w:r>
        <w:lastRenderedPageBreak/>
        <w:t xml:space="preserve">Distribučná analýza nákupu </w:t>
      </w:r>
      <w:r w:rsidR="00E72690">
        <w:t>notebookov</w:t>
      </w:r>
      <w:r>
        <w:t xml:space="preserve"> podľa celkovej kapacity nainštalovanej pamäte RAM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103"/>
        <w:gridCol w:w="843"/>
        <w:gridCol w:w="843"/>
        <w:gridCol w:w="843"/>
        <w:gridCol w:w="843"/>
        <w:gridCol w:w="1073"/>
        <w:gridCol w:w="1123"/>
      </w:tblGrid>
      <w:tr w:rsidR="00F8072E" w:rsidRPr="00E72690" w14:paraId="1EEDEC3C" w14:textId="77777777" w:rsidTr="00E72690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ED3BE4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8161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4121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4F20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6B0C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7ED4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7232" w14:textId="67256854" w:rsidR="00E72690" w:rsidRPr="00E72690" w:rsidRDefault="00F8072E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="00E72690"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="00E72690"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A04A" w14:textId="6CBFC57C" w:rsidR="00E72690" w:rsidRPr="00E72690" w:rsidRDefault="00F8072E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="00E72690"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="00E72690"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platba</w:t>
            </w:r>
          </w:p>
        </w:tc>
      </w:tr>
      <w:tr w:rsidR="00F8072E" w:rsidRPr="00E72690" w14:paraId="3B682F44" w14:textId="77777777" w:rsidTr="00E72690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8C79DD" w14:textId="77777777" w:rsidR="00E72690" w:rsidRPr="00E72690" w:rsidRDefault="00E72690" w:rsidP="00E72690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BD260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28478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0B008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E04D6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C6F18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EAE2F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CF8F9" w14:textId="77777777" w:rsidR="00E72690" w:rsidRPr="00E72690" w:rsidRDefault="00E72690" w:rsidP="00E72690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F8072E" w:rsidRPr="00E72690" w14:paraId="00A8C29C" w14:textId="77777777" w:rsidTr="00E726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1022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color w:val="000000"/>
                <w:lang w:eastAsia="sk-SK"/>
              </w:rPr>
              <w:t>RAM do 4GB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A650" w14:textId="1C9812DC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5395" w14:textId="692FB6F0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318,93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532C" w14:textId="5A778E18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627,16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82DE" w14:textId="2017F7FA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1 233,50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6E37" w14:textId="1BAB06EE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758,70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1FA7" w14:textId="234B8513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2441" w14:textId="718CBDD4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229 043</w:t>
            </w:r>
          </w:p>
        </w:tc>
      </w:tr>
      <w:tr w:rsidR="00F8072E" w:rsidRPr="00E72690" w14:paraId="46F792DA" w14:textId="77777777" w:rsidTr="00E72690">
        <w:trPr>
          <w:trHeight w:val="6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8AD9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color w:val="000000"/>
                <w:lang w:eastAsia="sk-SK"/>
              </w:rPr>
              <w:t>RAM nad 4GB a do 8GB vrátane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9F2B" w14:textId="3147100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0EFC" w14:textId="12FC6C69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641,18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B5A3" w14:textId="07A004C1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815,73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EAC2" w14:textId="40906F41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1 245,65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E553" w14:textId="714AF37B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941,67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7A9E" w14:textId="367E213A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13 423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D497" w14:textId="2C2898B4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9 575 492</w:t>
            </w:r>
          </w:p>
        </w:tc>
      </w:tr>
      <w:tr w:rsidR="00F8072E" w:rsidRPr="00E72690" w14:paraId="12990DAE" w14:textId="77777777" w:rsidTr="00E72690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C9818D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color w:val="000000"/>
                <w:lang w:eastAsia="sk-SK"/>
              </w:rPr>
              <w:t>RAM nad 8GB a do 16GB vrátane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B539" w14:textId="6D195210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0B9F" w14:textId="3CF36C24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1 128,45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AA46" w14:textId="4A2B6EB3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1 436,55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45A1" w14:textId="3C409B5F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2 199,21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F141" w14:textId="1CFC9AC9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1 658,40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431" w14:textId="7F421B5E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4 191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83E1" w14:textId="5795793C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4 770 884</w:t>
            </w:r>
          </w:p>
        </w:tc>
      </w:tr>
      <w:tr w:rsidR="00F8072E" w:rsidRPr="00E72690" w14:paraId="0B1F4646" w14:textId="77777777" w:rsidTr="00E72690">
        <w:trPr>
          <w:trHeight w:val="77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E95DE" w14:textId="77777777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E72690">
              <w:rPr>
                <w:rFonts w:eastAsia="Times New Roman" w:cs="Times New Roman"/>
                <w:color w:val="000000"/>
                <w:lang w:eastAsia="sk-SK"/>
              </w:rPr>
              <w:t>RAM nad 16GB a do 32GB vrátane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2E55" w14:textId="15C379FC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2DB3" w14:textId="2937C434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2 185,40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F60E" w14:textId="466EF041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629C" w14:textId="0E4CFE3E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3 234,93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C73F" w14:textId="4A3E9F98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2 969,20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AE27" w14:textId="681B4921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E815" w14:textId="6FEB319B" w:rsidR="00F8072E" w:rsidRPr="00E72690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color w:val="000000"/>
              </w:rPr>
              <w:t>258 996</w:t>
            </w:r>
          </w:p>
        </w:tc>
      </w:tr>
    </w:tbl>
    <w:p w14:paraId="6347F085" w14:textId="7B1F37B6" w:rsidR="00C31054" w:rsidRDefault="00C31054" w:rsidP="00C31054">
      <w:pPr>
        <w:pStyle w:val="Graf"/>
        <w:ind w:left="1560" w:hanging="852"/>
      </w:pPr>
      <w:r>
        <w:t xml:space="preserve">Distribučná analýza nákupu </w:t>
      </w:r>
      <w:r w:rsidR="00E72690">
        <w:t>notebookov</w:t>
      </w:r>
      <w:r>
        <w:t xml:space="preserve"> podľa celkovej kapacity nainštalovanej pamäte RAM (priemer a medián ceny)</w:t>
      </w:r>
    </w:p>
    <w:p w14:paraId="59E31C7F" w14:textId="4DEEF6E5" w:rsidR="00C31054" w:rsidRDefault="00F8072E" w:rsidP="00F8072E">
      <w:pPr>
        <w:ind w:left="284"/>
        <w:rPr>
          <w:lang w:eastAsia="en-GB"/>
        </w:rPr>
      </w:pPr>
      <w:r w:rsidRPr="00F8072E">
        <w:rPr>
          <w:noProof/>
        </w:rPr>
        <w:drawing>
          <wp:inline distT="0" distB="0" distL="0" distR="0" wp14:anchorId="3484E0C7" wp14:editId="4F110EC5">
            <wp:extent cx="5600700" cy="2733335"/>
            <wp:effectExtent l="0" t="0" r="0" b="0"/>
            <wp:docPr id="175646707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575" cy="273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9097A" w14:textId="77777777" w:rsidR="00C31054" w:rsidRDefault="00C31054" w:rsidP="00C31054">
      <w:pPr>
        <w:pStyle w:val="IDRP"/>
        <w:spacing w:before="60" w:after="60"/>
        <w:ind w:left="709"/>
        <w:jc w:val="right"/>
        <w:rPr>
          <w:lang w:eastAsia="en-GB"/>
        </w:rPr>
      </w:pPr>
      <w:r w:rsidRPr="00BB7165">
        <w:rPr>
          <w:i/>
          <w:iCs/>
        </w:rPr>
        <w:t>Zdroj: Centrálny register zmlúv, spracovanie: IDRP MIRRI SR</w:t>
      </w:r>
    </w:p>
    <w:p w14:paraId="21B2EC17" w14:textId="77777777" w:rsidR="00863F40" w:rsidRDefault="00C31054" w:rsidP="00863F40">
      <w:pPr>
        <w:pStyle w:val="IDRP"/>
        <w:rPr>
          <w:lang w:eastAsia="en-GB"/>
        </w:rPr>
      </w:pPr>
      <w:r>
        <w:rPr>
          <w:lang w:eastAsia="en-GB"/>
        </w:rPr>
        <w:t>V prípade celkovej diskovej kapacity je situácia porovnateľná s celkovou kapacitou nainštalovanej pamäte RAM</w:t>
      </w:r>
      <w:r w:rsidR="00216285">
        <w:rPr>
          <w:lang w:eastAsia="en-GB"/>
        </w:rPr>
        <w:t xml:space="preserve"> </w:t>
      </w:r>
      <w:r>
        <w:rPr>
          <w:lang w:eastAsia="en-GB"/>
        </w:rPr>
        <w:t xml:space="preserve">– počet pozorovaní aj počet kusov koreluje. </w:t>
      </w:r>
      <w:r w:rsidR="00863F40">
        <w:rPr>
          <w:lang w:eastAsia="en-GB"/>
        </w:rPr>
        <w:t>Najviac pozorovaní aj notebookov je pri kapacite nad 128 GB do 256 GB vrátane.</w:t>
      </w:r>
    </w:p>
    <w:p w14:paraId="120746E0" w14:textId="33C4D883" w:rsidR="00C31054" w:rsidRDefault="00C31054" w:rsidP="00863F40">
      <w:pPr>
        <w:pStyle w:val="Tabulka"/>
        <w:ind w:left="1985" w:hanging="1276"/>
      </w:pPr>
      <w:r>
        <w:t xml:space="preserve">Distribučná analýza nákupu </w:t>
      </w:r>
      <w:r w:rsidR="00F8072E">
        <w:t>notebookov</w:t>
      </w:r>
      <w:r>
        <w:t xml:space="preserve"> podľa celkovej diskovej kapacity</w:t>
      </w:r>
    </w:p>
    <w:tbl>
      <w:tblPr>
        <w:tblW w:w="94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3"/>
        <w:gridCol w:w="1112"/>
        <w:gridCol w:w="850"/>
        <w:gridCol w:w="850"/>
        <w:gridCol w:w="850"/>
        <w:gridCol w:w="850"/>
        <w:gridCol w:w="1112"/>
        <w:gridCol w:w="1162"/>
      </w:tblGrid>
      <w:tr w:rsidR="00F8072E" w:rsidRPr="00863F40" w14:paraId="5A1B5E8B" w14:textId="77777777" w:rsidTr="00F8072E">
        <w:tc>
          <w:tcPr>
            <w:tcW w:w="263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372375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0ACF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6FBB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2C2E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B2FB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31F4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57A0" w14:textId="49FEE888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863F4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počet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63DF" w14:textId="495C4248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863F40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platba</w:t>
            </w:r>
          </w:p>
        </w:tc>
      </w:tr>
      <w:tr w:rsidR="00F8072E" w:rsidRPr="00863F40" w14:paraId="36A51E71" w14:textId="77777777" w:rsidTr="00F8072E">
        <w:tc>
          <w:tcPr>
            <w:tcW w:w="263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06CFFD" w14:textId="77777777" w:rsidR="00F8072E" w:rsidRPr="00F8072E" w:rsidRDefault="00F8072E" w:rsidP="00F8072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6006B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AC4BD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A6584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57782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68821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0FB8E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[ks]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5ED0" w14:textId="77777777" w:rsidR="00F8072E" w:rsidRPr="00F8072E" w:rsidRDefault="00F8072E" w:rsidP="00F8072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5C0C98" w:rsidRPr="00863F40" w14:paraId="7E4039D0" w14:textId="77777777" w:rsidTr="00F8072E">
        <w:trPr>
          <w:trHeight w:val="352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9676" w14:textId="77777777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color w:val="000000"/>
                <w:lang w:eastAsia="sk-SK"/>
              </w:rPr>
              <w:t>Disky do 128GB vrátane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1CAA" w14:textId="6AF68FDA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5988" w14:textId="7410D9E3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399,00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A3F3" w14:textId="6E50A625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399,00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908B" w14:textId="303CA51B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399,00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1AA9" w14:textId="300C2EA1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399,00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8A1B" w14:textId="7AFCDCC9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F6F1" w14:textId="3FCAA402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3 591</w:t>
            </w:r>
          </w:p>
        </w:tc>
      </w:tr>
      <w:tr w:rsidR="005C0C98" w:rsidRPr="00863F40" w14:paraId="77525B38" w14:textId="77777777" w:rsidTr="00F8072E"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DE99" w14:textId="77777777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color w:val="000000"/>
                <w:lang w:eastAsia="sk-SK"/>
              </w:rPr>
              <w:t>Disky nad 128GB do 256GB vrátane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34C7" w14:textId="6F96C007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7BAD" w14:textId="2A9F15CC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578,00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88D5" w14:textId="7F41C375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779,81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219A" w14:textId="6F70724C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1 200,00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0310" w14:textId="220B2373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983,92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48CA" w14:textId="782DEFF6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12 504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4E45" w14:textId="792187C0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8 596 207</w:t>
            </w:r>
          </w:p>
        </w:tc>
      </w:tr>
      <w:tr w:rsidR="005C0C98" w:rsidRPr="00863F40" w14:paraId="45C97D87" w14:textId="77777777" w:rsidTr="00F8072E">
        <w:trPr>
          <w:trHeight w:val="631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6F5A" w14:textId="77777777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color w:val="000000"/>
                <w:lang w:eastAsia="sk-SK"/>
              </w:rPr>
              <w:t>Disky nad 256GB do 512GB vrátane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9AD8" w14:textId="429F86B2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57CA" w14:textId="631E4699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969,45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BC06" w14:textId="2ED3EDFE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1 279,60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EB47" w14:textId="1579E5F0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1 531,00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C600" w14:textId="6DAFF994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1 352,47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EB95" w14:textId="7EF1F509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5 224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7717" w14:textId="265AA8AE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5 570 351</w:t>
            </w:r>
          </w:p>
        </w:tc>
      </w:tr>
      <w:tr w:rsidR="005C0C98" w:rsidRPr="00863F40" w14:paraId="2EAEFEC3" w14:textId="77777777" w:rsidTr="00F8072E"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8B84" w14:textId="77777777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color w:val="000000"/>
                <w:lang w:eastAsia="sk-SK"/>
              </w:rPr>
              <w:t>Disky nad 512GB do 1024GB vrátane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413D" w14:textId="1D69A104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856C" w14:textId="1E0A9F40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1 346,37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45EC" w14:textId="54D1325F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2 247,53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1F5E" w14:textId="54B827D4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2 864,92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834" w14:textId="2C1629C9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2 292,65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8F6E" w14:textId="671D8271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2EF4" w14:textId="220E85E0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386 808</w:t>
            </w:r>
          </w:p>
        </w:tc>
      </w:tr>
      <w:tr w:rsidR="005C0C98" w:rsidRPr="00863F40" w14:paraId="1115CACE" w14:textId="77777777" w:rsidTr="00F8072E">
        <w:trPr>
          <w:trHeight w:val="335"/>
        </w:trPr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05A8E" w14:textId="77777777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F8072E">
              <w:rPr>
                <w:rFonts w:eastAsia="Times New Roman" w:cs="Times New Roman"/>
                <w:color w:val="000000"/>
                <w:lang w:eastAsia="sk-SK"/>
              </w:rPr>
              <w:t>Disková kapacita nad 1024GB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B9A7" w14:textId="0D20F60A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FAC2" w14:textId="38BAF750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1 455,10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4BC11" w14:textId="7B714701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1 783,53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BEFA" w14:textId="6A368A6B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2 111,97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5EC1" w14:textId="60F9FCD8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1 783,53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D51A" w14:textId="68203CC2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08C1" w14:textId="05C2B869" w:rsidR="005C0C98" w:rsidRPr="00F8072E" w:rsidRDefault="005C0C98" w:rsidP="005C0C98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863F40">
              <w:rPr>
                <w:color w:val="000000"/>
              </w:rPr>
              <w:t>277 457</w:t>
            </w:r>
          </w:p>
        </w:tc>
      </w:tr>
    </w:tbl>
    <w:p w14:paraId="0669F910" w14:textId="5629D72E" w:rsidR="00C31054" w:rsidRDefault="00C31054" w:rsidP="00C31054">
      <w:pPr>
        <w:pStyle w:val="Graf"/>
        <w:ind w:left="1418" w:hanging="710"/>
      </w:pPr>
      <w:r>
        <w:lastRenderedPageBreak/>
        <w:t xml:space="preserve">Distribučná analýza nákupu </w:t>
      </w:r>
      <w:r w:rsidR="00F8072E">
        <w:t>notebookov</w:t>
      </w:r>
      <w:r>
        <w:t xml:space="preserve"> podľa celkovej diskovej kapacity (priemer a medián ceny)</w:t>
      </w:r>
    </w:p>
    <w:p w14:paraId="2A84A00C" w14:textId="02758F72" w:rsidR="00C31054" w:rsidRDefault="005C0C98" w:rsidP="005C0C98">
      <w:pPr>
        <w:ind w:left="426"/>
        <w:rPr>
          <w:lang w:eastAsia="en-GB"/>
        </w:rPr>
      </w:pPr>
      <w:r w:rsidRPr="005C0C98">
        <w:rPr>
          <w:noProof/>
        </w:rPr>
        <w:drawing>
          <wp:inline distT="0" distB="0" distL="0" distR="0" wp14:anchorId="701AC2A2" wp14:editId="4235F4A1">
            <wp:extent cx="5731510" cy="2732405"/>
            <wp:effectExtent l="0" t="0" r="2540" b="0"/>
            <wp:docPr id="54394658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CBFE8" w14:textId="77777777" w:rsidR="00C31054" w:rsidRDefault="00C31054" w:rsidP="00C31054">
      <w:pPr>
        <w:pStyle w:val="IDRP"/>
        <w:spacing w:before="60" w:after="60"/>
        <w:ind w:left="709"/>
        <w:jc w:val="right"/>
        <w:rPr>
          <w:lang w:eastAsia="en-GB"/>
        </w:rPr>
      </w:pPr>
      <w:r w:rsidRPr="00BB7165">
        <w:rPr>
          <w:i/>
          <w:iCs/>
        </w:rPr>
        <w:t>Zdroj: Centrálny register zmlúv, spracovanie: IDRP MIRRI SR</w:t>
      </w:r>
    </w:p>
    <w:p w14:paraId="475AEF10" w14:textId="0348DD71" w:rsidR="00C31054" w:rsidRDefault="00C31054" w:rsidP="00C31054">
      <w:pPr>
        <w:pStyle w:val="IDRP"/>
        <w:rPr>
          <w:lang w:eastAsia="en-GB"/>
        </w:rPr>
      </w:pPr>
      <w:r>
        <w:rPr>
          <w:lang w:eastAsia="en-GB"/>
        </w:rPr>
        <w:t xml:space="preserve">Distribučné analýzy podľa technológie pevných diskov a skutočnosti, či bol </w:t>
      </w:r>
      <w:r w:rsidR="00431A20">
        <w:rPr>
          <w:lang w:eastAsia="en-GB"/>
        </w:rPr>
        <w:t>notebook</w:t>
      </w:r>
      <w:r>
        <w:rPr>
          <w:lang w:eastAsia="en-GB"/>
        </w:rPr>
        <w:t xml:space="preserve"> vybavený len zdieľanou alebo aj dedikovanou grafickou kartou, sú spracované len v tabuľkovej forme. Z pohľadu počtu pozorovaní </w:t>
      </w:r>
      <w:r w:rsidRPr="00132CFE">
        <w:rPr>
          <w:b/>
          <w:bCs/>
          <w:lang w:eastAsia="en-GB"/>
        </w:rPr>
        <w:t xml:space="preserve">vyše </w:t>
      </w:r>
      <w:r w:rsidR="00431A20">
        <w:rPr>
          <w:b/>
          <w:bCs/>
          <w:lang w:eastAsia="en-GB"/>
        </w:rPr>
        <w:t>97</w:t>
      </w:r>
      <w:r w:rsidRPr="00132CFE">
        <w:rPr>
          <w:b/>
          <w:bCs/>
          <w:lang w:eastAsia="en-GB"/>
        </w:rPr>
        <w:t xml:space="preserve"> % </w:t>
      </w:r>
      <w:r>
        <w:rPr>
          <w:lang w:eastAsia="en-GB"/>
        </w:rPr>
        <w:t xml:space="preserve">všetkých hodnotených </w:t>
      </w:r>
      <w:r w:rsidR="00431A20">
        <w:rPr>
          <w:lang w:eastAsia="en-GB"/>
        </w:rPr>
        <w:t>notebookov</w:t>
      </w:r>
      <w:r>
        <w:rPr>
          <w:lang w:eastAsia="en-GB"/>
        </w:rPr>
        <w:t xml:space="preserve"> bolo vybavených buď </w:t>
      </w:r>
      <w:r w:rsidRPr="00132CFE">
        <w:rPr>
          <w:b/>
          <w:bCs/>
          <w:lang w:eastAsia="en-GB"/>
        </w:rPr>
        <w:t>samostatným diskom SSD alebo kombináciou SSD a HDD</w:t>
      </w:r>
      <w:r>
        <w:rPr>
          <w:lang w:eastAsia="en-GB"/>
        </w:rPr>
        <w:t xml:space="preserve"> (pozor, nie SSHD). Z pohľadu počtu kusov je táto hodnota </w:t>
      </w:r>
      <w:r w:rsidR="00431A20">
        <w:rPr>
          <w:b/>
          <w:bCs/>
          <w:lang w:eastAsia="en-GB"/>
        </w:rPr>
        <w:t>99</w:t>
      </w:r>
      <w:r w:rsidRPr="00132CFE">
        <w:rPr>
          <w:b/>
          <w:bCs/>
          <w:lang w:eastAsia="en-GB"/>
        </w:rPr>
        <w:t xml:space="preserve"> %</w:t>
      </w:r>
      <w:r>
        <w:rPr>
          <w:lang w:eastAsia="en-GB"/>
        </w:rPr>
        <w:t>.</w:t>
      </w:r>
    </w:p>
    <w:p w14:paraId="0692131B" w14:textId="5CA60F0C" w:rsidR="00C31054" w:rsidRDefault="00C31054" w:rsidP="00C31054">
      <w:pPr>
        <w:pStyle w:val="IDRP"/>
        <w:rPr>
          <w:lang w:eastAsia="en-GB"/>
        </w:rPr>
      </w:pPr>
      <w:r w:rsidRPr="00132CFE">
        <w:rPr>
          <w:b/>
          <w:bCs/>
          <w:lang w:eastAsia="en-GB"/>
        </w:rPr>
        <w:t>Iba integrovanou (zdieľanou) grafickou kartou</w:t>
      </w:r>
      <w:r>
        <w:rPr>
          <w:lang w:eastAsia="en-GB"/>
        </w:rPr>
        <w:t xml:space="preserve"> boli </w:t>
      </w:r>
      <w:r w:rsidR="00431A20">
        <w:rPr>
          <w:lang w:eastAsia="en-GB"/>
        </w:rPr>
        <w:t>notebooky</w:t>
      </w:r>
      <w:r>
        <w:rPr>
          <w:lang w:eastAsia="en-GB"/>
        </w:rPr>
        <w:t xml:space="preserve"> vybavené </w:t>
      </w:r>
      <w:r w:rsidRPr="00132CFE">
        <w:rPr>
          <w:b/>
          <w:bCs/>
          <w:lang w:eastAsia="en-GB"/>
        </w:rPr>
        <w:t>v </w:t>
      </w:r>
      <w:r w:rsidR="00431A20">
        <w:rPr>
          <w:b/>
          <w:bCs/>
          <w:lang w:eastAsia="en-GB"/>
        </w:rPr>
        <w:t>84</w:t>
      </w:r>
      <w:r w:rsidRPr="00132CFE">
        <w:rPr>
          <w:b/>
          <w:bCs/>
          <w:lang w:eastAsia="en-GB"/>
        </w:rPr>
        <w:t xml:space="preserve"> % pozorovaniach</w:t>
      </w:r>
      <w:r>
        <w:rPr>
          <w:lang w:eastAsia="en-GB"/>
        </w:rPr>
        <w:t xml:space="preserve"> a </w:t>
      </w:r>
      <w:r w:rsidRPr="00132CFE">
        <w:rPr>
          <w:b/>
          <w:bCs/>
          <w:lang w:eastAsia="en-GB"/>
        </w:rPr>
        <w:t>v </w:t>
      </w:r>
      <w:r w:rsidR="00431A20">
        <w:rPr>
          <w:b/>
          <w:bCs/>
          <w:lang w:eastAsia="en-GB"/>
        </w:rPr>
        <w:t>71</w:t>
      </w:r>
      <w:r w:rsidRPr="00132CFE">
        <w:rPr>
          <w:b/>
          <w:bCs/>
          <w:lang w:eastAsia="en-GB"/>
        </w:rPr>
        <w:t xml:space="preserve"> % z celkového počtu kusov</w:t>
      </w:r>
      <w:r>
        <w:rPr>
          <w:lang w:eastAsia="en-GB"/>
        </w:rPr>
        <w:t>.</w:t>
      </w:r>
    </w:p>
    <w:p w14:paraId="2CF3A191" w14:textId="6F064F46" w:rsidR="00C31054" w:rsidRDefault="00C31054" w:rsidP="00C31054">
      <w:pPr>
        <w:pStyle w:val="Tabulka"/>
        <w:ind w:left="1843" w:hanging="1134"/>
      </w:pPr>
      <w:r>
        <w:t xml:space="preserve">Distribučná analýza nákupu </w:t>
      </w:r>
      <w:r w:rsidR="00431A20">
        <w:t>notebookov</w:t>
      </w:r>
      <w:r>
        <w:t xml:space="preserve"> podľa technológie nainštalovaných pevných diskov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1103"/>
        <w:gridCol w:w="843"/>
        <w:gridCol w:w="843"/>
        <w:gridCol w:w="843"/>
        <w:gridCol w:w="843"/>
        <w:gridCol w:w="1073"/>
        <w:gridCol w:w="1123"/>
      </w:tblGrid>
      <w:tr w:rsidR="002048F4" w:rsidRPr="002048F4" w14:paraId="2877D2D0" w14:textId="77777777" w:rsidTr="002048F4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688C80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0A1B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6E2C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68F3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F963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0CE6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CDC4" w14:textId="1FA78518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9592" w14:textId="1F002D54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platba</w:t>
            </w:r>
          </w:p>
        </w:tc>
      </w:tr>
      <w:tr w:rsidR="002048F4" w:rsidRPr="002048F4" w14:paraId="6BC0BE4A" w14:textId="77777777" w:rsidTr="002048F4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DF4810" w14:textId="77777777" w:rsidR="002048F4" w:rsidRPr="002048F4" w:rsidRDefault="002048F4" w:rsidP="002048F4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C40C3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D6675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8CD1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70093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DC84A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9A443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F6EF7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2048F4" w:rsidRPr="002048F4" w14:paraId="5DF2D5CB" w14:textId="77777777" w:rsidTr="00204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FE70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Iba disky SSD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FBB6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339C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719,00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ADE2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7225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1 505,94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D461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1 264,43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4609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17 762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94F9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14 393 505</w:t>
            </w:r>
          </w:p>
        </w:tc>
      </w:tr>
      <w:tr w:rsidR="002048F4" w:rsidRPr="002048F4" w14:paraId="5FBBA053" w14:textId="77777777" w:rsidTr="00204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B592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Iba disky HDD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804C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D0C8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1 164,00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5516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1 338,00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EAF6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9B29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1 106,40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4BC8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3A54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163 452</w:t>
            </w:r>
          </w:p>
        </w:tc>
      </w:tr>
      <w:tr w:rsidR="002048F4" w:rsidRPr="002048F4" w14:paraId="6AAB8145" w14:textId="77777777" w:rsidTr="002048F4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27B00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Obidva typy SSD + HDD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58997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307D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1 455,10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DB98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1 783,53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01D5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2 111,97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F0EA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1 783,53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A251D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96C9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277 457</w:t>
            </w:r>
          </w:p>
        </w:tc>
      </w:tr>
    </w:tbl>
    <w:p w14:paraId="0622F91B" w14:textId="25F65247" w:rsidR="00C31054" w:rsidRDefault="00C31054" w:rsidP="00C31054">
      <w:pPr>
        <w:pStyle w:val="Tabulka"/>
        <w:ind w:left="1843" w:hanging="1134"/>
      </w:pPr>
      <w:r>
        <w:t xml:space="preserve">Distribučná analýza nákupu </w:t>
      </w:r>
      <w:r w:rsidR="00431A20">
        <w:t>notebookov</w:t>
      </w:r>
      <w:r>
        <w:t xml:space="preserve"> podľa nainštalovanej grafickej karty (zdieľaná </w:t>
      </w:r>
      <w:proofErr w:type="spellStart"/>
      <w:r>
        <w:t>vs</w:t>
      </w:r>
      <w:proofErr w:type="spellEnd"/>
      <w:r>
        <w:t>. nezdieľaná)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1103"/>
        <w:gridCol w:w="843"/>
        <w:gridCol w:w="843"/>
        <w:gridCol w:w="843"/>
        <w:gridCol w:w="843"/>
        <w:gridCol w:w="1073"/>
        <w:gridCol w:w="1123"/>
      </w:tblGrid>
      <w:tr w:rsidR="002048F4" w:rsidRPr="002048F4" w14:paraId="7A962051" w14:textId="77777777" w:rsidTr="002048F4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B42D37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762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CA41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0D89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0628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E7A7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B135" w14:textId="420D1F7E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194B" w14:textId="5AA8C72B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</w:t>
            </w: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elk</w:t>
            </w:r>
            <w:proofErr w:type="spellEnd"/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platba</w:t>
            </w:r>
          </w:p>
        </w:tc>
      </w:tr>
      <w:tr w:rsidR="002048F4" w:rsidRPr="002048F4" w14:paraId="5768F1DB" w14:textId="77777777" w:rsidTr="002048F4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62CDF7" w14:textId="77777777" w:rsidR="002048F4" w:rsidRPr="002048F4" w:rsidRDefault="002048F4" w:rsidP="002048F4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47764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4F824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05B7E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29F28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085B8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6A290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2311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2048F4" w:rsidRPr="002048F4" w14:paraId="78636DD1" w14:textId="77777777" w:rsidTr="00204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3E9D" w14:textId="637D8A64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2048F4">
              <w:rPr>
                <w:rFonts w:eastAsia="Times New Roman" w:cs="Times New Roman"/>
                <w:color w:val="000000"/>
                <w:lang w:eastAsia="sk-SK"/>
              </w:rPr>
              <w:t>die</w:t>
            </w:r>
            <w:r>
              <w:rPr>
                <w:rFonts w:eastAsia="Times New Roman" w:cs="Times New Roman"/>
                <w:color w:val="000000"/>
                <w:lang w:eastAsia="sk-SK"/>
              </w:rPr>
              <w:t>ľaná</w:t>
            </w:r>
            <w:r w:rsidRPr="002048F4">
              <w:rPr>
                <w:rFonts w:eastAsia="Times New Roman" w:cs="Times New Roman"/>
                <w:color w:val="000000"/>
                <w:lang w:eastAsia="sk-SK"/>
              </w:rPr>
              <w:t xml:space="preserve"> grafická karta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07FE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77F5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673,51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E64A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1 029,18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A17D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1 320,63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14DE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1 063,08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8E65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148 831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9B60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148 831</w:t>
            </w:r>
          </w:p>
        </w:tc>
      </w:tr>
      <w:tr w:rsidR="002048F4" w:rsidRPr="002048F4" w14:paraId="02473045" w14:textId="77777777" w:rsidTr="002048F4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8D0C2" w14:textId="5BD9D39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n</w:t>
            </w:r>
            <w:r w:rsidRPr="002048F4">
              <w:rPr>
                <w:rFonts w:eastAsia="Times New Roman" w:cs="Times New Roman"/>
                <w:color w:val="000000"/>
                <w:lang w:eastAsia="sk-SK"/>
              </w:rPr>
              <w:t>ezdie</w:t>
            </w:r>
            <w:r>
              <w:rPr>
                <w:rFonts w:eastAsia="Times New Roman" w:cs="Times New Roman"/>
                <w:color w:val="000000"/>
                <w:lang w:eastAsia="sk-SK"/>
              </w:rPr>
              <w:t>ľaná</w:t>
            </w:r>
            <w:r w:rsidRPr="002048F4">
              <w:rPr>
                <w:rFonts w:eastAsia="Times New Roman" w:cs="Times New Roman"/>
                <w:color w:val="000000"/>
                <w:lang w:eastAsia="sk-SK"/>
              </w:rPr>
              <w:t xml:space="preserve"> grafická karta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D5042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CCD25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1 706,73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BDC4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2 298,85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B9F6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2 730,60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B6DB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2 358,15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FDB01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61 312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A155" w14:textId="77777777" w:rsidR="002048F4" w:rsidRPr="002048F4" w:rsidRDefault="002048F4" w:rsidP="002048F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048F4">
              <w:rPr>
                <w:rFonts w:eastAsia="Times New Roman" w:cs="Times New Roman"/>
                <w:color w:val="000000"/>
                <w:lang w:eastAsia="sk-SK"/>
              </w:rPr>
              <w:t>61 312</w:t>
            </w:r>
          </w:p>
        </w:tc>
      </w:tr>
    </w:tbl>
    <w:p w14:paraId="3A1D24EB" w14:textId="77777777" w:rsidR="00C31054" w:rsidRDefault="00C31054" w:rsidP="00C31054">
      <w:pPr>
        <w:rPr>
          <w:lang w:eastAsia="en-GB"/>
        </w:rPr>
      </w:pPr>
    </w:p>
    <w:p w14:paraId="760FF452" w14:textId="77777777" w:rsidR="00BC5D24" w:rsidRDefault="00BC5D24" w:rsidP="00C31054">
      <w:pPr>
        <w:rPr>
          <w:lang w:eastAsia="en-GB"/>
        </w:rPr>
      </w:pPr>
    </w:p>
    <w:p w14:paraId="371CFAE4" w14:textId="77777777" w:rsidR="00BC5D24" w:rsidRDefault="00BC5D24" w:rsidP="00C31054">
      <w:pPr>
        <w:rPr>
          <w:lang w:eastAsia="en-GB"/>
        </w:rPr>
      </w:pPr>
    </w:p>
    <w:p w14:paraId="2364EF7B" w14:textId="77777777" w:rsidR="00BC5D24" w:rsidRDefault="00BC5D24" w:rsidP="00C31054">
      <w:pPr>
        <w:rPr>
          <w:lang w:eastAsia="en-GB"/>
        </w:rPr>
      </w:pPr>
    </w:p>
    <w:p w14:paraId="794291FB" w14:textId="0E43ECA7" w:rsidR="0009681B" w:rsidRDefault="0009681B" w:rsidP="0009681B">
      <w:pPr>
        <w:pStyle w:val="Tabulka"/>
        <w:ind w:left="1843" w:hanging="1134"/>
      </w:pPr>
      <w:r>
        <w:lastRenderedPageBreak/>
        <w:t xml:space="preserve">Distribučná analýza nákupu notebookov podľa záručnej doby </w:t>
      </w:r>
      <w:r w:rsidR="007B2D1D">
        <w:t>a úrovne servisných služieb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103"/>
        <w:gridCol w:w="843"/>
        <w:gridCol w:w="843"/>
        <w:gridCol w:w="843"/>
        <w:gridCol w:w="843"/>
        <w:gridCol w:w="1103"/>
        <w:gridCol w:w="1153"/>
      </w:tblGrid>
      <w:tr w:rsidR="00BC5D24" w:rsidRPr="00BC5D24" w14:paraId="039AC848" w14:textId="77777777" w:rsidTr="00BC5D24"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06FC08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965A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AD33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4156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medián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368D8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EFD2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44D2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Celk</w:t>
            </w:r>
            <w:proofErr w:type="spellEnd"/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1E1B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Celk</w:t>
            </w:r>
            <w:proofErr w:type="spellEnd"/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. platba</w:t>
            </w:r>
          </w:p>
        </w:tc>
      </w:tr>
      <w:tr w:rsidR="00BC5D24" w:rsidRPr="00BC5D24" w14:paraId="7E9D6355" w14:textId="77777777" w:rsidTr="00BC5D24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0216CB" w14:textId="77777777" w:rsidR="00BC5D24" w:rsidRPr="00BC5D24" w:rsidRDefault="00BC5D24" w:rsidP="00BC5D24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16321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pozorovaní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4CCB7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E7F9F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2A2E5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00482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9B67C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A82EB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[eur]</w:t>
            </w:r>
          </w:p>
        </w:tc>
      </w:tr>
      <w:tr w:rsidR="00BC5D24" w:rsidRPr="00BC5D24" w14:paraId="64EB75C8" w14:textId="77777777" w:rsidTr="00BC5D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BEB8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Štandardná záruka 2 roky, základná služba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8903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0EC8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712,33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EE91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1 104,57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F755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1 576,75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5CBC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1 218,32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5EA8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3 242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1C03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14 620</w:t>
            </w:r>
          </w:p>
        </w:tc>
      </w:tr>
      <w:tr w:rsidR="00BC5D24" w:rsidRPr="00BC5D24" w14:paraId="33D68ED0" w14:textId="77777777" w:rsidTr="00BC5D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5991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Záruka  3 roky, základná služba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D656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5FBC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781,20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7582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1 190,00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B744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1 431,01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B101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1 322,56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2C3D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CE77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48 935</w:t>
            </w:r>
          </w:p>
        </w:tc>
      </w:tr>
      <w:tr w:rsidR="00BC5D24" w:rsidRPr="00BC5D24" w14:paraId="356D0A45" w14:textId="77777777" w:rsidTr="00BC5D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8479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Záruka 5 rokov, základná služba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F7AB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0935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1 235,25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DE90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2FE0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1 493,00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7E10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1 426,17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15E9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6D47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8 557</w:t>
            </w:r>
          </w:p>
        </w:tc>
      </w:tr>
      <w:tr w:rsidR="00BC5D24" w:rsidRPr="00BC5D24" w14:paraId="719DC755" w14:textId="77777777" w:rsidTr="00BC5D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FCBDD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Záruka 2 roky, zásah NBD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AC1C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8B4F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2 350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2713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2 350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C16B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2 350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0495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2 350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9262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93AA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2 350</w:t>
            </w:r>
          </w:p>
        </w:tc>
      </w:tr>
      <w:tr w:rsidR="00BC5D24" w:rsidRPr="00BC5D24" w14:paraId="3EA36F63" w14:textId="77777777" w:rsidTr="00BC5D24">
        <w:trPr>
          <w:trHeight w:val="4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FB45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Záruka 3 roky, zásah NBD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556A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AB0E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1 063,84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397D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1 269,64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3E90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1 847,04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DF18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1 575,64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922D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CF39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42 542</w:t>
            </w:r>
          </w:p>
        </w:tc>
      </w:tr>
      <w:tr w:rsidR="00BC5D24" w:rsidRPr="00BC5D24" w14:paraId="0CF80085" w14:textId="77777777" w:rsidTr="00BC5D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4ECDA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Záruka 5 rokov, zásah NBD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3067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A4A6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1 304,00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6E37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1 334,00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FBD5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1 466,00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2200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1 353,25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2B25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1FC7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8 120</w:t>
            </w:r>
          </w:p>
        </w:tc>
      </w:tr>
      <w:tr w:rsidR="00BC5D24" w:rsidRPr="00BC5D24" w14:paraId="02AE7C60" w14:textId="77777777" w:rsidTr="00BC5D24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89F19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Bez uvedenia údajov o záruke /  servise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3F14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9032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B544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848,10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AC925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1 337,11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694F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1 104,15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BF82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11 791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C6D3" w14:textId="77777777" w:rsidR="00BC5D24" w:rsidRPr="00BC5D24" w:rsidRDefault="00BC5D24" w:rsidP="00BC5D24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BC5D24">
              <w:rPr>
                <w:rFonts w:eastAsia="Times New Roman" w:cs="Times New Roman"/>
                <w:color w:val="000000"/>
                <w:lang w:eastAsia="sk-SK"/>
              </w:rPr>
              <w:t>85 020</w:t>
            </w:r>
          </w:p>
        </w:tc>
      </w:tr>
    </w:tbl>
    <w:p w14:paraId="7E383802" w14:textId="6F8C89BF" w:rsidR="007B2D1D" w:rsidRDefault="00BC5D24" w:rsidP="00BC5D24">
      <w:pPr>
        <w:pStyle w:val="Graf"/>
        <w:ind w:left="1843" w:hanging="1135"/>
      </w:pPr>
      <w:r>
        <w:t>Distribučná analýza nákupu notebookov podľa záručnej doby a úrovne servisných služieb</w:t>
      </w:r>
      <w:r>
        <w:t xml:space="preserve"> (priemer a medián ceny)</w:t>
      </w:r>
    </w:p>
    <w:p w14:paraId="3351C266" w14:textId="4DDC8A8D" w:rsidR="00BC5D24" w:rsidRDefault="001F59EE" w:rsidP="001F59EE">
      <w:pPr>
        <w:ind w:left="0"/>
        <w:rPr>
          <w:lang w:eastAsia="en-GB"/>
        </w:rPr>
      </w:pPr>
      <w:r w:rsidRPr="001F59EE">
        <w:drawing>
          <wp:inline distT="0" distB="0" distL="0" distR="0" wp14:anchorId="2A76A045" wp14:editId="3211A28F">
            <wp:extent cx="6179331" cy="2904135"/>
            <wp:effectExtent l="0" t="0" r="0" b="0"/>
            <wp:docPr id="10203435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78" cy="290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63844" w14:textId="25BDEE06" w:rsidR="001F59EE" w:rsidRPr="001F59EE" w:rsidRDefault="001F59EE" w:rsidP="001F59EE">
      <w:pPr>
        <w:ind w:left="709"/>
        <w:rPr>
          <w:sz w:val="24"/>
          <w:szCs w:val="24"/>
          <w:lang w:eastAsia="en-GB"/>
        </w:rPr>
      </w:pPr>
      <w:r w:rsidRPr="001F59EE">
        <w:rPr>
          <w:sz w:val="24"/>
          <w:szCs w:val="24"/>
          <w:lang w:eastAsia="en-GB"/>
        </w:rPr>
        <w:t>V prípade notebookov</w:t>
      </w:r>
      <w:r>
        <w:rPr>
          <w:sz w:val="24"/>
          <w:szCs w:val="24"/>
          <w:lang w:eastAsia="en-GB"/>
        </w:rPr>
        <w:t xml:space="preserve"> je nárast ceny od 90 do cca. 300 eur. Záruku na 2 roky v kombinácii so zásahom najbližší pracovný deň (NBD) sme pozorovali len v jednom prípade, preto nemá žiadnu výpovednú hodnotu.</w:t>
      </w:r>
    </w:p>
    <w:p w14:paraId="0B1E12DB" w14:textId="77777777" w:rsidR="00C31054" w:rsidRPr="00460979" w:rsidRDefault="00C31054" w:rsidP="00C31054">
      <w:pPr>
        <w:pStyle w:val="IDRP"/>
        <w:rPr>
          <w:color w:val="ED1C24"/>
        </w:rPr>
      </w:pPr>
      <w:r w:rsidRPr="00460979">
        <w:br w:type="page"/>
      </w:r>
    </w:p>
    <w:p w14:paraId="1BC619FA" w14:textId="77777777" w:rsidR="00C31054" w:rsidRPr="00460979" w:rsidRDefault="00C31054" w:rsidP="00C31054">
      <w:pPr>
        <w:pStyle w:val="IDRP"/>
        <w:rPr>
          <w:color w:val="ED1C24"/>
        </w:rPr>
        <w:sectPr w:rsidR="00C31054" w:rsidRPr="00460979" w:rsidSect="00C31054">
          <w:headerReference w:type="default" r:id="rId23"/>
          <w:footerReference w:type="even" r:id="rId24"/>
          <w:footerReference w:type="default" r:id="rId25"/>
          <w:pgSz w:w="11906" w:h="16838"/>
          <w:pgMar w:top="1440" w:right="1440" w:bottom="1440" w:left="1440" w:header="794" w:footer="708" w:gutter="0"/>
          <w:cols w:space="708"/>
          <w:docGrid w:linePitch="360"/>
        </w:sectPr>
      </w:pPr>
    </w:p>
    <w:p w14:paraId="19DF4B10" w14:textId="74D9D819" w:rsidR="00C31054" w:rsidRDefault="00763643" w:rsidP="00C31054">
      <w:pPr>
        <w:pStyle w:val="Heading2"/>
      </w:pPr>
      <w:bookmarkStart w:id="5" w:name="_Toc185521409"/>
      <w:r>
        <w:lastRenderedPageBreak/>
        <w:t>Notebooky</w:t>
      </w:r>
      <w:r w:rsidR="00C31054">
        <w:t xml:space="preserve"> -  porovnanie priemerných cien po objednávateľoch s parametrami</w:t>
      </w:r>
      <w:bookmarkEnd w:id="5"/>
    </w:p>
    <w:p w14:paraId="264F63FB" w14:textId="03112485" w:rsidR="00C31054" w:rsidRDefault="00C31054" w:rsidP="00C31054">
      <w:pPr>
        <w:rPr>
          <w:lang w:eastAsia="en-GB"/>
        </w:rPr>
      </w:pPr>
      <w:r>
        <w:rPr>
          <w:lang w:eastAsia="en-GB"/>
        </w:rPr>
        <w:t xml:space="preserve">Z porovnávacej analýzy priemerných parametrov </w:t>
      </w:r>
      <w:r w:rsidR="00763643">
        <w:rPr>
          <w:lang w:eastAsia="en-GB"/>
        </w:rPr>
        <w:t>notebookov</w:t>
      </w:r>
      <w:r>
        <w:rPr>
          <w:lang w:eastAsia="en-GB"/>
        </w:rPr>
        <w:t xml:space="preserve"> po objednávateľoch vyplynulo, že v prípade hodnoty </w:t>
      </w:r>
      <w:proofErr w:type="spellStart"/>
      <w:r>
        <w:rPr>
          <w:lang w:eastAsia="en-GB"/>
        </w:rPr>
        <w:t>Passmark</w:t>
      </w:r>
      <w:proofErr w:type="spellEnd"/>
      <w:r>
        <w:rPr>
          <w:lang w:eastAsia="en-GB"/>
        </w:rPr>
        <w:t xml:space="preserve"> trend vývoja ceny </w:t>
      </w:r>
      <w:proofErr w:type="spellStart"/>
      <w:r>
        <w:rPr>
          <w:lang w:eastAsia="en-GB"/>
        </w:rPr>
        <w:t>nekoreluje</w:t>
      </w:r>
      <w:proofErr w:type="spellEnd"/>
      <w:r>
        <w:rPr>
          <w:lang w:eastAsia="en-GB"/>
        </w:rPr>
        <w:t xml:space="preserve"> (nárast hodnoty </w:t>
      </w:r>
      <w:proofErr w:type="spellStart"/>
      <w:r>
        <w:rPr>
          <w:lang w:eastAsia="en-GB"/>
        </w:rPr>
        <w:t>Passmark</w:t>
      </w:r>
      <w:proofErr w:type="spellEnd"/>
      <w:r>
        <w:rPr>
          <w:lang w:eastAsia="en-GB"/>
        </w:rPr>
        <w:t xml:space="preserve"> automaticky neznamená aj zodpovedajúci nárast ceny, v niektorých prípadoch došlo aj k poklesu, čo sa dá vysvetliť tak, že ostatné parametre boli u takých počítačov slabšie).</w:t>
      </w:r>
    </w:p>
    <w:p w14:paraId="4EBB4C61" w14:textId="49C2E7D6" w:rsidR="00C31054" w:rsidRPr="00763643" w:rsidRDefault="00C31054" w:rsidP="00C31054">
      <w:pPr>
        <w:rPr>
          <w:lang w:eastAsia="en-GB"/>
        </w:rPr>
      </w:pPr>
      <w:r>
        <w:rPr>
          <w:lang w:eastAsia="en-GB"/>
        </w:rPr>
        <w:t>Pri kapacite RAM a diskovej kapacite je korelačný vzťah silnejší, aj keď aj pri týchto parametroch sú odchýlky.</w:t>
      </w:r>
      <w:r w:rsidR="00763643">
        <w:rPr>
          <w:lang w:eastAsia="en-GB"/>
        </w:rPr>
        <w:t xml:space="preserve"> V porovnaní s analýzami stolových počítačov sú odchýlky pri notebookoch väčšie.</w:t>
      </w:r>
    </w:p>
    <w:p w14:paraId="026E07EC" w14:textId="3FEFFB80" w:rsidR="00C31054" w:rsidRDefault="00C31054" w:rsidP="00C31054">
      <w:pPr>
        <w:pStyle w:val="Graf"/>
      </w:pPr>
      <w:r>
        <w:t xml:space="preserve">Ceny </w:t>
      </w:r>
      <w:r w:rsidR="00014AC6">
        <w:t>notebookov</w:t>
      </w:r>
      <w:r>
        <w:t xml:space="preserve"> v porovnaní s priemernou hodnotou </w:t>
      </w:r>
      <w:proofErr w:type="spellStart"/>
      <w:r>
        <w:t>Passmark</w:t>
      </w:r>
      <w:proofErr w:type="spellEnd"/>
      <w:r>
        <w:t xml:space="preserve"> procesora</w:t>
      </w:r>
    </w:p>
    <w:p w14:paraId="5232A4AD" w14:textId="007725F4" w:rsidR="00C31054" w:rsidRDefault="00014AC6" w:rsidP="00014AC6">
      <w:pPr>
        <w:ind w:left="-426"/>
        <w:rPr>
          <w:lang w:eastAsia="en-GB"/>
        </w:rPr>
      </w:pPr>
      <w:r w:rsidRPr="00014AC6">
        <w:rPr>
          <w:noProof/>
        </w:rPr>
        <w:drawing>
          <wp:inline distT="0" distB="0" distL="0" distR="0" wp14:anchorId="2086BDDE" wp14:editId="14C5E5CD">
            <wp:extent cx="6286500" cy="3351449"/>
            <wp:effectExtent l="0" t="0" r="0" b="1905"/>
            <wp:docPr id="43634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40" cy="33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66AD" w14:textId="78F333C7" w:rsidR="00C31054" w:rsidRDefault="00C31054" w:rsidP="00C31054">
      <w:pPr>
        <w:pStyle w:val="Graf"/>
        <w:ind w:left="1418" w:hanging="710"/>
      </w:pPr>
      <w:r>
        <w:t xml:space="preserve">Ceny </w:t>
      </w:r>
      <w:r w:rsidR="00014AC6">
        <w:t>notebookov</w:t>
      </w:r>
      <w:r>
        <w:t xml:space="preserve"> v porovnaní s priemernou kapacitou nainštalovanej pamäte RAM</w:t>
      </w:r>
    </w:p>
    <w:p w14:paraId="0443E5ED" w14:textId="7B5B0B75" w:rsidR="00C31054" w:rsidRDefault="00014AC6" w:rsidP="00014AC6">
      <w:pPr>
        <w:ind w:left="-426"/>
        <w:rPr>
          <w:lang w:eastAsia="en-GB"/>
        </w:rPr>
      </w:pPr>
      <w:r w:rsidRPr="00014AC6">
        <w:rPr>
          <w:noProof/>
        </w:rPr>
        <w:drawing>
          <wp:inline distT="0" distB="0" distL="0" distR="0" wp14:anchorId="055B922D" wp14:editId="1EA103E0">
            <wp:extent cx="6287623" cy="3378200"/>
            <wp:effectExtent l="0" t="0" r="0" b="0"/>
            <wp:docPr id="55710286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220" cy="338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57F1" w14:textId="50F4DC36" w:rsidR="00C31054" w:rsidRDefault="00C31054" w:rsidP="00C31054">
      <w:pPr>
        <w:pStyle w:val="Graf"/>
      </w:pPr>
      <w:r>
        <w:lastRenderedPageBreak/>
        <w:t xml:space="preserve">Ceny </w:t>
      </w:r>
      <w:r w:rsidR="00014AC6">
        <w:t>notebookov</w:t>
      </w:r>
      <w:r>
        <w:t xml:space="preserve"> v porovnaní s celkovou priemernou diskovou kapacitou</w:t>
      </w:r>
    </w:p>
    <w:p w14:paraId="75B27DC8" w14:textId="63B5938C" w:rsidR="00C31054" w:rsidRDefault="00456378" w:rsidP="00456378">
      <w:pPr>
        <w:ind w:left="-567"/>
        <w:rPr>
          <w:lang w:eastAsia="en-GB"/>
        </w:rPr>
      </w:pPr>
      <w:r w:rsidRPr="00456378">
        <w:rPr>
          <w:noProof/>
        </w:rPr>
        <w:drawing>
          <wp:inline distT="0" distB="0" distL="0" distR="0" wp14:anchorId="0207AB93" wp14:editId="764AC77B">
            <wp:extent cx="6553200" cy="3587667"/>
            <wp:effectExtent l="0" t="0" r="0" b="0"/>
            <wp:docPr id="94794323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201" cy="359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5B90" w14:textId="6314AD4E" w:rsidR="00C31054" w:rsidRDefault="00C31054" w:rsidP="00C31054">
      <w:pPr>
        <w:rPr>
          <w:lang w:eastAsia="en-GB"/>
        </w:rPr>
      </w:pPr>
      <w:r>
        <w:rPr>
          <w:lang w:eastAsia="en-GB"/>
        </w:rPr>
        <w:t xml:space="preserve">Ceny </w:t>
      </w:r>
      <w:r w:rsidR="00456378">
        <w:rPr>
          <w:lang w:eastAsia="en-GB"/>
        </w:rPr>
        <w:t>notebookov</w:t>
      </w:r>
      <w:r>
        <w:rPr>
          <w:lang w:eastAsia="en-GB"/>
        </w:rPr>
        <w:t xml:space="preserve"> s integrovanou (zdieľanou) grafickou kartou v porovnaní s cenami </w:t>
      </w:r>
      <w:r w:rsidR="00456378">
        <w:rPr>
          <w:lang w:eastAsia="en-GB"/>
        </w:rPr>
        <w:t>notebookov</w:t>
      </w:r>
      <w:r>
        <w:rPr>
          <w:lang w:eastAsia="en-GB"/>
        </w:rPr>
        <w:t xml:space="preserve"> s dedikovanou (nezdieľanou) grafickou kartou sa výrazne líšia, pričom rozdiel je </w:t>
      </w:r>
      <w:r w:rsidR="00456378">
        <w:rPr>
          <w:lang w:eastAsia="en-GB"/>
        </w:rPr>
        <w:t>približne 100%</w:t>
      </w:r>
      <w:r>
        <w:rPr>
          <w:lang w:eastAsia="en-GB"/>
        </w:rPr>
        <w:t>.</w:t>
      </w:r>
      <w:r w:rsidR="00456378">
        <w:rPr>
          <w:lang w:eastAsia="en-GB"/>
        </w:rPr>
        <w:t xml:space="preserve"> Notebooky s dedikovanými grafickými kartami spravidla bývajú vo vyšších konfiguráciách</w:t>
      </w:r>
      <w:r w:rsidR="00001AFD">
        <w:rPr>
          <w:lang w:eastAsia="en-GB"/>
        </w:rPr>
        <w:t>, mávajú vyššie rozlíšenie displeja</w:t>
      </w:r>
      <w:r w:rsidR="00456378">
        <w:rPr>
          <w:lang w:eastAsia="en-GB"/>
        </w:rPr>
        <w:t xml:space="preserve"> a ich celková cena býva vyššia už len preto, že ide o „prémiový“ produkt. Preto je dôležité dobre zvážiť nákup zariadenia s dedikovanou grafickou kartou, t. j. či pracovná náplň zamestnanca </w:t>
      </w:r>
      <w:r w:rsidR="00001AFD">
        <w:rPr>
          <w:lang w:eastAsia="en-GB"/>
        </w:rPr>
        <w:t>naozaj vyžaduje nadštandardný grafický výkon.</w:t>
      </w:r>
    </w:p>
    <w:p w14:paraId="4C159188" w14:textId="28C2E53C" w:rsidR="00C31054" w:rsidRDefault="00C31054" w:rsidP="00C31054">
      <w:pPr>
        <w:pStyle w:val="Graf"/>
        <w:ind w:left="1418" w:hanging="710"/>
      </w:pPr>
      <w:r>
        <w:t xml:space="preserve">Priemerná cena </w:t>
      </w:r>
      <w:r w:rsidR="00001AFD">
        <w:t>notebookov</w:t>
      </w:r>
      <w:r>
        <w:t xml:space="preserve"> s integrovanou (zdieľanou) grafickou kartou </w:t>
      </w:r>
      <w:proofErr w:type="spellStart"/>
      <w:r>
        <w:t>vs</w:t>
      </w:r>
      <w:proofErr w:type="spellEnd"/>
      <w:r>
        <w:t xml:space="preserve">. </w:t>
      </w:r>
      <w:r w:rsidR="00001AFD">
        <w:t>notebookov</w:t>
      </w:r>
      <w:r>
        <w:t xml:space="preserve"> s dedikovanou (nezdieľanou) grafickou kartou</w:t>
      </w:r>
    </w:p>
    <w:p w14:paraId="727CEFA9" w14:textId="3BDA3842" w:rsidR="00C31054" w:rsidRPr="00F0618C" w:rsidRDefault="00001AFD" w:rsidP="00001AFD">
      <w:pPr>
        <w:ind w:left="-567"/>
        <w:rPr>
          <w:lang w:eastAsia="en-GB"/>
        </w:rPr>
      </w:pPr>
      <w:r w:rsidRPr="00001AFD">
        <w:rPr>
          <w:noProof/>
        </w:rPr>
        <w:drawing>
          <wp:inline distT="0" distB="0" distL="0" distR="0" wp14:anchorId="4A738F8D" wp14:editId="5E19FF6B">
            <wp:extent cx="6464300" cy="3280883"/>
            <wp:effectExtent l="0" t="0" r="0" b="0"/>
            <wp:docPr id="51176132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011" cy="328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1DC1" w14:textId="2FBD4B4E" w:rsidR="00C31054" w:rsidRDefault="00AC5E0D" w:rsidP="00C31054">
      <w:pPr>
        <w:rPr>
          <w:lang w:eastAsia="en-GB"/>
        </w:rPr>
      </w:pPr>
      <w:r>
        <w:rPr>
          <w:lang w:eastAsia="en-GB"/>
        </w:rPr>
        <w:lastRenderedPageBreak/>
        <w:t>Cenu notebookov značne ovplyvňuje aj rozlíšenie zabudovaného displeja. Displeje majú aj iné parametre, no najväčší vplyv na cenu má práve rozlíšenie. V dobe spracovania analýzy boli najrozšírenejšími displeje s pomerom strán 16:9 alebo 16:10, pričom medzi obidvoma verziami v inak rovnakom rozlíšení sú v cene minimálne rozdiely. V rámci analýzy bol zapracovaný preto len horizontálny rozmer, t. j. pri displejoch HD/HD+ hodnota 1 920 bodov, pri UHD 3 840 bodov a pod.</w:t>
      </w:r>
    </w:p>
    <w:p w14:paraId="467EABC8" w14:textId="5C8BEC30" w:rsidR="00AC5E0D" w:rsidRDefault="00AC5E0D" w:rsidP="00C31054">
      <w:pPr>
        <w:rPr>
          <w:lang w:eastAsia="en-GB"/>
        </w:rPr>
      </w:pPr>
      <w:r>
        <w:rPr>
          <w:lang w:eastAsia="en-GB"/>
        </w:rPr>
        <w:t xml:space="preserve">Z analýzy vyplýva, že </w:t>
      </w:r>
      <w:r w:rsidRPr="00AC5E0D">
        <w:rPr>
          <w:b/>
          <w:bCs/>
          <w:lang w:eastAsia="en-GB"/>
        </w:rPr>
        <w:t>priemerná cena notebooku s UHD displejom je približne dvojnásobná</w:t>
      </w:r>
      <w:r>
        <w:rPr>
          <w:lang w:eastAsia="en-GB"/>
        </w:rPr>
        <w:t xml:space="preserve"> v porovnaní s notebookom s displejom HD/HD+.</w:t>
      </w:r>
    </w:p>
    <w:p w14:paraId="79279D49" w14:textId="092CF82C" w:rsidR="00AC5E0D" w:rsidRDefault="00AC5E0D" w:rsidP="00AC5E0D">
      <w:pPr>
        <w:pStyle w:val="Tabulka"/>
        <w:ind w:left="1843" w:hanging="1134"/>
      </w:pPr>
      <w:r>
        <w:t>Vplyv priemerného vodorovného rozlíšenia displeja notebooku na priemernú cenu podľa objednávateľa</w:t>
      </w:r>
    </w:p>
    <w:p w14:paraId="11E51FE8" w14:textId="398E9B3A" w:rsidR="00AC5E0D" w:rsidRDefault="00AC5E0D" w:rsidP="00AC5E0D">
      <w:pPr>
        <w:rPr>
          <w:lang w:eastAsia="en-GB"/>
        </w:rPr>
      </w:pPr>
      <w:r w:rsidRPr="00AC5E0D">
        <w:rPr>
          <w:noProof/>
        </w:rPr>
        <w:drawing>
          <wp:inline distT="0" distB="0" distL="0" distR="0" wp14:anchorId="11FC4BDB" wp14:editId="15827713">
            <wp:extent cx="5638800" cy="2904712"/>
            <wp:effectExtent l="0" t="0" r="0" b="0"/>
            <wp:docPr id="127479885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048" cy="29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A700" w14:textId="4FA70F66" w:rsidR="00AC5E0D" w:rsidRDefault="00265CDA" w:rsidP="00AC5E0D">
      <w:pPr>
        <w:rPr>
          <w:lang w:eastAsia="en-GB"/>
        </w:rPr>
      </w:pPr>
      <w:r>
        <w:rPr>
          <w:lang w:eastAsia="en-GB"/>
        </w:rPr>
        <w:t>Nedostatkom analýzy rozlíšenia displeja je malý počet pozorovaní s rozlíšením vyšším ako HD/HD+.</w:t>
      </w:r>
    </w:p>
    <w:p w14:paraId="3BB912D4" w14:textId="32C3CFEF" w:rsidR="0034222B" w:rsidRDefault="0034222B" w:rsidP="00AC5E0D">
      <w:pPr>
        <w:rPr>
          <w:lang w:eastAsia="en-GB"/>
        </w:rPr>
      </w:pPr>
      <w:r>
        <w:rPr>
          <w:lang w:eastAsia="en-GB"/>
        </w:rPr>
        <w:t xml:space="preserve">Výrazný rozdiel v cene zo súboru údajov vychádza pri porovnaní notebookov značky Apple v porovnaní s notebookmi porovnateľného výkonu od iných výrobcov. </w:t>
      </w:r>
      <w:r w:rsidRPr="0034222B">
        <w:rPr>
          <w:b/>
          <w:bCs/>
          <w:lang w:eastAsia="en-GB"/>
        </w:rPr>
        <w:t>Rozdiel predstavuje v priemere vyše 800 eur</w:t>
      </w:r>
      <w:r>
        <w:rPr>
          <w:lang w:eastAsia="en-GB"/>
        </w:rPr>
        <w:t>, aj keď na presnejší údaj by bolo potrebných viac pozorovaní hlavne pri značke Apple.</w:t>
      </w:r>
    </w:p>
    <w:p w14:paraId="0DFD3E56" w14:textId="71FC4DA8" w:rsidR="0034222B" w:rsidRPr="00AC5E0D" w:rsidRDefault="0034222B" w:rsidP="00AC5E0D">
      <w:pPr>
        <w:rPr>
          <w:lang w:eastAsia="en-GB"/>
        </w:rPr>
      </w:pPr>
      <w:r>
        <w:rPr>
          <w:lang w:eastAsia="en-GB"/>
        </w:rPr>
        <w:t>Napriek tomu odporučiť nákup notebooku tejto značky možno len po dôkladnom zvážení potrieb zamestnanca z pohľadu jeho pracovnej náplne.</w:t>
      </w:r>
    </w:p>
    <w:p w14:paraId="351F82B7" w14:textId="310DD0FF" w:rsidR="001D0317" w:rsidRDefault="001D0317">
      <w:pPr>
        <w:ind w:left="0"/>
        <w:jc w:val="left"/>
        <w:rPr>
          <w:b/>
          <w:bCs/>
          <w:noProof/>
          <w:color w:val="3E023F"/>
          <w:sz w:val="24"/>
        </w:rPr>
      </w:pPr>
    </w:p>
    <w:p w14:paraId="618DEC45" w14:textId="77777777" w:rsidR="00C31054" w:rsidRPr="00460979" w:rsidRDefault="00C31054">
      <w:pPr>
        <w:ind w:left="0"/>
        <w:jc w:val="left"/>
        <w:rPr>
          <w:b/>
          <w:bCs/>
          <w:noProof/>
          <w:color w:val="3E023F"/>
          <w:sz w:val="24"/>
        </w:rPr>
      </w:pPr>
    </w:p>
    <w:sectPr w:rsidR="00C31054" w:rsidRPr="00460979" w:rsidSect="00CD7461">
      <w:footerReference w:type="default" r:id="rId31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2CC4" w14:textId="77777777" w:rsidR="00077303" w:rsidRDefault="00077303" w:rsidP="0074386E">
      <w:pPr>
        <w:spacing w:after="0" w:line="240" w:lineRule="auto"/>
      </w:pPr>
      <w:r>
        <w:separator/>
      </w:r>
    </w:p>
  </w:endnote>
  <w:endnote w:type="continuationSeparator" w:id="0">
    <w:p w14:paraId="565832EC" w14:textId="77777777" w:rsidR="00077303" w:rsidRDefault="00077303" w:rsidP="0074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58896136"/>
      <w:docPartObj>
        <w:docPartGallery w:val="Page Numbers (Bottom of Page)"/>
        <w:docPartUnique/>
      </w:docPartObj>
    </w:sdtPr>
    <w:sdtContent>
      <w:p w14:paraId="6B9F87CF" w14:textId="77777777" w:rsidR="00F65032" w:rsidRDefault="00F65032" w:rsidP="009F46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29EDB5" w14:textId="77777777" w:rsidR="00F65032" w:rsidRDefault="00F65032" w:rsidP="00B951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02C2" w14:textId="3E296DFE" w:rsidR="006C36E1" w:rsidRDefault="006C36E1">
    <w:pPr>
      <w:pStyle w:val="Footer"/>
      <w:jc w:val="right"/>
    </w:pPr>
    <w:r w:rsidRPr="006C36E1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216A6E07" wp14:editId="431BB24E">
          <wp:simplePos x="0" y="0"/>
          <wp:positionH relativeFrom="column">
            <wp:posOffset>5149367</wp:posOffset>
          </wp:positionH>
          <wp:positionV relativeFrom="paragraph">
            <wp:posOffset>4445</wp:posOffset>
          </wp:positionV>
          <wp:extent cx="345440" cy="151765"/>
          <wp:effectExtent l="0" t="0" r="0" b="635"/>
          <wp:wrapNone/>
          <wp:docPr id="73668847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_col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67" t="23503" r="10683" b="26893"/>
                  <a:stretch/>
                </pic:blipFill>
                <pic:spPr bwMode="auto">
                  <a:xfrm>
                    <a:off x="0" y="0"/>
                    <a:ext cx="345440" cy="151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C36E1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FD98E" wp14:editId="2199770F">
              <wp:simplePos x="0" y="0"/>
              <wp:positionH relativeFrom="column">
                <wp:posOffset>5577917</wp:posOffset>
              </wp:positionH>
              <wp:positionV relativeFrom="paragraph">
                <wp:posOffset>-1245</wp:posOffset>
              </wp:positionV>
              <wp:extent cx="0" cy="179705"/>
              <wp:effectExtent l="0" t="0" r="12700" b="1079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79705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8340B" id="Straight Connector 1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2pt,-.1pt" to="439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" strokecolor="#aeaaaa [2414]" strokeweight="1.25pt">
              <v:stroke joinstyle="miter"/>
            </v:line>
          </w:pict>
        </mc:Fallback>
      </mc:AlternateContent>
    </w:r>
    <w:sdt>
      <w:sdtPr>
        <w:id w:val="-2219182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A02D1">
          <w:rPr>
            <w:noProof/>
          </w:rPr>
          <w:t>2</w:t>
        </w:r>
        <w:r>
          <w:fldChar w:fldCharType="end"/>
        </w:r>
      </w:sdtContent>
    </w:sdt>
  </w:p>
  <w:p w14:paraId="7FAFF7E1" w14:textId="5DC57D17" w:rsidR="00F65032" w:rsidRDefault="00F65032" w:rsidP="00B9518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66826652"/>
      <w:docPartObj>
        <w:docPartGallery w:val="Page Numbers (Bottom of Page)"/>
        <w:docPartUnique/>
      </w:docPartObj>
    </w:sdtPr>
    <w:sdtContent>
      <w:p w14:paraId="1764C32D" w14:textId="77777777" w:rsidR="00C31054" w:rsidRDefault="00C31054" w:rsidP="009F46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A058C9" w14:textId="77777777" w:rsidR="00C31054" w:rsidRDefault="00C31054" w:rsidP="00B9518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9C41" w14:textId="77777777" w:rsidR="00C31054" w:rsidRDefault="00C31054">
    <w:pPr>
      <w:pStyle w:val="Footer"/>
      <w:jc w:val="right"/>
    </w:pPr>
    <w:r w:rsidRPr="006C36E1">
      <w:rPr>
        <w:noProof/>
        <w:lang w:eastAsia="sk-SK"/>
      </w:rPr>
      <w:drawing>
        <wp:anchor distT="0" distB="0" distL="114300" distR="114300" simplePos="0" relativeHeight="251673600" behindDoc="0" locked="0" layoutInCell="1" allowOverlap="1" wp14:anchorId="1B8FBB6D" wp14:editId="7416161E">
          <wp:simplePos x="0" y="0"/>
          <wp:positionH relativeFrom="column">
            <wp:posOffset>5149367</wp:posOffset>
          </wp:positionH>
          <wp:positionV relativeFrom="paragraph">
            <wp:posOffset>4445</wp:posOffset>
          </wp:positionV>
          <wp:extent cx="345440" cy="151765"/>
          <wp:effectExtent l="0" t="0" r="0" b="635"/>
          <wp:wrapNone/>
          <wp:docPr id="72993910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_col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67" t="23503" r="10683" b="26893"/>
                  <a:stretch/>
                </pic:blipFill>
                <pic:spPr bwMode="auto">
                  <a:xfrm>
                    <a:off x="0" y="0"/>
                    <a:ext cx="345440" cy="151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C36E1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5B6EB8" wp14:editId="64B33905">
              <wp:simplePos x="0" y="0"/>
              <wp:positionH relativeFrom="column">
                <wp:posOffset>5577917</wp:posOffset>
              </wp:positionH>
              <wp:positionV relativeFrom="paragraph">
                <wp:posOffset>-1245</wp:posOffset>
              </wp:positionV>
              <wp:extent cx="0" cy="179705"/>
              <wp:effectExtent l="0" t="0" r="12700" b="10795"/>
              <wp:wrapNone/>
              <wp:docPr id="497645881" name="Straight Connector 4976458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79705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88D50" id="Straight Connector 49764588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2pt,-.1pt" to="439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" strokecolor="#aeaaaa [2414]" strokeweight="1.25pt">
              <v:stroke joinstyle="miter"/>
            </v:line>
          </w:pict>
        </mc:Fallback>
      </mc:AlternateContent>
    </w:r>
    <w:sdt>
      <w:sdtPr>
        <w:id w:val="4549107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059B3AEA" w14:textId="77777777" w:rsidR="00C31054" w:rsidRDefault="00C31054" w:rsidP="00B9518E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3AB1" w14:textId="3BA975DD" w:rsidR="006C36E1" w:rsidRDefault="006C36E1">
    <w:pPr>
      <w:pStyle w:val="Footer"/>
      <w:jc w:val="right"/>
    </w:pPr>
    <w:r w:rsidRPr="006C36E1"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5CE8AD2A" wp14:editId="58308193">
          <wp:simplePos x="0" y="0"/>
          <wp:positionH relativeFrom="column">
            <wp:posOffset>5149367</wp:posOffset>
          </wp:positionH>
          <wp:positionV relativeFrom="paragraph">
            <wp:posOffset>4445</wp:posOffset>
          </wp:positionV>
          <wp:extent cx="345440" cy="151765"/>
          <wp:effectExtent l="0" t="0" r="0" b="635"/>
          <wp:wrapNone/>
          <wp:docPr id="29857630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_col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67" t="23503" r="10683" b="26893"/>
                  <a:stretch/>
                </pic:blipFill>
                <pic:spPr bwMode="auto">
                  <a:xfrm>
                    <a:off x="0" y="0"/>
                    <a:ext cx="345440" cy="151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C36E1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A682D7" wp14:editId="57E7C369">
              <wp:simplePos x="0" y="0"/>
              <wp:positionH relativeFrom="column">
                <wp:posOffset>5577917</wp:posOffset>
              </wp:positionH>
              <wp:positionV relativeFrom="paragraph">
                <wp:posOffset>-1245</wp:posOffset>
              </wp:positionV>
              <wp:extent cx="0" cy="179705"/>
              <wp:effectExtent l="0" t="0" r="12700" b="10795"/>
              <wp:wrapNone/>
              <wp:docPr id="13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79705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BD13D" id="Straight Connector 1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2pt,-.1pt" to="439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" strokecolor="#aeaaaa [2414]" strokeweight="1.25pt">
              <v:stroke joinstyle="miter"/>
            </v:line>
          </w:pict>
        </mc:Fallback>
      </mc:AlternateContent>
    </w:r>
    <w:sdt>
      <w:sdtPr>
        <w:id w:val="633716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A02D1">
          <w:rPr>
            <w:noProof/>
          </w:rPr>
          <w:t>12</w:t>
        </w:r>
        <w:r>
          <w:fldChar w:fldCharType="end"/>
        </w:r>
      </w:sdtContent>
    </w:sdt>
  </w:p>
  <w:p w14:paraId="11D96AF3" w14:textId="57C14171" w:rsidR="006C36E1" w:rsidRDefault="006C36E1" w:rsidP="00B951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ED376" w14:textId="77777777" w:rsidR="00077303" w:rsidRDefault="00077303" w:rsidP="0074386E">
      <w:pPr>
        <w:spacing w:after="0" w:line="240" w:lineRule="auto"/>
      </w:pPr>
      <w:r>
        <w:separator/>
      </w:r>
    </w:p>
  </w:footnote>
  <w:footnote w:type="continuationSeparator" w:id="0">
    <w:p w14:paraId="5FC83C98" w14:textId="77777777" w:rsidR="00077303" w:rsidRDefault="00077303" w:rsidP="0074386E">
      <w:pPr>
        <w:spacing w:after="0" w:line="240" w:lineRule="auto"/>
      </w:pPr>
      <w:r>
        <w:continuationSeparator/>
      </w:r>
    </w:p>
  </w:footnote>
  <w:footnote w:id="1">
    <w:p w14:paraId="3222D9FB" w14:textId="36177EC3" w:rsidR="00460979" w:rsidRPr="00460979" w:rsidRDefault="00460979">
      <w:pPr>
        <w:pStyle w:val="FootnoteText"/>
        <w:rPr>
          <w:b/>
          <w:bCs/>
          <w:lang w:val="sk-SK"/>
        </w:rPr>
      </w:pPr>
      <w:r>
        <w:rPr>
          <w:rStyle w:val="FootnoteReference"/>
        </w:rPr>
        <w:footnoteRef/>
      </w:r>
      <w:r w:rsidRPr="00460979">
        <w:t xml:space="preserve"> </w:t>
      </w:r>
      <w:r>
        <w:rPr>
          <w:lang w:val="sk-SK"/>
        </w:rPr>
        <w:t xml:space="preserve">Všetky ceny v dokumente sú uvádzané </w:t>
      </w:r>
      <w:r w:rsidRPr="00460979">
        <w:rPr>
          <w:b/>
          <w:bCs/>
          <w:lang w:val="sk-SK"/>
        </w:rPr>
        <w:t>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CE6B" w14:textId="06AC0476" w:rsidR="00945BC1" w:rsidRDefault="00721993">
    <w:pPr>
      <w:pStyle w:val="Header"/>
    </w:pPr>
    <w:r>
      <w:rPr>
        <w:noProof/>
        <w:lang w:eastAsia="sk-SK"/>
      </w:rPr>
      <w:drawing>
        <wp:anchor distT="0" distB="0" distL="114300" distR="114300" simplePos="0" relativeHeight="251670528" behindDoc="1" locked="0" layoutInCell="1" allowOverlap="1" wp14:anchorId="529A5C3F" wp14:editId="48B1E102">
          <wp:simplePos x="0" y="0"/>
          <wp:positionH relativeFrom="column">
            <wp:posOffset>5372100</wp:posOffset>
          </wp:positionH>
          <wp:positionV relativeFrom="paragraph">
            <wp:posOffset>-345440</wp:posOffset>
          </wp:positionV>
          <wp:extent cx="723900" cy="561602"/>
          <wp:effectExtent l="0" t="0" r="0" b="0"/>
          <wp:wrapNone/>
          <wp:docPr id="1839684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23900" cy="56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B7E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90B872" wp14:editId="093EAC2F">
              <wp:simplePos x="0" y="0"/>
              <wp:positionH relativeFrom="column">
                <wp:posOffset>1905000</wp:posOffset>
              </wp:positionH>
              <wp:positionV relativeFrom="paragraph">
                <wp:posOffset>-398780</wp:posOffset>
              </wp:positionV>
              <wp:extent cx="3454400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0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120D56" w14:textId="77777777" w:rsidR="00945BC1" w:rsidRPr="00945BC1" w:rsidRDefault="00945BC1" w:rsidP="00945BC1">
                          <w:pPr>
                            <w:ind w:left="-142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945BC1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Inštitút digitálnych a regionálnych politík</w:t>
                          </w:r>
                          <w:r w:rsidRPr="00945BC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</w:t>
                          </w:r>
                          <w:r w:rsidRPr="00945BC1">
                            <w:rPr>
                              <w:sz w:val="40"/>
                              <w:szCs w:val="40"/>
                            </w:rPr>
                            <w:t>|</w:t>
                          </w:r>
                          <w:r w:rsidRPr="00945BC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1B9666B9" w14:textId="77777777" w:rsidR="00945BC1" w:rsidRPr="00945BC1" w:rsidRDefault="00945BC1" w:rsidP="00945BC1">
                          <w:pPr>
                            <w:ind w:left="-142"/>
                            <w:rPr>
                              <w:sz w:val="18"/>
                              <w:szCs w:val="18"/>
                            </w:rPr>
                          </w:pPr>
                          <w:r w:rsidRPr="00945BC1">
                            <w:rPr>
                              <w:sz w:val="18"/>
                              <w:szCs w:val="18"/>
                            </w:rPr>
                            <w:t xml:space="preserve">Ministerstvo investícií, regionálneho rozvoja a informatizácie SR   |   mirri.gov.sk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0B8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50pt;margin-top:-31.4pt;width:272pt;height: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z1FwIAACw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" filled="f" stroked="f" strokeweight=".5pt">
              <v:textbox>
                <w:txbxContent>
                  <w:p w14:paraId="3C120D56" w14:textId="77777777" w:rsidR="00945BC1" w:rsidRPr="00945BC1" w:rsidRDefault="00945BC1" w:rsidP="00945BC1">
                    <w:pPr>
                      <w:ind w:left="-142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945BC1">
                      <w:rPr>
                        <w:b/>
                        <w:bCs/>
                        <w:sz w:val="32"/>
                        <w:szCs w:val="32"/>
                      </w:rPr>
                      <w:t>Inštitút digitálnych a regionálnych politík</w:t>
                    </w:r>
                    <w:r w:rsidRPr="00945BC1">
                      <w:rPr>
                        <w:b/>
                        <w:bCs/>
                        <w:sz w:val="40"/>
                        <w:szCs w:val="40"/>
                      </w:rPr>
                      <w:t xml:space="preserve">  </w:t>
                    </w:r>
                    <w:r w:rsidRPr="00945BC1">
                      <w:rPr>
                        <w:sz w:val="40"/>
                        <w:szCs w:val="40"/>
                      </w:rPr>
                      <w:t>|</w:t>
                    </w:r>
                    <w:r w:rsidRPr="00945BC1">
                      <w:rPr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</w:p>
                  <w:p w14:paraId="1B9666B9" w14:textId="77777777" w:rsidR="00945BC1" w:rsidRPr="00945BC1" w:rsidRDefault="00945BC1" w:rsidP="00945BC1">
                    <w:pPr>
                      <w:ind w:left="-142"/>
                      <w:rPr>
                        <w:sz w:val="18"/>
                        <w:szCs w:val="18"/>
                      </w:rPr>
                    </w:pPr>
                    <w:r w:rsidRPr="00945BC1">
                      <w:rPr>
                        <w:sz w:val="18"/>
                        <w:szCs w:val="18"/>
                      </w:rPr>
                      <w:t xml:space="preserve">Ministerstvo investícií, regionálneho rozvoja a informatizácie SR   |   mirri.gov.sk  </w:t>
                    </w:r>
                  </w:p>
                </w:txbxContent>
              </v:textbox>
            </v:shape>
          </w:pict>
        </mc:Fallback>
      </mc:AlternateContent>
    </w:r>
    <w:r w:rsidR="00945BC1">
      <w:rPr>
        <w:noProof/>
        <w:lang w:eastAsia="sk-SK"/>
      </w:rPr>
      <w:drawing>
        <wp:anchor distT="0" distB="0" distL="114300" distR="114300" simplePos="0" relativeHeight="251668480" behindDoc="0" locked="1" layoutInCell="1" allowOverlap="1" wp14:anchorId="77EDD6E7" wp14:editId="1D7D985A">
          <wp:simplePos x="0" y="0"/>
          <wp:positionH relativeFrom="page">
            <wp:posOffset>-120650</wp:posOffset>
          </wp:positionH>
          <wp:positionV relativeFrom="paragraph">
            <wp:posOffset>-610235</wp:posOffset>
          </wp:positionV>
          <wp:extent cx="2568575" cy="920750"/>
          <wp:effectExtent l="0" t="0" r="0" b="0"/>
          <wp:wrapNone/>
          <wp:docPr id="1632472553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57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2F07D" w14:textId="77777777" w:rsidR="00945BC1" w:rsidRDefault="00945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34D16" w14:textId="77777777" w:rsidR="00C31054" w:rsidRDefault="00C31054">
    <w:pPr>
      <w:pStyle w:val="Header"/>
    </w:pPr>
    <w:r>
      <w:rPr>
        <w:noProof/>
        <w:lang w:eastAsia="sk-SK"/>
      </w:rPr>
      <w:drawing>
        <wp:anchor distT="0" distB="0" distL="114300" distR="114300" simplePos="0" relativeHeight="251676672" behindDoc="1" locked="0" layoutInCell="1" allowOverlap="1" wp14:anchorId="59B9FF6A" wp14:editId="4F8875C0">
          <wp:simplePos x="0" y="0"/>
          <wp:positionH relativeFrom="column">
            <wp:posOffset>5372100</wp:posOffset>
          </wp:positionH>
          <wp:positionV relativeFrom="paragraph">
            <wp:posOffset>-345440</wp:posOffset>
          </wp:positionV>
          <wp:extent cx="723900" cy="561602"/>
          <wp:effectExtent l="0" t="0" r="0" b="0"/>
          <wp:wrapNone/>
          <wp:docPr id="30479926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23900" cy="56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B7E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11A2456" wp14:editId="22F0CC10">
              <wp:simplePos x="0" y="0"/>
              <wp:positionH relativeFrom="column">
                <wp:posOffset>1905000</wp:posOffset>
              </wp:positionH>
              <wp:positionV relativeFrom="paragraph">
                <wp:posOffset>-398780</wp:posOffset>
              </wp:positionV>
              <wp:extent cx="3454400" cy="678180"/>
              <wp:effectExtent l="0" t="0" r="0" b="7620"/>
              <wp:wrapNone/>
              <wp:docPr id="820612287" name="Text Box 8206122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0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0AC84" w14:textId="77777777" w:rsidR="00C31054" w:rsidRPr="00945BC1" w:rsidRDefault="00C31054" w:rsidP="00945BC1">
                          <w:pPr>
                            <w:ind w:left="-142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945BC1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Inštitút digitálnych a regionálnych politík</w:t>
                          </w:r>
                          <w:r w:rsidRPr="00945BC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</w:t>
                          </w:r>
                          <w:r w:rsidRPr="00945BC1">
                            <w:rPr>
                              <w:sz w:val="40"/>
                              <w:szCs w:val="40"/>
                            </w:rPr>
                            <w:t>|</w:t>
                          </w:r>
                          <w:r w:rsidRPr="00945BC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07470764" w14:textId="77777777" w:rsidR="00C31054" w:rsidRPr="00945BC1" w:rsidRDefault="00C31054" w:rsidP="00945BC1">
                          <w:pPr>
                            <w:ind w:left="-142"/>
                            <w:rPr>
                              <w:sz w:val="18"/>
                              <w:szCs w:val="18"/>
                            </w:rPr>
                          </w:pPr>
                          <w:r w:rsidRPr="00945BC1">
                            <w:rPr>
                              <w:sz w:val="18"/>
                              <w:szCs w:val="18"/>
                            </w:rPr>
                            <w:t xml:space="preserve">Ministerstvo investícií, regionálneho rozvoja a informatizácie SR   |   mirri.gov.sk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A2456" id="_x0000_t202" coordsize="21600,21600" o:spt="202" path="m,l,21600r21600,l21600,xe">
              <v:stroke joinstyle="miter"/>
              <v:path gradientshapeok="t" o:connecttype="rect"/>
            </v:shapetype>
            <v:shape id="Text Box 820612287" o:spid="_x0000_s1028" type="#_x0000_t202" style="position:absolute;left:0;text-align:left;margin-left:150pt;margin-top:-31.4pt;width:272pt;height:5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YgGQ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" filled="f" stroked="f" strokeweight=".5pt">
              <v:textbox>
                <w:txbxContent>
                  <w:p w14:paraId="35E0AC84" w14:textId="77777777" w:rsidR="00C31054" w:rsidRPr="00945BC1" w:rsidRDefault="00C31054" w:rsidP="00945BC1">
                    <w:pPr>
                      <w:ind w:left="-142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945BC1">
                      <w:rPr>
                        <w:b/>
                        <w:bCs/>
                        <w:sz w:val="32"/>
                        <w:szCs w:val="32"/>
                      </w:rPr>
                      <w:t>Inštitút digitálnych a regionálnych politík</w:t>
                    </w:r>
                    <w:r w:rsidRPr="00945BC1">
                      <w:rPr>
                        <w:b/>
                        <w:bCs/>
                        <w:sz w:val="40"/>
                        <w:szCs w:val="40"/>
                      </w:rPr>
                      <w:t xml:space="preserve">  </w:t>
                    </w:r>
                    <w:r w:rsidRPr="00945BC1">
                      <w:rPr>
                        <w:sz w:val="40"/>
                        <w:szCs w:val="40"/>
                      </w:rPr>
                      <w:t>|</w:t>
                    </w:r>
                    <w:r w:rsidRPr="00945BC1">
                      <w:rPr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</w:p>
                  <w:p w14:paraId="07470764" w14:textId="77777777" w:rsidR="00C31054" w:rsidRPr="00945BC1" w:rsidRDefault="00C31054" w:rsidP="00945BC1">
                    <w:pPr>
                      <w:ind w:left="-142"/>
                      <w:rPr>
                        <w:sz w:val="18"/>
                        <w:szCs w:val="18"/>
                      </w:rPr>
                    </w:pPr>
                    <w:r w:rsidRPr="00945BC1">
                      <w:rPr>
                        <w:sz w:val="18"/>
                        <w:szCs w:val="18"/>
                      </w:rPr>
                      <w:t xml:space="preserve">Ministerstvo investícií, regionálneho rozvoja a informatizácie SR   |   mirri.gov.sk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5648" behindDoc="0" locked="1" layoutInCell="1" allowOverlap="1" wp14:anchorId="0AD14CF8" wp14:editId="1A8280B1">
          <wp:simplePos x="0" y="0"/>
          <wp:positionH relativeFrom="page">
            <wp:posOffset>-120650</wp:posOffset>
          </wp:positionH>
          <wp:positionV relativeFrom="paragraph">
            <wp:posOffset>-610235</wp:posOffset>
          </wp:positionV>
          <wp:extent cx="2568575" cy="920750"/>
          <wp:effectExtent l="0" t="0" r="0" b="0"/>
          <wp:wrapNone/>
          <wp:docPr id="223299252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57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122F3" w14:textId="77777777" w:rsidR="00C31054" w:rsidRDefault="00C31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90B93"/>
    <w:multiLevelType w:val="hybridMultilevel"/>
    <w:tmpl w:val="F1A6212E"/>
    <w:lvl w:ilvl="0" w:tplc="D2B2B472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191A2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142AB5"/>
    <w:multiLevelType w:val="hybridMultilevel"/>
    <w:tmpl w:val="68ECAF98"/>
    <w:lvl w:ilvl="0" w:tplc="EB0A72B2">
      <w:start w:val="1"/>
      <w:numFmt w:val="decimal"/>
      <w:pStyle w:val="Tabulka"/>
      <w:lvlText w:val="Tabuľka %1."/>
      <w:lvlJc w:val="left"/>
      <w:pPr>
        <w:ind w:left="28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34FA2212"/>
    <w:multiLevelType w:val="hybridMultilevel"/>
    <w:tmpl w:val="7848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2082"/>
    <w:multiLevelType w:val="hybridMultilevel"/>
    <w:tmpl w:val="DC80B04E"/>
    <w:lvl w:ilvl="0" w:tplc="68029800">
      <w:start w:val="2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D446B0"/>
    <w:multiLevelType w:val="hybridMultilevel"/>
    <w:tmpl w:val="DDD23F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37F39"/>
    <w:multiLevelType w:val="multilevel"/>
    <w:tmpl w:val="041B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65442C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234EDB"/>
    <w:multiLevelType w:val="hybridMultilevel"/>
    <w:tmpl w:val="111476EE"/>
    <w:lvl w:ilvl="0" w:tplc="6B6A51D6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2E0105"/>
    <w:multiLevelType w:val="hybridMultilevel"/>
    <w:tmpl w:val="4C34CA24"/>
    <w:lvl w:ilvl="0" w:tplc="800493F2">
      <w:start w:val="100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F20849"/>
    <w:multiLevelType w:val="hybridMultilevel"/>
    <w:tmpl w:val="07A808D4"/>
    <w:lvl w:ilvl="0" w:tplc="540E0F80">
      <w:start w:val="100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FD6C50"/>
    <w:multiLevelType w:val="hybridMultilevel"/>
    <w:tmpl w:val="03F63918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350346"/>
    <w:multiLevelType w:val="hybridMultilevel"/>
    <w:tmpl w:val="6318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5535A"/>
    <w:multiLevelType w:val="hybridMultilevel"/>
    <w:tmpl w:val="DD7C6B24"/>
    <w:lvl w:ilvl="0" w:tplc="B022B420">
      <w:start w:val="1"/>
      <w:numFmt w:val="decimal"/>
      <w:pStyle w:val="Graf"/>
      <w:lvlText w:val="Graf 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93039"/>
    <w:multiLevelType w:val="hybridMultilevel"/>
    <w:tmpl w:val="BC92A434"/>
    <w:lvl w:ilvl="0" w:tplc="D76028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6507">
    <w:abstractNumId w:val="2"/>
  </w:num>
  <w:num w:numId="2" w16cid:durableId="263002793">
    <w:abstractNumId w:val="13"/>
  </w:num>
  <w:num w:numId="3" w16cid:durableId="583926161">
    <w:abstractNumId w:val="5"/>
  </w:num>
  <w:num w:numId="4" w16cid:durableId="1425221572">
    <w:abstractNumId w:val="14"/>
  </w:num>
  <w:num w:numId="5" w16cid:durableId="140469741">
    <w:abstractNumId w:val="2"/>
    <w:lvlOverride w:ilvl="0">
      <w:startOverride w:val="1"/>
    </w:lvlOverride>
  </w:num>
  <w:num w:numId="6" w16cid:durableId="590772964">
    <w:abstractNumId w:val="2"/>
    <w:lvlOverride w:ilvl="0">
      <w:startOverride w:val="1"/>
    </w:lvlOverride>
  </w:num>
  <w:num w:numId="7" w16cid:durableId="1657101831">
    <w:abstractNumId w:val="2"/>
    <w:lvlOverride w:ilvl="0">
      <w:startOverride w:val="1"/>
    </w:lvlOverride>
  </w:num>
  <w:num w:numId="8" w16cid:durableId="546987615">
    <w:abstractNumId w:val="12"/>
  </w:num>
  <w:num w:numId="9" w16cid:durableId="470680945">
    <w:abstractNumId w:val="3"/>
  </w:num>
  <w:num w:numId="10" w16cid:durableId="467208760">
    <w:abstractNumId w:val="8"/>
  </w:num>
  <w:num w:numId="11" w16cid:durableId="714886025">
    <w:abstractNumId w:val="4"/>
  </w:num>
  <w:num w:numId="12" w16cid:durableId="22630907">
    <w:abstractNumId w:val="9"/>
  </w:num>
  <w:num w:numId="13" w16cid:durableId="1228496479">
    <w:abstractNumId w:val="10"/>
  </w:num>
  <w:num w:numId="14" w16cid:durableId="1987124731">
    <w:abstractNumId w:val="11"/>
  </w:num>
  <w:num w:numId="15" w16cid:durableId="891037212">
    <w:abstractNumId w:val="6"/>
  </w:num>
  <w:num w:numId="16" w16cid:durableId="653872110">
    <w:abstractNumId w:val="1"/>
  </w:num>
  <w:num w:numId="17" w16cid:durableId="1550845776">
    <w:abstractNumId w:val="7"/>
  </w:num>
  <w:num w:numId="18" w16cid:durableId="484856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4428205">
    <w:abstractNumId w:val="0"/>
  </w:num>
  <w:num w:numId="20" w16cid:durableId="924723238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6E"/>
    <w:rsid w:val="00001AFD"/>
    <w:rsid w:val="00001EC5"/>
    <w:rsid w:val="0000349E"/>
    <w:rsid w:val="00003BB6"/>
    <w:rsid w:val="00004065"/>
    <w:rsid w:val="00004414"/>
    <w:rsid w:val="00004CA5"/>
    <w:rsid w:val="000135A7"/>
    <w:rsid w:val="0001442D"/>
    <w:rsid w:val="00014AC6"/>
    <w:rsid w:val="00016EC9"/>
    <w:rsid w:val="00021877"/>
    <w:rsid w:val="00022B76"/>
    <w:rsid w:val="000257B5"/>
    <w:rsid w:val="00026958"/>
    <w:rsid w:val="00027E60"/>
    <w:rsid w:val="00031008"/>
    <w:rsid w:val="00032D5C"/>
    <w:rsid w:val="000332F0"/>
    <w:rsid w:val="000351CE"/>
    <w:rsid w:val="0003717B"/>
    <w:rsid w:val="000378BF"/>
    <w:rsid w:val="00045DBF"/>
    <w:rsid w:val="00045F8A"/>
    <w:rsid w:val="0004605C"/>
    <w:rsid w:val="00047AED"/>
    <w:rsid w:val="00055A71"/>
    <w:rsid w:val="000566D4"/>
    <w:rsid w:val="000579C2"/>
    <w:rsid w:val="00061025"/>
    <w:rsid w:val="000619DE"/>
    <w:rsid w:val="00061AEC"/>
    <w:rsid w:val="00063F65"/>
    <w:rsid w:val="00064B63"/>
    <w:rsid w:val="00065223"/>
    <w:rsid w:val="0007011E"/>
    <w:rsid w:val="00076DA3"/>
    <w:rsid w:val="00077303"/>
    <w:rsid w:val="00077572"/>
    <w:rsid w:val="00081A7E"/>
    <w:rsid w:val="00081E6A"/>
    <w:rsid w:val="00082CC9"/>
    <w:rsid w:val="00083999"/>
    <w:rsid w:val="000900E4"/>
    <w:rsid w:val="00091590"/>
    <w:rsid w:val="0009225F"/>
    <w:rsid w:val="000927D8"/>
    <w:rsid w:val="000934FF"/>
    <w:rsid w:val="0009360F"/>
    <w:rsid w:val="0009420E"/>
    <w:rsid w:val="0009450D"/>
    <w:rsid w:val="0009681B"/>
    <w:rsid w:val="000A7409"/>
    <w:rsid w:val="000C326F"/>
    <w:rsid w:val="000C40B2"/>
    <w:rsid w:val="000C62CE"/>
    <w:rsid w:val="000D1EB8"/>
    <w:rsid w:val="000D5A17"/>
    <w:rsid w:val="000D60E6"/>
    <w:rsid w:val="000D68A3"/>
    <w:rsid w:val="000D740C"/>
    <w:rsid w:val="000D78E9"/>
    <w:rsid w:val="000E10D0"/>
    <w:rsid w:val="000E1FBE"/>
    <w:rsid w:val="000E2A9F"/>
    <w:rsid w:val="000E39BB"/>
    <w:rsid w:val="000F1007"/>
    <w:rsid w:val="000F71FC"/>
    <w:rsid w:val="00107AC4"/>
    <w:rsid w:val="001115D4"/>
    <w:rsid w:val="00113F49"/>
    <w:rsid w:val="00116D77"/>
    <w:rsid w:val="00117F12"/>
    <w:rsid w:val="00120C02"/>
    <w:rsid w:val="00121E79"/>
    <w:rsid w:val="00123CDD"/>
    <w:rsid w:val="00123D43"/>
    <w:rsid w:val="0012639F"/>
    <w:rsid w:val="00127979"/>
    <w:rsid w:val="00130699"/>
    <w:rsid w:val="00130930"/>
    <w:rsid w:val="0013140F"/>
    <w:rsid w:val="001314EC"/>
    <w:rsid w:val="001318CB"/>
    <w:rsid w:val="00132CFE"/>
    <w:rsid w:val="00133350"/>
    <w:rsid w:val="00134F40"/>
    <w:rsid w:val="001363EB"/>
    <w:rsid w:val="00141518"/>
    <w:rsid w:val="00141908"/>
    <w:rsid w:val="0014303A"/>
    <w:rsid w:val="00145519"/>
    <w:rsid w:val="00153212"/>
    <w:rsid w:val="00153A9F"/>
    <w:rsid w:val="00153AF7"/>
    <w:rsid w:val="00153C22"/>
    <w:rsid w:val="0015411D"/>
    <w:rsid w:val="0015456E"/>
    <w:rsid w:val="0015542B"/>
    <w:rsid w:val="001608DB"/>
    <w:rsid w:val="00160A2A"/>
    <w:rsid w:val="00162F3B"/>
    <w:rsid w:val="00164702"/>
    <w:rsid w:val="00164E76"/>
    <w:rsid w:val="0016626D"/>
    <w:rsid w:val="001669D8"/>
    <w:rsid w:val="00167D65"/>
    <w:rsid w:val="00170062"/>
    <w:rsid w:val="001716D4"/>
    <w:rsid w:val="001719E0"/>
    <w:rsid w:val="001722E8"/>
    <w:rsid w:val="0017598F"/>
    <w:rsid w:val="00176358"/>
    <w:rsid w:val="001768E9"/>
    <w:rsid w:val="00180546"/>
    <w:rsid w:val="001806B4"/>
    <w:rsid w:val="00181320"/>
    <w:rsid w:val="00181D61"/>
    <w:rsid w:val="00182B96"/>
    <w:rsid w:val="00183B8F"/>
    <w:rsid w:val="00184108"/>
    <w:rsid w:val="00184798"/>
    <w:rsid w:val="00184CEE"/>
    <w:rsid w:val="00190BF2"/>
    <w:rsid w:val="00194BBC"/>
    <w:rsid w:val="001A28E7"/>
    <w:rsid w:val="001A47F6"/>
    <w:rsid w:val="001B2ABE"/>
    <w:rsid w:val="001B3651"/>
    <w:rsid w:val="001B3888"/>
    <w:rsid w:val="001B4BF3"/>
    <w:rsid w:val="001B6099"/>
    <w:rsid w:val="001B7258"/>
    <w:rsid w:val="001B7C50"/>
    <w:rsid w:val="001C1C00"/>
    <w:rsid w:val="001C1C4F"/>
    <w:rsid w:val="001C3F64"/>
    <w:rsid w:val="001C5724"/>
    <w:rsid w:val="001C5806"/>
    <w:rsid w:val="001D0317"/>
    <w:rsid w:val="001D2602"/>
    <w:rsid w:val="001D2F0C"/>
    <w:rsid w:val="001D3E40"/>
    <w:rsid w:val="001D572C"/>
    <w:rsid w:val="001D750E"/>
    <w:rsid w:val="001D7ECE"/>
    <w:rsid w:val="001E0502"/>
    <w:rsid w:val="001E2DDD"/>
    <w:rsid w:val="001E3788"/>
    <w:rsid w:val="001E4A9E"/>
    <w:rsid w:val="001E5176"/>
    <w:rsid w:val="001E5ADB"/>
    <w:rsid w:val="001F0A0F"/>
    <w:rsid w:val="001F2E50"/>
    <w:rsid w:val="001F433D"/>
    <w:rsid w:val="001F4AB0"/>
    <w:rsid w:val="001F59EE"/>
    <w:rsid w:val="001F610C"/>
    <w:rsid w:val="002000D7"/>
    <w:rsid w:val="00201C1B"/>
    <w:rsid w:val="0020385D"/>
    <w:rsid w:val="00203F8A"/>
    <w:rsid w:val="002048F4"/>
    <w:rsid w:val="00205378"/>
    <w:rsid w:val="00206003"/>
    <w:rsid w:val="00206F60"/>
    <w:rsid w:val="002071CC"/>
    <w:rsid w:val="00213C7B"/>
    <w:rsid w:val="00216285"/>
    <w:rsid w:val="00217106"/>
    <w:rsid w:val="00217F1F"/>
    <w:rsid w:val="00220E68"/>
    <w:rsid w:val="00221365"/>
    <w:rsid w:val="00221521"/>
    <w:rsid w:val="002263C4"/>
    <w:rsid w:val="002269FA"/>
    <w:rsid w:val="00226B7E"/>
    <w:rsid w:val="00230916"/>
    <w:rsid w:val="002355F8"/>
    <w:rsid w:val="002365AE"/>
    <w:rsid w:val="00240BF0"/>
    <w:rsid w:val="00240C5F"/>
    <w:rsid w:val="002415F1"/>
    <w:rsid w:val="00241963"/>
    <w:rsid w:val="00241CA9"/>
    <w:rsid w:val="002428B5"/>
    <w:rsid w:val="00246281"/>
    <w:rsid w:val="00246670"/>
    <w:rsid w:val="002505D0"/>
    <w:rsid w:val="00255839"/>
    <w:rsid w:val="002564C1"/>
    <w:rsid w:val="00256CC9"/>
    <w:rsid w:val="00260041"/>
    <w:rsid w:val="002635D4"/>
    <w:rsid w:val="00265CDA"/>
    <w:rsid w:val="00266A78"/>
    <w:rsid w:val="0026710C"/>
    <w:rsid w:val="0026771E"/>
    <w:rsid w:val="00274240"/>
    <w:rsid w:val="00274CAD"/>
    <w:rsid w:val="00276880"/>
    <w:rsid w:val="00282E8F"/>
    <w:rsid w:val="00284975"/>
    <w:rsid w:val="0028673C"/>
    <w:rsid w:val="002902B9"/>
    <w:rsid w:val="00291FFA"/>
    <w:rsid w:val="002939E9"/>
    <w:rsid w:val="00296D5E"/>
    <w:rsid w:val="00297B8C"/>
    <w:rsid w:val="002A02D1"/>
    <w:rsid w:val="002A22CF"/>
    <w:rsid w:val="002A2464"/>
    <w:rsid w:val="002A3036"/>
    <w:rsid w:val="002A6253"/>
    <w:rsid w:val="002B0ACF"/>
    <w:rsid w:val="002B112A"/>
    <w:rsid w:val="002B149B"/>
    <w:rsid w:val="002B19F9"/>
    <w:rsid w:val="002B4F51"/>
    <w:rsid w:val="002B550F"/>
    <w:rsid w:val="002B5B1B"/>
    <w:rsid w:val="002B65A4"/>
    <w:rsid w:val="002C060B"/>
    <w:rsid w:val="002C0F73"/>
    <w:rsid w:val="002C1309"/>
    <w:rsid w:val="002C2E59"/>
    <w:rsid w:val="002C365B"/>
    <w:rsid w:val="002C7113"/>
    <w:rsid w:val="002C76D4"/>
    <w:rsid w:val="002D03EA"/>
    <w:rsid w:val="002D0B81"/>
    <w:rsid w:val="002D1766"/>
    <w:rsid w:val="002D1A24"/>
    <w:rsid w:val="002D54EC"/>
    <w:rsid w:val="002D5CDB"/>
    <w:rsid w:val="002D7420"/>
    <w:rsid w:val="002D7BB5"/>
    <w:rsid w:val="002E3F4A"/>
    <w:rsid w:val="002E74D9"/>
    <w:rsid w:val="002F06CA"/>
    <w:rsid w:val="002F0839"/>
    <w:rsid w:val="002F2050"/>
    <w:rsid w:val="002F61FB"/>
    <w:rsid w:val="002F70EA"/>
    <w:rsid w:val="003008C3"/>
    <w:rsid w:val="003026D1"/>
    <w:rsid w:val="003060BA"/>
    <w:rsid w:val="00307800"/>
    <w:rsid w:val="0031058B"/>
    <w:rsid w:val="003108AD"/>
    <w:rsid w:val="00311B2F"/>
    <w:rsid w:val="00314069"/>
    <w:rsid w:val="00316238"/>
    <w:rsid w:val="00316B05"/>
    <w:rsid w:val="00320AA5"/>
    <w:rsid w:val="00321422"/>
    <w:rsid w:val="0033210A"/>
    <w:rsid w:val="00332C4B"/>
    <w:rsid w:val="00333A14"/>
    <w:rsid w:val="00335EA4"/>
    <w:rsid w:val="003370CA"/>
    <w:rsid w:val="0034164B"/>
    <w:rsid w:val="0034222B"/>
    <w:rsid w:val="003426D4"/>
    <w:rsid w:val="003467BC"/>
    <w:rsid w:val="00347968"/>
    <w:rsid w:val="00350E0F"/>
    <w:rsid w:val="00350FA1"/>
    <w:rsid w:val="003515E5"/>
    <w:rsid w:val="00352E7D"/>
    <w:rsid w:val="00353E21"/>
    <w:rsid w:val="003543CB"/>
    <w:rsid w:val="003547CD"/>
    <w:rsid w:val="003554BB"/>
    <w:rsid w:val="00360077"/>
    <w:rsid w:val="0036091F"/>
    <w:rsid w:val="00360BC6"/>
    <w:rsid w:val="00361E33"/>
    <w:rsid w:val="00364616"/>
    <w:rsid w:val="00364FBC"/>
    <w:rsid w:val="0036637B"/>
    <w:rsid w:val="00370C83"/>
    <w:rsid w:val="00372082"/>
    <w:rsid w:val="003730FC"/>
    <w:rsid w:val="00374075"/>
    <w:rsid w:val="0037593F"/>
    <w:rsid w:val="00377A4F"/>
    <w:rsid w:val="00380861"/>
    <w:rsid w:val="0038223D"/>
    <w:rsid w:val="0038372E"/>
    <w:rsid w:val="00384149"/>
    <w:rsid w:val="0038446E"/>
    <w:rsid w:val="00384648"/>
    <w:rsid w:val="0038464F"/>
    <w:rsid w:val="00384720"/>
    <w:rsid w:val="003867DF"/>
    <w:rsid w:val="00386A2B"/>
    <w:rsid w:val="003918A1"/>
    <w:rsid w:val="00393A73"/>
    <w:rsid w:val="0039556F"/>
    <w:rsid w:val="00395947"/>
    <w:rsid w:val="003A0458"/>
    <w:rsid w:val="003A5AFA"/>
    <w:rsid w:val="003A6CA6"/>
    <w:rsid w:val="003B11E4"/>
    <w:rsid w:val="003B1BE7"/>
    <w:rsid w:val="003B1D92"/>
    <w:rsid w:val="003B287B"/>
    <w:rsid w:val="003B31A6"/>
    <w:rsid w:val="003B37A4"/>
    <w:rsid w:val="003B7FB3"/>
    <w:rsid w:val="003C1D99"/>
    <w:rsid w:val="003D0691"/>
    <w:rsid w:val="003D14B1"/>
    <w:rsid w:val="003D2F9C"/>
    <w:rsid w:val="003D4226"/>
    <w:rsid w:val="003E0AF2"/>
    <w:rsid w:val="003E1B58"/>
    <w:rsid w:val="003E7C9C"/>
    <w:rsid w:val="003F1A1B"/>
    <w:rsid w:val="003F2A04"/>
    <w:rsid w:val="003F3707"/>
    <w:rsid w:val="003F376C"/>
    <w:rsid w:val="003F3C61"/>
    <w:rsid w:val="00401FAA"/>
    <w:rsid w:val="0040299A"/>
    <w:rsid w:val="00402EE9"/>
    <w:rsid w:val="004061CC"/>
    <w:rsid w:val="004073A4"/>
    <w:rsid w:val="00407A4E"/>
    <w:rsid w:val="0041470D"/>
    <w:rsid w:val="004156E1"/>
    <w:rsid w:val="004204FB"/>
    <w:rsid w:val="00422254"/>
    <w:rsid w:val="00422FD4"/>
    <w:rsid w:val="00423D64"/>
    <w:rsid w:val="00424478"/>
    <w:rsid w:val="00425C23"/>
    <w:rsid w:val="00425DD6"/>
    <w:rsid w:val="00431A20"/>
    <w:rsid w:val="00436B25"/>
    <w:rsid w:val="004373CA"/>
    <w:rsid w:val="00437D10"/>
    <w:rsid w:val="00437DBA"/>
    <w:rsid w:val="00437EAB"/>
    <w:rsid w:val="00441E46"/>
    <w:rsid w:val="00443F1D"/>
    <w:rsid w:val="00443F40"/>
    <w:rsid w:val="00446761"/>
    <w:rsid w:val="0044773F"/>
    <w:rsid w:val="00447DDA"/>
    <w:rsid w:val="00455929"/>
    <w:rsid w:val="00456378"/>
    <w:rsid w:val="00457641"/>
    <w:rsid w:val="00460443"/>
    <w:rsid w:val="00460979"/>
    <w:rsid w:val="004655C3"/>
    <w:rsid w:val="0047144D"/>
    <w:rsid w:val="00471E7C"/>
    <w:rsid w:val="00472BE9"/>
    <w:rsid w:val="00472CA6"/>
    <w:rsid w:val="00477ED1"/>
    <w:rsid w:val="0048187A"/>
    <w:rsid w:val="004820A6"/>
    <w:rsid w:val="00482112"/>
    <w:rsid w:val="00483704"/>
    <w:rsid w:val="004839FE"/>
    <w:rsid w:val="004842CD"/>
    <w:rsid w:val="004853F1"/>
    <w:rsid w:val="00486022"/>
    <w:rsid w:val="004864B4"/>
    <w:rsid w:val="00491075"/>
    <w:rsid w:val="004919E7"/>
    <w:rsid w:val="00491EBC"/>
    <w:rsid w:val="0049322A"/>
    <w:rsid w:val="004A36C1"/>
    <w:rsid w:val="004B0C75"/>
    <w:rsid w:val="004B529A"/>
    <w:rsid w:val="004B7017"/>
    <w:rsid w:val="004C00A8"/>
    <w:rsid w:val="004C01F6"/>
    <w:rsid w:val="004C089E"/>
    <w:rsid w:val="004C0AC1"/>
    <w:rsid w:val="004D087C"/>
    <w:rsid w:val="004D0B5F"/>
    <w:rsid w:val="004D2B31"/>
    <w:rsid w:val="004D2EFE"/>
    <w:rsid w:val="004D4942"/>
    <w:rsid w:val="004D5315"/>
    <w:rsid w:val="004D580A"/>
    <w:rsid w:val="004E0996"/>
    <w:rsid w:val="004E2384"/>
    <w:rsid w:val="004E6434"/>
    <w:rsid w:val="004E6548"/>
    <w:rsid w:val="004F0CF2"/>
    <w:rsid w:val="004F4B6A"/>
    <w:rsid w:val="004F500F"/>
    <w:rsid w:val="004F7156"/>
    <w:rsid w:val="004F73B6"/>
    <w:rsid w:val="004F789E"/>
    <w:rsid w:val="004F7A09"/>
    <w:rsid w:val="004F7FD9"/>
    <w:rsid w:val="00501837"/>
    <w:rsid w:val="00502E1A"/>
    <w:rsid w:val="00503B3C"/>
    <w:rsid w:val="00505177"/>
    <w:rsid w:val="005052C2"/>
    <w:rsid w:val="00506715"/>
    <w:rsid w:val="00506F6A"/>
    <w:rsid w:val="00507FEE"/>
    <w:rsid w:val="00510560"/>
    <w:rsid w:val="0051144B"/>
    <w:rsid w:val="00512CE6"/>
    <w:rsid w:val="00513EB2"/>
    <w:rsid w:val="00514369"/>
    <w:rsid w:val="0051624F"/>
    <w:rsid w:val="005205EA"/>
    <w:rsid w:val="0052100F"/>
    <w:rsid w:val="00521887"/>
    <w:rsid w:val="00522CD5"/>
    <w:rsid w:val="00525000"/>
    <w:rsid w:val="00533AC0"/>
    <w:rsid w:val="0053465B"/>
    <w:rsid w:val="00540C1E"/>
    <w:rsid w:val="00540DA3"/>
    <w:rsid w:val="005425A3"/>
    <w:rsid w:val="00545195"/>
    <w:rsid w:val="0054619A"/>
    <w:rsid w:val="00546E2A"/>
    <w:rsid w:val="0054795F"/>
    <w:rsid w:val="00551A4F"/>
    <w:rsid w:val="00551FF2"/>
    <w:rsid w:val="00554D04"/>
    <w:rsid w:val="00556354"/>
    <w:rsid w:val="005606B8"/>
    <w:rsid w:val="0056440C"/>
    <w:rsid w:val="00564E9B"/>
    <w:rsid w:val="00565D67"/>
    <w:rsid w:val="00566367"/>
    <w:rsid w:val="00566B0D"/>
    <w:rsid w:val="00567C38"/>
    <w:rsid w:val="00573EAB"/>
    <w:rsid w:val="00574579"/>
    <w:rsid w:val="00575153"/>
    <w:rsid w:val="00575CDB"/>
    <w:rsid w:val="0057738A"/>
    <w:rsid w:val="00580D3E"/>
    <w:rsid w:val="00581113"/>
    <w:rsid w:val="00581181"/>
    <w:rsid w:val="00582396"/>
    <w:rsid w:val="005830E7"/>
    <w:rsid w:val="0058388D"/>
    <w:rsid w:val="005856D4"/>
    <w:rsid w:val="0059227A"/>
    <w:rsid w:val="00596C1E"/>
    <w:rsid w:val="005A0064"/>
    <w:rsid w:val="005A0C32"/>
    <w:rsid w:val="005A2BCE"/>
    <w:rsid w:val="005A3B20"/>
    <w:rsid w:val="005A4CFE"/>
    <w:rsid w:val="005B13C8"/>
    <w:rsid w:val="005B1B3E"/>
    <w:rsid w:val="005B2FD7"/>
    <w:rsid w:val="005B33E3"/>
    <w:rsid w:val="005B3B0B"/>
    <w:rsid w:val="005B3FAF"/>
    <w:rsid w:val="005B5297"/>
    <w:rsid w:val="005B5EBD"/>
    <w:rsid w:val="005B7B5B"/>
    <w:rsid w:val="005C0C98"/>
    <w:rsid w:val="005C0D02"/>
    <w:rsid w:val="005C3263"/>
    <w:rsid w:val="005C597C"/>
    <w:rsid w:val="005C7FE7"/>
    <w:rsid w:val="005D1C8C"/>
    <w:rsid w:val="005D6502"/>
    <w:rsid w:val="005E066C"/>
    <w:rsid w:val="005E0E78"/>
    <w:rsid w:val="005E20E3"/>
    <w:rsid w:val="005E362E"/>
    <w:rsid w:val="005E3E11"/>
    <w:rsid w:val="005E6218"/>
    <w:rsid w:val="005F594D"/>
    <w:rsid w:val="005F721F"/>
    <w:rsid w:val="006011FE"/>
    <w:rsid w:val="00604E8A"/>
    <w:rsid w:val="00607FBC"/>
    <w:rsid w:val="00610965"/>
    <w:rsid w:val="00613D7A"/>
    <w:rsid w:val="00614590"/>
    <w:rsid w:val="00615D0C"/>
    <w:rsid w:val="00616D4A"/>
    <w:rsid w:val="00617404"/>
    <w:rsid w:val="00621088"/>
    <w:rsid w:val="00623ECB"/>
    <w:rsid w:val="00624E1F"/>
    <w:rsid w:val="00625FD4"/>
    <w:rsid w:val="00626032"/>
    <w:rsid w:val="00626640"/>
    <w:rsid w:val="00626A5D"/>
    <w:rsid w:val="00627DC6"/>
    <w:rsid w:val="00634421"/>
    <w:rsid w:val="006400C9"/>
    <w:rsid w:val="00640BD8"/>
    <w:rsid w:val="006464DC"/>
    <w:rsid w:val="00647CB9"/>
    <w:rsid w:val="00654285"/>
    <w:rsid w:val="0065452A"/>
    <w:rsid w:val="00654B94"/>
    <w:rsid w:val="00656E2B"/>
    <w:rsid w:val="00660167"/>
    <w:rsid w:val="006640A5"/>
    <w:rsid w:val="0066582B"/>
    <w:rsid w:val="00665DE8"/>
    <w:rsid w:val="00667722"/>
    <w:rsid w:val="00671521"/>
    <w:rsid w:val="006717F8"/>
    <w:rsid w:val="00672B94"/>
    <w:rsid w:val="006754E5"/>
    <w:rsid w:val="00675F30"/>
    <w:rsid w:val="00677FD0"/>
    <w:rsid w:val="00680A8C"/>
    <w:rsid w:val="00680F81"/>
    <w:rsid w:val="00681804"/>
    <w:rsid w:val="00684622"/>
    <w:rsid w:val="00690D21"/>
    <w:rsid w:val="00695A92"/>
    <w:rsid w:val="00695B83"/>
    <w:rsid w:val="006A1426"/>
    <w:rsid w:val="006A23E3"/>
    <w:rsid w:val="006A29F2"/>
    <w:rsid w:val="006A314E"/>
    <w:rsid w:val="006A65B3"/>
    <w:rsid w:val="006B1209"/>
    <w:rsid w:val="006B13CD"/>
    <w:rsid w:val="006B34F4"/>
    <w:rsid w:val="006B52A0"/>
    <w:rsid w:val="006B5D38"/>
    <w:rsid w:val="006C0753"/>
    <w:rsid w:val="006C1C5E"/>
    <w:rsid w:val="006C1EDD"/>
    <w:rsid w:val="006C36E1"/>
    <w:rsid w:val="006C4887"/>
    <w:rsid w:val="006C5CD0"/>
    <w:rsid w:val="006C6333"/>
    <w:rsid w:val="006D02A6"/>
    <w:rsid w:val="006D0DC0"/>
    <w:rsid w:val="006D0E4E"/>
    <w:rsid w:val="006D1C73"/>
    <w:rsid w:val="006D3851"/>
    <w:rsid w:val="006D6663"/>
    <w:rsid w:val="006D6B75"/>
    <w:rsid w:val="006D6C5F"/>
    <w:rsid w:val="006E1862"/>
    <w:rsid w:val="006E3E11"/>
    <w:rsid w:val="006E51F4"/>
    <w:rsid w:val="006F0B2E"/>
    <w:rsid w:val="006F3A48"/>
    <w:rsid w:val="006F410D"/>
    <w:rsid w:val="00700562"/>
    <w:rsid w:val="0070262A"/>
    <w:rsid w:val="00702B01"/>
    <w:rsid w:val="00703473"/>
    <w:rsid w:val="00703627"/>
    <w:rsid w:val="00703A49"/>
    <w:rsid w:val="00703C92"/>
    <w:rsid w:val="0070609D"/>
    <w:rsid w:val="00707636"/>
    <w:rsid w:val="00710B84"/>
    <w:rsid w:val="00711BE6"/>
    <w:rsid w:val="00716264"/>
    <w:rsid w:val="007209EC"/>
    <w:rsid w:val="00721991"/>
    <w:rsid w:val="00721993"/>
    <w:rsid w:val="0072277E"/>
    <w:rsid w:val="00725C9D"/>
    <w:rsid w:val="00727369"/>
    <w:rsid w:val="00727DCA"/>
    <w:rsid w:val="00732D92"/>
    <w:rsid w:val="00733C19"/>
    <w:rsid w:val="0074016E"/>
    <w:rsid w:val="007413AC"/>
    <w:rsid w:val="0074386E"/>
    <w:rsid w:val="00743B8D"/>
    <w:rsid w:val="00744C5E"/>
    <w:rsid w:val="007464EE"/>
    <w:rsid w:val="00750F75"/>
    <w:rsid w:val="00751C74"/>
    <w:rsid w:val="00752E3A"/>
    <w:rsid w:val="007536E8"/>
    <w:rsid w:val="00753D4F"/>
    <w:rsid w:val="00757B61"/>
    <w:rsid w:val="00760C76"/>
    <w:rsid w:val="00763643"/>
    <w:rsid w:val="007652E8"/>
    <w:rsid w:val="0076612C"/>
    <w:rsid w:val="00766C08"/>
    <w:rsid w:val="00767A0E"/>
    <w:rsid w:val="00773280"/>
    <w:rsid w:val="00775EAF"/>
    <w:rsid w:val="00777916"/>
    <w:rsid w:val="007805D0"/>
    <w:rsid w:val="00780A96"/>
    <w:rsid w:val="0078199A"/>
    <w:rsid w:val="00781A11"/>
    <w:rsid w:val="0078286F"/>
    <w:rsid w:val="00783073"/>
    <w:rsid w:val="007845EA"/>
    <w:rsid w:val="00785109"/>
    <w:rsid w:val="00791FCE"/>
    <w:rsid w:val="0079787B"/>
    <w:rsid w:val="007A0555"/>
    <w:rsid w:val="007A0AF7"/>
    <w:rsid w:val="007A107E"/>
    <w:rsid w:val="007A119E"/>
    <w:rsid w:val="007A19AB"/>
    <w:rsid w:val="007A4A50"/>
    <w:rsid w:val="007A5DB6"/>
    <w:rsid w:val="007A61C9"/>
    <w:rsid w:val="007A631F"/>
    <w:rsid w:val="007A75D8"/>
    <w:rsid w:val="007B2CCF"/>
    <w:rsid w:val="007B2D1D"/>
    <w:rsid w:val="007B3061"/>
    <w:rsid w:val="007B4051"/>
    <w:rsid w:val="007B408F"/>
    <w:rsid w:val="007B4907"/>
    <w:rsid w:val="007B6755"/>
    <w:rsid w:val="007C07D6"/>
    <w:rsid w:val="007C1B27"/>
    <w:rsid w:val="007C2B0F"/>
    <w:rsid w:val="007C318A"/>
    <w:rsid w:val="007C35B4"/>
    <w:rsid w:val="007C43D2"/>
    <w:rsid w:val="007C58E7"/>
    <w:rsid w:val="007E2E0E"/>
    <w:rsid w:val="007E3C1F"/>
    <w:rsid w:val="007E4722"/>
    <w:rsid w:val="007E764A"/>
    <w:rsid w:val="007E7ECA"/>
    <w:rsid w:val="007F0D57"/>
    <w:rsid w:val="007F1192"/>
    <w:rsid w:val="007F2E15"/>
    <w:rsid w:val="007F75BB"/>
    <w:rsid w:val="007F787B"/>
    <w:rsid w:val="00800240"/>
    <w:rsid w:val="00803179"/>
    <w:rsid w:val="00806754"/>
    <w:rsid w:val="00810558"/>
    <w:rsid w:val="00810B4A"/>
    <w:rsid w:val="00811EDD"/>
    <w:rsid w:val="00812B45"/>
    <w:rsid w:val="00812CED"/>
    <w:rsid w:val="00814795"/>
    <w:rsid w:val="00815AEC"/>
    <w:rsid w:val="00815B01"/>
    <w:rsid w:val="00816098"/>
    <w:rsid w:val="0081661D"/>
    <w:rsid w:val="00823212"/>
    <w:rsid w:val="00823942"/>
    <w:rsid w:val="008263DB"/>
    <w:rsid w:val="00833BD5"/>
    <w:rsid w:val="00835D8E"/>
    <w:rsid w:val="00841384"/>
    <w:rsid w:val="00845AA8"/>
    <w:rsid w:val="0084713F"/>
    <w:rsid w:val="008506EB"/>
    <w:rsid w:val="0085160A"/>
    <w:rsid w:val="00853265"/>
    <w:rsid w:val="00854CE0"/>
    <w:rsid w:val="00855110"/>
    <w:rsid w:val="00856112"/>
    <w:rsid w:val="008562A6"/>
    <w:rsid w:val="00857224"/>
    <w:rsid w:val="008621CA"/>
    <w:rsid w:val="00863F40"/>
    <w:rsid w:val="00864FD3"/>
    <w:rsid w:val="00866CE2"/>
    <w:rsid w:val="00866D6A"/>
    <w:rsid w:val="008676AE"/>
    <w:rsid w:val="0086787A"/>
    <w:rsid w:val="00871172"/>
    <w:rsid w:val="00871832"/>
    <w:rsid w:val="0087531C"/>
    <w:rsid w:val="008771A9"/>
    <w:rsid w:val="00877373"/>
    <w:rsid w:val="00880D9F"/>
    <w:rsid w:val="00883C1B"/>
    <w:rsid w:val="00885C79"/>
    <w:rsid w:val="00887489"/>
    <w:rsid w:val="0089020A"/>
    <w:rsid w:val="0089106D"/>
    <w:rsid w:val="008926F4"/>
    <w:rsid w:val="00894A02"/>
    <w:rsid w:val="00894FFE"/>
    <w:rsid w:val="00895043"/>
    <w:rsid w:val="008954EF"/>
    <w:rsid w:val="00895A18"/>
    <w:rsid w:val="00896669"/>
    <w:rsid w:val="00896B14"/>
    <w:rsid w:val="00897C8B"/>
    <w:rsid w:val="00897DE1"/>
    <w:rsid w:val="008A0294"/>
    <w:rsid w:val="008A08A6"/>
    <w:rsid w:val="008A0DF8"/>
    <w:rsid w:val="008A16D9"/>
    <w:rsid w:val="008B4BB2"/>
    <w:rsid w:val="008B7BDB"/>
    <w:rsid w:val="008C0D49"/>
    <w:rsid w:val="008C3218"/>
    <w:rsid w:val="008C4780"/>
    <w:rsid w:val="008C5908"/>
    <w:rsid w:val="008C5BFB"/>
    <w:rsid w:val="008C5EFF"/>
    <w:rsid w:val="008C6EBD"/>
    <w:rsid w:val="008D05F6"/>
    <w:rsid w:val="008D196D"/>
    <w:rsid w:val="008D32B7"/>
    <w:rsid w:val="008D3503"/>
    <w:rsid w:val="008D6ED1"/>
    <w:rsid w:val="008D714A"/>
    <w:rsid w:val="008D7A2C"/>
    <w:rsid w:val="008E3831"/>
    <w:rsid w:val="008E400D"/>
    <w:rsid w:val="008E51A5"/>
    <w:rsid w:val="008F241A"/>
    <w:rsid w:val="008F2AB5"/>
    <w:rsid w:val="008F503E"/>
    <w:rsid w:val="008F69FE"/>
    <w:rsid w:val="008F7EE5"/>
    <w:rsid w:val="0090445F"/>
    <w:rsid w:val="00905401"/>
    <w:rsid w:val="00906AF6"/>
    <w:rsid w:val="009074DB"/>
    <w:rsid w:val="00915140"/>
    <w:rsid w:val="00915365"/>
    <w:rsid w:val="00915B26"/>
    <w:rsid w:val="009164E6"/>
    <w:rsid w:val="0091724E"/>
    <w:rsid w:val="00920C03"/>
    <w:rsid w:val="009212A3"/>
    <w:rsid w:val="0092188E"/>
    <w:rsid w:val="0092289D"/>
    <w:rsid w:val="009228DB"/>
    <w:rsid w:val="00923262"/>
    <w:rsid w:val="00925A24"/>
    <w:rsid w:val="00925B40"/>
    <w:rsid w:val="00930AA5"/>
    <w:rsid w:val="00930D06"/>
    <w:rsid w:val="00931012"/>
    <w:rsid w:val="00933545"/>
    <w:rsid w:val="0093470E"/>
    <w:rsid w:val="00936DD9"/>
    <w:rsid w:val="00937C4C"/>
    <w:rsid w:val="00943923"/>
    <w:rsid w:val="009444D6"/>
    <w:rsid w:val="00945BC1"/>
    <w:rsid w:val="00945D2C"/>
    <w:rsid w:val="00947B7E"/>
    <w:rsid w:val="00952D54"/>
    <w:rsid w:val="00953B3D"/>
    <w:rsid w:val="00955B5E"/>
    <w:rsid w:val="0096047E"/>
    <w:rsid w:val="00962DD6"/>
    <w:rsid w:val="0096441E"/>
    <w:rsid w:val="00971541"/>
    <w:rsid w:val="00976475"/>
    <w:rsid w:val="00976548"/>
    <w:rsid w:val="00977DF6"/>
    <w:rsid w:val="00983A56"/>
    <w:rsid w:val="009853C9"/>
    <w:rsid w:val="00985B74"/>
    <w:rsid w:val="0098654E"/>
    <w:rsid w:val="009906BA"/>
    <w:rsid w:val="00992CF9"/>
    <w:rsid w:val="00992D2B"/>
    <w:rsid w:val="00996DFB"/>
    <w:rsid w:val="009A117A"/>
    <w:rsid w:val="009A75EB"/>
    <w:rsid w:val="009B086C"/>
    <w:rsid w:val="009B1228"/>
    <w:rsid w:val="009B39CE"/>
    <w:rsid w:val="009B3F51"/>
    <w:rsid w:val="009B72CC"/>
    <w:rsid w:val="009B7949"/>
    <w:rsid w:val="009B7AB9"/>
    <w:rsid w:val="009B7F34"/>
    <w:rsid w:val="009C0467"/>
    <w:rsid w:val="009C0ACF"/>
    <w:rsid w:val="009C28A1"/>
    <w:rsid w:val="009C28FE"/>
    <w:rsid w:val="009C2B0B"/>
    <w:rsid w:val="009C3A0C"/>
    <w:rsid w:val="009C3C61"/>
    <w:rsid w:val="009C4A6D"/>
    <w:rsid w:val="009C57F2"/>
    <w:rsid w:val="009D0D80"/>
    <w:rsid w:val="009D18A9"/>
    <w:rsid w:val="009D1E01"/>
    <w:rsid w:val="009D26EA"/>
    <w:rsid w:val="009D2982"/>
    <w:rsid w:val="009D2A17"/>
    <w:rsid w:val="009D3E8F"/>
    <w:rsid w:val="009D4604"/>
    <w:rsid w:val="009D6CD1"/>
    <w:rsid w:val="009D6D1D"/>
    <w:rsid w:val="009E0E96"/>
    <w:rsid w:val="009E1B29"/>
    <w:rsid w:val="009E1E33"/>
    <w:rsid w:val="009E2537"/>
    <w:rsid w:val="009E494D"/>
    <w:rsid w:val="009E4AC4"/>
    <w:rsid w:val="009E7D23"/>
    <w:rsid w:val="009E7E74"/>
    <w:rsid w:val="009F0DBC"/>
    <w:rsid w:val="009F4675"/>
    <w:rsid w:val="009F758F"/>
    <w:rsid w:val="00A01995"/>
    <w:rsid w:val="00A03194"/>
    <w:rsid w:val="00A057F0"/>
    <w:rsid w:val="00A058E5"/>
    <w:rsid w:val="00A07F6A"/>
    <w:rsid w:val="00A110EF"/>
    <w:rsid w:val="00A127F7"/>
    <w:rsid w:val="00A1435F"/>
    <w:rsid w:val="00A1459F"/>
    <w:rsid w:val="00A156D7"/>
    <w:rsid w:val="00A15ED8"/>
    <w:rsid w:val="00A16471"/>
    <w:rsid w:val="00A169A0"/>
    <w:rsid w:val="00A20565"/>
    <w:rsid w:val="00A250C1"/>
    <w:rsid w:val="00A263F4"/>
    <w:rsid w:val="00A30F6E"/>
    <w:rsid w:val="00A317EC"/>
    <w:rsid w:val="00A333AF"/>
    <w:rsid w:val="00A355B2"/>
    <w:rsid w:val="00A35B3D"/>
    <w:rsid w:val="00A43B9D"/>
    <w:rsid w:val="00A44A6F"/>
    <w:rsid w:val="00A46958"/>
    <w:rsid w:val="00A46AD4"/>
    <w:rsid w:val="00A46CC9"/>
    <w:rsid w:val="00A471CA"/>
    <w:rsid w:val="00A510B2"/>
    <w:rsid w:val="00A51CF8"/>
    <w:rsid w:val="00A51FFA"/>
    <w:rsid w:val="00A52545"/>
    <w:rsid w:val="00A52DA0"/>
    <w:rsid w:val="00A549D6"/>
    <w:rsid w:val="00A55355"/>
    <w:rsid w:val="00A558C6"/>
    <w:rsid w:val="00A56631"/>
    <w:rsid w:val="00A56B5E"/>
    <w:rsid w:val="00A577B0"/>
    <w:rsid w:val="00A63D15"/>
    <w:rsid w:val="00A645D9"/>
    <w:rsid w:val="00A655F4"/>
    <w:rsid w:val="00A663D6"/>
    <w:rsid w:val="00A713B7"/>
    <w:rsid w:val="00A722AF"/>
    <w:rsid w:val="00A77CAC"/>
    <w:rsid w:val="00A8218B"/>
    <w:rsid w:val="00A8509C"/>
    <w:rsid w:val="00A857E7"/>
    <w:rsid w:val="00A85A89"/>
    <w:rsid w:val="00A878F7"/>
    <w:rsid w:val="00A87C1C"/>
    <w:rsid w:val="00A87FFB"/>
    <w:rsid w:val="00A90A08"/>
    <w:rsid w:val="00A9515F"/>
    <w:rsid w:val="00A95AD6"/>
    <w:rsid w:val="00A95B65"/>
    <w:rsid w:val="00A96456"/>
    <w:rsid w:val="00AA25BD"/>
    <w:rsid w:val="00AA27B1"/>
    <w:rsid w:val="00AA4EC7"/>
    <w:rsid w:val="00AA7DF5"/>
    <w:rsid w:val="00AB1F06"/>
    <w:rsid w:val="00AB225F"/>
    <w:rsid w:val="00AB275E"/>
    <w:rsid w:val="00AB337B"/>
    <w:rsid w:val="00AB3BAE"/>
    <w:rsid w:val="00AB421A"/>
    <w:rsid w:val="00AB71CA"/>
    <w:rsid w:val="00AC0A48"/>
    <w:rsid w:val="00AC3051"/>
    <w:rsid w:val="00AC5062"/>
    <w:rsid w:val="00AC5689"/>
    <w:rsid w:val="00AC5E0D"/>
    <w:rsid w:val="00AD0B3C"/>
    <w:rsid w:val="00AD1BAF"/>
    <w:rsid w:val="00AD3330"/>
    <w:rsid w:val="00AD34C7"/>
    <w:rsid w:val="00AD5671"/>
    <w:rsid w:val="00AD56E6"/>
    <w:rsid w:val="00AD6798"/>
    <w:rsid w:val="00AD684A"/>
    <w:rsid w:val="00AE0C56"/>
    <w:rsid w:val="00AE1EA2"/>
    <w:rsid w:val="00AE23D5"/>
    <w:rsid w:val="00AE318E"/>
    <w:rsid w:val="00AE6795"/>
    <w:rsid w:val="00AE7DF0"/>
    <w:rsid w:val="00AF109B"/>
    <w:rsid w:val="00AF24EF"/>
    <w:rsid w:val="00AF2EB7"/>
    <w:rsid w:val="00AF3E35"/>
    <w:rsid w:val="00AF49E5"/>
    <w:rsid w:val="00AF53A3"/>
    <w:rsid w:val="00AF5A0D"/>
    <w:rsid w:val="00AF66C5"/>
    <w:rsid w:val="00AF7AB1"/>
    <w:rsid w:val="00B01C8A"/>
    <w:rsid w:val="00B01D72"/>
    <w:rsid w:val="00B02A51"/>
    <w:rsid w:val="00B04912"/>
    <w:rsid w:val="00B05770"/>
    <w:rsid w:val="00B0736E"/>
    <w:rsid w:val="00B07B93"/>
    <w:rsid w:val="00B1184B"/>
    <w:rsid w:val="00B13779"/>
    <w:rsid w:val="00B141D1"/>
    <w:rsid w:val="00B14ED7"/>
    <w:rsid w:val="00B17F08"/>
    <w:rsid w:val="00B20FFC"/>
    <w:rsid w:val="00B25766"/>
    <w:rsid w:val="00B30B20"/>
    <w:rsid w:val="00B32206"/>
    <w:rsid w:val="00B442A0"/>
    <w:rsid w:val="00B4482E"/>
    <w:rsid w:val="00B46821"/>
    <w:rsid w:val="00B46D2C"/>
    <w:rsid w:val="00B477F4"/>
    <w:rsid w:val="00B55CAB"/>
    <w:rsid w:val="00B56EDA"/>
    <w:rsid w:val="00B60FF8"/>
    <w:rsid w:val="00B61A2E"/>
    <w:rsid w:val="00B66BB2"/>
    <w:rsid w:val="00B67AE2"/>
    <w:rsid w:val="00B70E91"/>
    <w:rsid w:val="00B71983"/>
    <w:rsid w:val="00B72AC0"/>
    <w:rsid w:val="00B75B78"/>
    <w:rsid w:val="00B76E3E"/>
    <w:rsid w:val="00B81BEA"/>
    <w:rsid w:val="00B821E7"/>
    <w:rsid w:val="00B826C9"/>
    <w:rsid w:val="00B82ED2"/>
    <w:rsid w:val="00B83013"/>
    <w:rsid w:val="00B84714"/>
    <w:rsid w:val="00B85359"/>
    <w:rsid w:val="00B85976"/>
    <w:rsid w:val="00B8635A"/>
    <w:rsid w:val="00B866C7"/>
    <w:rsid w:val="00B904DB"/>
    <w:rsid w:val="00B91369"/>
    <w:rsid w:val="00B9278E"/>
    <w:rsid w:val="00B9518E"/>
    <w:rsid w:val="00B96122"/>
    <w:rsid w:val="00B97E08"/>
    <w:rsid w:val="00BA1200"/>
    <w:rsid w:val="00BA1CEF"/>
    <w:rsid w:val="00BA3D8D"/>
    <w:rsid w:val="00BA4E8F"/>
    <w:rsid w:val="00BA51E6"/>
    <w:rsid w:val="00BA525C"/>
    <w:rsid w:val="00BA5739"/>
    <w:rsid w:val="00BA61E3"/>
    <w:rsid w:val="00BB0A7A"/>
    <w:rsid w:val="00BB16A1"/>
    <w:rsid w:val="00BB18A0"/>
    <w:rsid w:val="00BB495D"/>
    <w:rsid w:val="00BB4E02"/>
    <w:rsid w:val="00BB7165"/>
    <w:rsid w:val="00BC3737"/>
    <w:rsid w:val="00BC477F"/>
    <w:rsid w:val="00BC49A7"/>
    <w:rsid w:val="00BC5263"/>
    <w:rsid w:val="00BC5D24"/>
    <w:rsid w:val="00BC6FAF"/>
    <w:rsid w:val="00BC7B3D"/>
    <w:rsid w:val="00BD0D97"/>
    <w:rsid w:val="00BD1CFB"/>
    <w:rsid w:val="00BD2013"/>
    <w:rsid w:val="00BD232C"/>
    <w:rsid w:val="00BD44C7"/>
    <w:rsid w:val="00BD4CFA"/>
    <w:rsid w:val="00BD4FE5"/>
    <w:rsid w:val="00BD527B"/>
    <w:rsid w:val="00BD5F2B"/>
    <w:rsid w:val="00BE2015"/>
    <w:rsid w:val="00BE2E2D"/>
    <w:rsid w:val="00BE312E"/>
    <w:rsid w:val="00BE73CA"/>
    <w:rsid w:val="00BF0AD5"/>
    <w:rsid w:val="00BF2B84"/>
    <w:rsid w:val="00C0259B"/>
    <w:rsid w:val="00C03597"/>
    <w:rsid w:val="00C04745"/>
    <w:rsid w:val="00C04B7F"/>
    <w:rsid w:val="00C06F29"/>
    <w:rsid w:val="00C10509"/>
    <w:rsid w:val="00C13140"/>
    <w:rsid w:val="00C14EE4"/>
    <w:rsid w:val="00C15186"/>
    <w:rsid w:val="00C200C3"/>
    <w:rsid w:val="00C22358"/>
    <w:rsid w:val="00C237BF"/>
    <w:rsid w:val="00C23C21"/>
    <w:rsid w:val="00C27942"/>
    <w:rsid w:val="00C31054"/>
    <w:rsid w:val="00C333C4"/>
    <w:rsid w:val="00C34A8A"/>
    <w:rsid w:val="00C34DB0"/>
    <w:rsid w:val="00C36724"/>
    <w:rsid w:val="00C41751"/>
    <w:rsid w:val="00C42B34"/>
    <w:rsid w:val="00C43C9B"/>
    <w:rsid w:val="00C4434D"/>
    <w:rsid w:val="00C455D9"/>
    <w:rsid w:val="00C45EE0"/>
    <w:rsid w:val="00C50E54"/>
    <w:rsid w:val="00C515B8"/>
    <w:rsid w:val="00C51C22"/>
    <w:rsid w:val="00C5386C"/>
    <w:rsid w:val="00C576E9"/>
    <w:rsid w:val="00C62E6E"/>
    <w:rsid w:val="00C63108"/>
    <w:rsid w:val="00C63C8E"/>
    <w:rsid w:val="00C64642"/>
    <w:rsid w:val="00C64B86"/>
    <w:rsid w:val="00C64F89"/>
    <w:rsid w:val="00C66698"/>
    <w:rsid w:val="00C6672E"/>
    <w:rsid w:val="00C71C28"/>
    <w:rsid w:val="00C72EEB"/>
    <w:rsid w:val="00C75C21"/>
    <w:rsid w:val="00C7608D"/>
    <w:rsid w:val="00C76CA0"/>
    <w:rsid w:val="00C80315"/>
    <w:rsid w:val="00C8174A"/>
    <w:rsid w:val="00C83511"/>
    <w:rsid w:val="00C84112"/>
    <w:rsid w:val="00C85214"/>
    <w:rsid w:val="00C904CC"/>
    <w:rsid w:val="00C93246"/>
    <w:rsid w:val="00C93427"/>
    <w:rsid w:val="00C9437A"/>
    <w:rsid w:val="00C9495B"/>
    <w:rsid w:val="00C95157"/>
    <w:rsid w:val="00C96B2C"/>
    <w:rsid w:val="00C97680"/>
    <w:rsid w:val="00CA1C21"/>
    <w:rsid w:val="00CA2EC2"/>
    <w:rsid w:val="00CA31A5"/>
    <w:rsid w:val="00CA3AE7"/>
    <w:rsid w:val="00CA3D2A"/>
    <w:rsid w:val="00CA4BF8"/>
    <w:rsid w:val="00CA4DE8"/>
    <w:rsid w:val="00CB0591"/>
    <w:rsid w:val="00CB3FA6"/>
    <w:rsid w:val="00CB49CD"/>
    <w:rsid w:val="00CB5321"/>
    <w:rsid w:val="00CB5C13"/>
    <w:rsid w:val="00CC045A"/>
    <w:rsid w:val="00CC0824"/>
    <w:rsid w:val="00CC09B8"/>
    <w:rsid w:val="00CC1CD9"/>
    <w:rsid w:val="00CC2B54"/>
    <w:rsid w:val="00CC4285"/>
    <w:rsid w:val="00CD0033"/>
    <w:rsid w:val="00CD1F8A"/>
    <w:rsid w:val="00CD30C7"/>
    <w:rsid w:val="00CD5124"/>
    <w:rsid w:val="00CD7461"/>
    <w:rsid w:val="00CD7DD8"/>
    <w:rsid w:val="00CE4B30"/>
    <w:rsid w:val="00CE70FD"/>
    <w:rsid w:val="00CE7491"/>
    <w:rsid w:val="00CE74B6"/>
    <w:rsid w:val="00CE7CCA"/>
    <w:rsid w:val="00CF02F6"/>
    <w:rsid w:val="00CF1DBB"/>
    <w:rsid w:val="00CF2D7F"/>
    <w:rsid w:val="00CF2EB8"/>
    <w:rsid w:val="00CF46E3"/>
    <w:rsid w:val="00CF58A1"/>
    <w:rsid w:val="00CF62C3"/>
    <w:rsid w:val="00CF668D"/>
    <w:rsid w:val="00CF6A26"/>
    <w:rsid w:val="00CF711F"/>
    <w:rsid w:val="00D01B79"/>
    <w:rsid w:val="00D02C37"/>
    <w:rsid w:val="00D03C2F"/>
    <w:rsid w:val="00D062AB"/>
    <w:rsid w:val="00D078BE"/>
    <w:rsid w:val="00D10C97"/>
    <w:rsid w:val="00D11179"/>
    <w:rsid w:val="00D137B3"/>
    <w:rsid w:val="00D15063"/>
    <w:rsid w:val="00D1685E"/>
    <w:rsid w:val="00D179C1"/>
    <w:rsid w:val="00D20FA1"/>
    <w:rsid w:val="00D2456C"/>
    <w:rsid w:val="00D248E5"/>
    <w:rsid w:val="00D24A8E"/>
    <w:rsid w:val="00D2542B"/>
    <w:rsid w:val="00D27364"/>
    <w:rsid w:val="00D3554E"/>
    <w:rsid w:val="00D364BE"/>
    <w:rsid w:val="00D368CA"/>
    <w:rsid w:val="00D37850"/>
    <w:rsid w:val="00D424BC"/>
    <w:rsid w:val="00D44426"/>
    <w:rsid w:val="00D46929"/>
    <w:rsid w:val="00D52AF8"/>
    <w:rsid w:val="00D52CBF"/>
    <w:rsid w:val="00D53503"/>
    <w:rsid w:val="00D54EF6"/>
    <w:rsid w:val="00D568E3"/>
    <w:rsid w:val="00D62630"/>
    <w:rsid w:val="00D631DA"/>
    <w:rsid w:val="00D6434F"/>
    <w:rsid w:val="00D65F53"/>
    <w:rsid w:val="00D67118"/>
    <w:rsid w:val="00D71D18"/>
    <w:rsid w:val="00D73D01"/>
    <w:rsid w:val="00D74052"/>
    <w:rsid w:val="00D75DB2"/>
    <w:rsid w:val="00D77EFD"/>
    <w:rsid w:val="00D8083D"/>
    <w:rsid w:val="00D80A04"/>
    <w:rsid w:val="00D820EA"/>
    <w:rsid w:val="00D82518"/>
    <w:rsid w:val="00D82A7D"/>
    <w:rsid w:val="00D87C3F"/>
    <w:rsid w:val="00D91779"/>
    <w:rsid w:val="00D92130"/>
    <w:rsid w:val="00D9267A"/>
    <w:rsid w:val="00D92EF7"/>
    <w:rsid w:val="00D9536A"/>
    <w:rsid w:val="00D96260"/>
    <w:rsid w:val="00D969C5"/>
    <w:rsid w:val="00D96D3D"/>
    <w:rsid w:val="00D97594"/>
    <w:rsid w:val="00DA0888"/>
    <w:rsid w:val="00DA0907"/>
    <w:rsid w:val="00DA247F"/>
    <w:rsid w:val="00DA3B56"/>
    <w:rsid w:val="00DA6D49"/>
    <w:rsid w:val="00DA783E"/>
    <w:rsid w:val="00DB412C"/>
    <w:rsid w:val="00DB442F"/>
    <w:rsid w:val="00DB542D"/>
    <w:rsid w:val="00DB55FD"/>
    <w:rsid w:val="00DB565B"/>
    <w:rsid w:val="00DC0608"/>
    <w:rsid w:val="00DC2129"/>
    <w:rsid w:val="00DC3113"/>
    <w:rsid w:val="00DC3D4F"/>
    <w:rsid w:val="00DC746C"/>
    <w:rsid w:val="00DC7BAC"/>
    <w:rsid w:val="00DD4078"/>
    <w:rsid w:val="00DD4490"/>
    <w:rsid w:val="00DD594C"/>
    <w:rsid w:val="00DE0230"/>
    <w:rsid w:val="00DE24B4"/>
    <w:rsid w:val="00DE2FF9"/>
    <w:rsid w:val="00DE719E"/>
    <w:rsid w:val="00DF0238"/>
    <w:rsid w:val="00DF093E"/>
    <w:rsid w:val="00DF1348"/>
    <w:rsid w:val="00DF194D"/>
    <w:rsid w:val="00DF1BE2"/>
    <w:rsid w:val="00DF3511"/>
    <w:rsid w:val="00DF3896"/>
    <w:rsid w:val="00DF3F21"/>
    <w:rsid w:val="00DF457D"/>
    <w:rsid w:val="00DF5FD6"/>
    <w:rsid w:val="00E00D54"/>
    <w:rsid w:val="00E0359B"/>
    <w:rsid w:val="00E03860"/>
    <w:rsid w:val="00E04AAD"/>
    <w:rsid w:val="00E04DB8"/>
    <w:rsid w:val="00E05D6E"/>
    <w:rsid w:val="00E06ADA"/>
    <w:rsid w:val="00E103F9"/>
    <w:rsid w:val="00E1068A"/>
    <w:rsid w:val="00E10752"/>
    <w:rsid w:val="00E107AD"/>
    <w:rsid w:val="00E11B62"/>
    <w:rsid w:val="00E1531F"/>
    <w:rsid w:val="00E16220"/>
    <w:rsid w:val="00E16B0D"/>
    <w:rsid w:val="00E16FCD"/>
    <w:rsid w:val="00E177DE"/>
    <w:rsid w:val="00E21F79"/>
    <w:rsid w:val="00E22D19"/>
    <w:rsid w:val="00E23B5C"/>
    <w:rsid w:val="00E25C81"/>
    <w:rsid w:val="00E2648E"/>
    <w:rsid w:val="00E2660C"/>
    <w:rsid w:val="00E30082"/>
    <w:rsid w:val="00E30157"/>
    <w:rsid w:val="00E31FE0"/>
    <w:rsid w:val="00E32F6D"/>
    <w:rsid w:val="00E33C4A"/>
    <w:rsid w:val="00E42593"/>
    <w:rsid w:val="00E42937"/>
    <w:rsid w:val="00E45594"/>
    <w:rsid w:val="00E468A2"/>
    <w:rsid w:val="00E469B9"/>
    <w:rsid w:val="00E469D4"/>
    <w:rsid w:val="00E47970"/>
    <w:rsid w:val="00E509DB"/>
    <w:rsid w:val="00E5237B"/>
    <w:rsid w:val="00E52C2A"/>
    <w:rsid w:val="00E5433C"/>
    <w:rsid w:val="00E550B0"/>
    <w:rsid w:val="00E56D7A"/>
    <w:rsid w:val="00E574F8"/>
    <w:rsid w:val="00E57CF4"/>
    <w:rsid w:val="00E6336B"/>
    <w:rsid w:val="00E65D4E"/>
    <w:rsid w:val="00E66263"/>
    <w:rsid w:val="00E71B4C"/>
    <w:rsid w:val="00E71F16"/>
    <w:rsid w:val="00E72628"/>
    <w:rsid w:val="00E72690"/>
    <w:rsid w:val="00E726A6"/>
    <w:rsid w:val="00E72D79"/>
    <w:rsid w:val="00E74B40"/>
    <w:rsid w:val="00E75E60"/>
    <w:rsid w:val="00E75EDD"/>
    <w:rsid w:val="00E763EB"/>
    <w:rsid w:val="00E77F89"/>
    <w:rsid w:val="00E82B48"/>
    <w:rsid w:val="00E82D0C"/>
    <w:rsid w:val="00E832FB"/>
    <w:rsid w:val="00E83AEB"/>
    <w:rsid w:val="00E855A7"/>
    <w:rsid w:val="00E87E83"/>
    <w:rsid w:val="00E9016B"/>
    <w:rsid w:val="00E91E74"/>
    <w:rsid w:val="00E923A0"/>
    <w:rsid w:val="00E92EA6"/>
    <w:rsid w:val="00E93812"/>
    <w:rsid w:val="00E95353"/>
    <w:rsid w:val="00E956F0"/>
    <w:rsid w:val="00E96F0D"/>
    <w:rsid w:val="00E9760B"/>
    <w:rsid w:val="00EA4B3F"/>
    <w:rsid w:val="00EA611A"/>
    <w:rsid w:val="00EB1A0D"/>
    <w:rsid w:val="00EB3BC2"/>
    <w:rsid w:val="00EC23DD"/>
    <w:rsid w:val="00EC298E"/>
    <w:rsid w:val="00EC2EF2"/>
    <w:rsid w:val="00EC4A1A"/>
    <w:rsid w:val="00EC6745"/>
    <w:rsid w:val="00ED0368"/>
    <w:rsid w:val="00ED094C"/>
    <w:rsid w:val="00ED21AE"/>
    <w:rsid w:val="00ED2C77"/>
    <w:rsid w:val="00ED31A9"/>
    <w:rsid w:val="00ED6ECB"/>
    <w:rsid w:val="00ED6F24"/>
    <w:rsid w:val="00EE0C4B"/>
    <w:rsid w:val="00EE1A12"/>
    <w:rsid w:val="00EE2AA5"/>
    <w:rsid w:val="00EE5613"/>
    <w:rsid w:val="00EE60CD"/>
    <w:rsid w:val="00EF1018"/>
    <w:rsid w:val="00EF1376"/>
    <w:rsid w:val="00EF1440"/>
    <w:rsid w:val="00EF5773"/>
    <w:rsid w:val="00EF67AB"/>
    <w:rsid w:val="00EF72C5"/>
    <w:rsid w:val="00EF7615"/>
    <w:rsid w:val="00EF7A4C"/>
    <w:rsid w:val="00F02396"/>
    <w:rsid w:val="00F02E73"/>
    <w:rsid w:val="00F0307D"/>
    <w:rsid w:val="00F0387F"/>
    <w:rsid w:val="00F038F0"/>
    <w:rsid w:val="00F04E72"/>
    <w:rsid w:val="00F0618C"/>
    <w:rsid w:val="00F06E93"/>
    <w:rsid w:val="00F07835"/>
    <w:rsid w:val="00F07BEF"/>
    <w:rsid w:val="00F10B11"/>
    <w:rsid w:val="00F12F75"/>
    <w:rsid w:val="00F1378F"/>
    <w:rsid w:val="00F14AED"/>
    <w:rsid w:val="00F15D92"/>
    <w:rsid w:val="00F16EA1"/>
    <w:rsid w:val="00F1757C"/>
    <w:rsid w:val="00F20084"/>
    <w:rsid w:val="00F20CD9"/>
    <w:rsid w:val="00F22592"/>
    <w:rsid w:val="00F22EB2"/>
    <w:rsid w:val="00F238E0"/>
    <w:rsid w:val="00F24406"/>
    <w:rsid w:val="00F25EA6"/>
    <w:rsid w:val="00F262F7"/>
    <w:rsid w:val="00F27AD8"/>
    <w:rsid w:val="00F3015A"/>
    <w:rsid w:val="00F3046E"/>
    <w:rsid w:val="00F35602"/>
    <w:rsid w:val="00F37882"/>
    <w:rsid w:val="00F414D2"/>
    <w:rsid w:val="00F428C2"/>
    <w:rsid w:val="00F429C4"/>
    <w:rsid w:val="00F42C15"/>
    <w:rsid w:val="00F44830"/>
    <w:rsid w:val="00F45526"/>
    <w:rsid w:val="00F4642B"/>
    <w:rsid w:val="00F47519"/>
    <w:rsid w:val="00F50197"/>
    <w:rsid w:val="00F50DD9"/>
    <w:rsid w:val="00F52458"/>
    <w:rsid w:val="00F52552"/>
    <w:rsid w:val="00F5355B"/>
    <w:rsid w:val="00F54035"/>
    <w:rsid w:val="00F544EA"/>
    <w:rsid w:val="00F57E9F"/>
    <w:rsid w:val="00F63554"/>
    <w:rsid w:val="00F65032"/>
    <w:rsid w:val="00F65CC5"/>
    <w:rsid w:val="00F66082"/>
    <w:rsid w:val="00F661C9"/>
    <w:rsid w:val="00F67516"/>
    <w:rsid w:val="00F71A94"/>
    <w:rsid w:val="00F72E03"/>
    <w:rsid w:val="00F73E2F"/>
    <w:rsid w:val="00F771C5"/>
    <w:rsid w:val="00F805CA"/>
    <w:rsid w:val="00F8072E"/>
    <w:rsid w:val="00F8247D"/>
    <w:rsid w:val="00F82EBC"/>
    <w:rsid w:val="00F845E9"/>
    <w:rsid w:val="00F84DEB"/>
    <w:rsid w:val="00F852DD"/>
    <w:rsid w:val="00F85363"/>
    <w:rsid w:val="00F85712"/>
    <w:rsid w:val="00F908F0"/>
    <w:rsid w:val="00F95F9C"/>
    <w:rsid w:val="00F96396"/>
    <w:rsid w:val="00F96882"/>
    <w:rsid w:val="00FA1FCE"/>
    <w:rsid w:val="00FA2BCB"/>
    <w:rsid w:val="00FA30AD"/>
    <w:rsid w:val="00FA38A9"/>
    <w:rsid w:val="00FA3F08"/>
    <w:rsid w:val="00FA4B18"/>
    <w:rsid w:val="00FA7F65"/>
    <w:rsid w:val="00FB00D8"/>
    <w:rsid w:val="00FB424D"/>
    <w:rsid w:val="00FB4C94"/>
    <w:rsid w:val="00FB617D"/>
    <w:rsid w:val="00FB61CB"/>
    <w:rsid w:val="00FB7C07"/>
    <w:rsid w:val="00FC0B5E"/>
    <w:rsid w:val="00FC16B4"/>
    <w:rsid w:val="00FC22FE"/>
    <w:rsid w:val="00FC6D12"/>
    <w:rsid w:val="00FD16FA"/>
    <w:rsid w:val="00FD1943"/>
    <w:rsid w:val="00FD257A"/>
    <w:rsid w:val="00FD54EB"/>
    <w:rsid w:val="00FD571F"/>
    <w:rsid w:val="00FD5CE3"/>
    <w:rsid w:val="00FD7E60"/>
    <w:rsid w:val="00FE1EF0"/>
    <w:rsid w:val="00FE355B"/>
    <w:rsid w:val="00FE4055"/>
    <w:rsid w:val="00FE4590"/>
    <w:rsid w:val="00FE6D06"/>
    <w:rsid w:val="00FE70C9"/>
    <w:rsid w:val="00FF0959"/>
    <w:rsid w:val="00FF13AF"/>
    <w:rsid w:val="00FF216C"/>
    <w:rsid w:val="00FF2668"/>
    <w:rsid w:val="00FF2D33"/>
    <w:rsid w:val="00FF3357"/>
    <w:rsid w:val="00FF6617"/>
    <w:rsid w:val="00FF6EA2"/>
    <w:rsid w:val="00FF76C4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6837D5"/>
  <w15:chartTrackingRefBased/>
  <w15:docId w15:val="{7980EE75-D63B-4F1B-8DD8-E29D1E33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B6"/>
    <w:pPr>
      <w:ind w:left="708"/>
      <w:jc w:val="both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EC7"/>
    <w:pPr>
      <w:keepNext/>
      <w:keepLines/>
      <w:numPr>
        <w:numId w:val="15"/>
      </w:numPr>
      <w:spacing w:before="160" w:after="80"/>
      <w:ind w:left="1276" w:hanging="567"/>
      <w:outlineLvl w:val="0"/>
    </w:pPr>
    <w:rPr>
      <w:rFonts w:eastAsiaTheme="majorEastAsia" w:cstheme="majorBidi"/>
      <w:b/>
      <w:color w:val="ED1C24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42D"/>
    <w:pPr>
      <w:keepNext/>
      <w:keepLines/>
      <w:numPr>
        <w:ilvl w:val="1"/>
        <w:numId w:val="15"/>
      </w:numPr>
      <w:spacing w:before="160" w:after="80"/>
      <w:ind w:left="1276" w:hanging="567"/>
      <w:outlineLvl w:val="1"/>
    </w:pPr>
    <w:rPr>
      <w:rFonts w:eastAsiaTheme="majorEastAsia" w:cstheme="majorBidi"/>
      <w:b/>
      <w:color w:val="0054A1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0E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BB6"/>
    <w:pPr>
      <w:keepNext/>
      <w:keepLines/>
      <w:numPr>
        <w:ilvl w:val="3"/>
        <w:numId w:val="15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BB6"/>
    <w:pPr>
      <w:keepNext/>
      <w:keepLines/>
      <w:numPr>
        <w:ilvl w:val="4"/>
        <w:numId w:val="15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BB6"/>
    <w:pPr>
      <w:keepNext/>
      <w:keepLines/>
      <w:numPr>
        <w:ilvl w:val="5"/>
        <w:numId w:val="15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BB6"/>
    <w:pPr>
      <w:keepNext/>
      <w:keepLines/>
      <w:numPr>
        <w:ilvl w:val="6"/>
        <w:numId w:val="15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BB6"/>
    <w:pPr>
      <w:keepNext/>
      <w:keepLines/>
      <w:numPr>
        <w:ilvl w:val="7"/>
        <w:numId w:val="15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BB6"/>
    <w:pPr>
      <w:keepNext/>
      <w:keepLines/>
      <w:numPr>
        <w:ilvl w:val="8"/>
        <w:numId w:val="15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EC7"/>
    <w:rPr>
      <w:rFonts w:ascii="Arial Narrow" w:eastAsiaTheme="majorEastAsia" w:hAnsi="Arial Narrow" w:cstheme="majorBidi"/>
      <w:b/>
      <w:color w:val="ED1C24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4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6E"/>
  </w:style>
  <w:style w:type="paragraph" w:styleId="Footer">
    <w:name w:val="footer"/>
    <w:basedOn w:val="Normal"/>
    <w:link w:val="FooterChar"/>
    <w:uiPriority w:val="99"/>
    <w:unhideWhenUsed/>
    <w:rsid w:val="0074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6E"/>
  </w:style>
  <w:style w:type="paragraph" w:styleId="NoSpacing">
    <w:name w:val="No Spacing"/>
    <w:link w:val="NoSpacingChar"/>
    <w:uiPriority w:val="1"/>
    <w:qFormat/>
    <w:rsid w:val="0074386E"/>
    <w:pPr>
      <w:spacing w:after="0" w:line="240" w:lineRule="auto"/>
    </w:pPr>
    <w:rPr>
      <w:rFonts w:eastAsiaTheme="minorEastAsia"/>
      <w:lang w:eastAsia="sk-SK"/>
    </w:rPr>
  </w:style>
  <w:style w:type="character" w:customStyle="1" w:styleId="NoSpacingChar">
    <w:name w:val="No Spacing Char"/>
    <w:basedOn w:val="DefaultParagraphFont"/>
    <w:link w:val="NoSpacing"/>
    <w:uiPriority w:val="1"/>
    <w:rsid w:val="0074386E"/>
    <w:rPr>
      <w:rFonts w:eastAsiaTheme="minorEastAsia"/>
      <w:lang w:eastAsia="sk-SK"/>
    </w:rPr>
  </w:style>
  <w:style w:type="character" w:styleId="PageNumber">
    <w:name w:val="page number"/>
    <w:basedOn w:val="DefaultParagraphFont"/>
    <w:uiPriority w:val="99"/>
    <w:semiHidden/>
    <w:unhideWhenUsed/>
    <w:rsid w:val="00B9518E"/>
  </w:style>
  <w:style w:type="paragraph" w:customStyle="1" w:styleId="IDRP">
    <w:name w:val="IDRP"/>
    <w:basedOn w:val="Normal"/>
    <w:qFormat/>
    <w:rsid w:val="00B91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9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9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B1D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362E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E362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62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62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E362E"/>
    <w:rPr>
      <w:vertAlign w:val="superscript"/>
    </w:rPr>
  </w:style>
  <w:style w:type="table" w:styleId="TableGrid">
    <w:name w:val="Table Grid"/>
    <w:basedOn w:val="TableNormal"/>
    <w:uiPriority w:val="39"/>
    <w:rsid w:val="009E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C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C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5C7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D75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0C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442D"/>
    <w:rPr>
      <w:rFonts w:ascii="Arial Narrow" w:eastAsiaTheme="majorEastAsia" w:hAnsi="Arial Narrow" w:cstheme="majorBidi"/>
      <w:b/>
      <w:color w:val="0054A1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BB6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BB6"/>
    <w:rPr>
      <w:rFonts w:asciiTheme="majorHAnsi" w:eastAsiaTheme="majorEastAsia" w:hAnsiTheme="majorHAnsi" w:cstheme="majorBidi"/>
      <w:color w:val="2E74B5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BB6"/>
    <w:rPr>
      <w:rFonts w:asciiTheme="majorHAnsi" w:eastAsiaTheme="majorEastAsia" w:hAnsiTheme="majorHAnsi" w:cstheme="majorBidi"/>
      <w:color w:val="1F4D78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B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B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B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customStyle="1" w:styleId="normaltextrun">
    <w:name w:val="normaltextrun"/>
    <w:basedOn w:val="DefaultParagraphFont"/>
    <w:rsid w:val="00003BB6"/>
  </w:style>
  <w:style w:type="character" w:customStyle="1" w:styleId="jlqj4b">
    <w:name w:val="jlqj4b"/>
    <w:basedOn w:val="DefaultParagraphFont"/>
    <w:rsid w:val="00003BB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BB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03BB6"/>
    <w:pPr>
      <w:framePr w:wrap="around" w:hAnchor="text"/>
      <w:spacing w:before="480" w:after="160" w:line="276" w:lineRule="auto"/>
      <w:ind w:left="431" w:hanging="431"/>
      <w:outlineLvl w:val="9"/>
    </w:pPr>
    <w:rPr>
      <w:rFonts w:cs="Times New Roman"/>
      <w:bCs/>
      <w:color w:val="3E023F"/>
      <w:sz w:val="22"/>
      <w:szCs w:val="22"/>
      <w:lang w:val="en-US"/>
    </w:rPr>
  </w:style>
  <w:style w:type="paragraph" w:styleId="TOC1">
    <w:name w:val="toc 1"/>
    <w:basedOn w:val="IDRP"/>
    <w:next w:val="Normal"/>
    <w:autoRedefine/>
    <w:uiPriority w:val="39"/>
    <w:unhideWhenUsed/>
    <w:rsid w:val="000D740C"/>
    <w:pPr>
      <w:tabs>
        <w:tab w:val="left" w:pos="1276"/>
        <w:tab w:val="right" w:leader="dot" w:pos="9016"/>
      </w:tabs>
      <w:spacing w:before="160" w:after="120" w:line="240" w:lineRule="auto"/>
      <w:ind w:left="1276" w:hanging="567"/>
    </w:pPr>
    <w:rPr>
      <w:rFonts w:eastAsia="Times New Roman" w:cs="Times New Roman"/>
      <w:b/>
      <w:bCs/>
      <w:iCs/>
      <w:szCs w:val="24"/>
      <w:lang w:eastAsia="en-GB"/>
    </w:rPr>
  </w:style>
  <w:style w:type="paragraph" w:styleId="TOC2">
    <w:name w:val="toc 2"/>
    <w:basedOn w:val="IDRP"/>
    <w:next w:val="Normal"/>
    <w:autoRedefine/>
    <w:uiPriority w:val="39"/>
    <w:unhideWhenUsed/>
    <w:rsid w:val="000D740C"/>
    <w:pPr>
      <w:spacing w:before="60" w:after="60" w:line="240" w:lineRule="auto"/>
      <w:ind w:left="1701" w:hanging="567"/>
    </w:pPr>
    <w:rPr>
      <w:rFonts w:eastAsia="Times New Roman" w:cs="Times New Roman"/>
      <w:bCs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03BB6"/>
    <w:pPr>
      <w:spacing w:before="160" w:line="240" w:lineRule="auto"/>
      <w:ind w:left="480"/>
    </w:pPr>
    <w:rPr>
      <w:rFonts w:eastAsia="Times New Roman" w:cs="Times New Roman"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3BB6"/>
    <w:pPr>
      <w:spacing w:before="160" w:line="240" w:lineRule="auto"/>
      <w:ind w:left="720"/>
    </w:pPr>
    <w:rPr>
      <w:rFonts w:eastAsia="Times New Roman" w:cs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3BB6"/>
    <w:pPr>
      <w:spacing w:before="160" w:line="240" w:lineRule="auto"/>
      <w:ind w:left="960"/>
    </w:pPr>
    <w:rPr>
      <w:rFonts w:eastAsia="Times New Roman" w:cs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3BB6"/>
    <w:pPr>
      <w:spacing w:before="160" w:line="240" w:lineRule="auto"/>
      <w:ind w:left="1200"/>
    </w:pPr>
    <w:rPr>
      <w:rFonts w:eastAsia="Times New Roman" w:cs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3BB6"/>
    <w:pPr>
      <w:spacing w:before="160" w:line="240" w:lineRule="auto"/>
      <w:ind w:left="1440"/>
    </w:pPr>
    <w:rPr>
      <w:rFonts w:eastAsia="Times New Roman" w:cs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3BB6"/>
    <w:pPr>
      <w:spacing w:before="160" w:line="240" w:lineRule="auto"/>
      <w:ind w:left="1680"/>
    </w:pPr>
    <w:rPr>
      <w:rFonts w:eastAsia="Times New Roman" w:cs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3BB6"/>
    <w:pPr>
      <w:spacing w:before="160" w:line="240" w:lineRule="auto"/>
      <w:ind w:left="1920"/>
    </w:pPr>
    <w:rPr>
      <w:rFonts w:eastAsia="Times New Roman" w:cs="Times New Roman"/>
      <w:sz w:val="20"/>
      <w:szCs w:val="20"/>
      <w:lang w:eastAsia="en-GB"/>
    </w:rPr>
  </w:style>
  <w:style w:type="paragraph" w:customStyle="1" w:styleId="Tabulka">
    <w:name w:val="Tabulka"/>
    <w:basedOn w:val="Normal"/>
    <w:next w:val="Normal"/>
    <w:qFormat/>
    <w:rsid w:val="00003BB6"/>
    <w:pPr>
      <w:numPr>
        <w:numId w:val="1"/>
      </w:numPr>
      <w:spacing w:before="160" w:line="240" w:lineRule="auto"/>
    </w:pPr>
    <w:rPr>
      <w:rFonts w:eastAsia="Times New Roman" w:cs="Times New Roman"/>
      <w:b/>
      <w:szCs w:val="24"/>
      <w:lang w:eastAsia="en-GB"/>
    </w:rPr>
  </w:style>
  <w:style w:type="paragraph" w:customStyle="1" w:styleId="Graf">
    <w:name w:val="Graf"/>
    <w:basedOn w:val="Normal"/>
    <w:next w:val="Normal"/>
    <w:qFormat/>
    <w:rsid w:val="00145519"/>
    <w:pPr>
      <w:numPr>
        <w:numId w:val="2"/>
      </w:numPr>
      <w:spacing w:before="160" w:line="240" w:lineRule="auto"/>
      <w:ind w:left="708" w:firstLine="0"/>
    </w:pPr>
    <w:rPr>
      <w:rFonts w:eastAsia="Times New Roman" w:cs="Times New Roman"/>
      <w:b/>
      <w:szCs w:val="24"/>
      <w:lang w:eastAsia="en-GB"/>
    </w:rPr>
  </w:style>
  <w:style w:type="table" w:styleId="ListTable1Light-Accent3">
    <w:name w:val="List Table 1 Light Accent 3"/>
    <w:basedOn w:val="TableNormal"/>
    <w:uiPriority w:val="46"/>
    <w:rsid w:val="00003BB6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E469B9"/>
    <w:pPr>
      <w:spacing w:before="60" w:after="60" w:line="240" w:lineRule="auto"/>
      <w:ind w:left="1843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5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14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3.emf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emf"/><Relationship Id="rId23" Type="http://schemas.openxmlformats.org/officeDocument/2006/relationships/header" Target="header2.xml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5.emf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F551-7997-407A-9A66-CDDE53EB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17</Pages>
  <Words>3091</Words>
  <Characters>17625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Hamarová, Ľubica</dc:creator>
  <cp:keywords/>
  <dc:description/>
  <cp:lastModifiedBy>Tihanyi, Marián</cp:lastModifiedBy>
  <cp:revision>221</cp:revision>
  <dcterms:created xsi:type="dcterms:W3CDTF">2024-07-30T10:08:00Z</dcterms:created>
  <dcterms:modified xsi:type="dcterms:W3CDTF">2025-05-05T14:26:00Z</dcterms:modified>
</cp:coreProperties>
</file>