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4E8B5" w14:textId="77777777" w:rsidR="00B24447" w:rsidRDefault="00B24447" w:rsidP="0042562A">
      <w:pPr>
        <w:pStyle w:val="Nadpis3"/>
      </w:pPr>
    </w:p>
    <w:p w14:paraId="4C4E6FAA" w14:textId="5FD3451A" w:rsidR="004F238E" w:rsidRPr="00B275AE" w:rsidRDefault="004F238E" w:rsidP="00C45320">
      <w:r w:rsidRPr="00B275AE">
        <w:t>Príloha</w:t>
      </w:r>
      <w:r w:rsidR="00921123" w:rsidRPr="00B275AE">
        <w:t xml:space="preserve"> </w:t>
      </w:r>
      <w:r w:rsidR="001608FE" w:rsidRPr="00B275AE">
        <w:t>1</w:t>
      </w:r>
      <w:r w:rsidR="00432D32" w:rsidRPr="000F6190">
        <w:t>0</w:t>
      </w:r>
      <w:r w:rsidRPr="00B275AE">
        <w:t xml:space="preserve">: </w:t>
      </w:r>
      <w:r w:rsidR="001A28EE" w:rsidRPr="00B275AE">
        <w:t>Pravidlá</w:t>
      </w:r>
      <w:r w:rsidRPr="00B275AE">
        <w:t xml:space="preserve"> oprávnen</w:t>
      </w:r>
      <w:r w:rsidR="001A28EE" w:rsidRPr="00B275AE">
        <w:t>osti výdavkov podľa jednotlivých skupín</w:t>
      </w:r>
      <w:r w:rsidRPr="00B275AE">
        <w:t xml:space="preserve"> </w:t>
      </w:r>
    </w:p>
    <w:p w14:paraId="10D81650" w14:textId="4C143B78" w:rsidR="00EA0712" w:rsidRPr="00C9530F" w:rsidRDefault="00EA0712" w:rsidP="00D70EA8">
      <w:pPr>
        <w:pStyle w:val="Nadpis3"/>
        <w:numPr>
          <w:ilvl w:val="0"/>
          <w:numId w:val="29"/>
        </w:numPr>
        <w:pBdr>
          <w:bottom w:val="single" w:sz="4" w:space="1" w:color="auto"/>
        </w:pBdr>
        <w:ind w:left="284" w:hanging="142"/>
        <w:jc w:val="left"/>
        <w:rPr>
          <w:rFonts w:asciiTheme="minorHAnsi" w:hAnsiTheme="minorHAnsi" w:cstheme="minorHAnsi"/>
          <w:b/>
          <w:sz w:val="22"/>
          <w:szCs w:val="22"/>
        </w:rPr>
      </w:pPr>
      <w:r w:rsidRPr="00C9530F">
        <w:rPr>
          <w:rFonts w:asciiTheme="minorHAnsi" w:hAnsiTheme="minorHAnsi" w:cstheme="minorHAnsi"/>
          <w:b/>
          <w:sz w:val="22"/>
          <w:szCs w:val="22"/>
        </w:rPr>
        <w:t>Personálne výdavky interného charakteru</w:t>
      </w:r>
    </w:p>
    <w:p w14:paraId="4CDCA52C" w14:textId="5EFCAB8C" w:rsidR="00EA0712" w:rsidRPr="000F6190" w:rsidRDefault="00EA0712" w:rsidP="00D70EA8">
      <w:pPr>
        <w:pStyle w:val="Bezriadkovania"/>
        <w:numPr>
          <w:ilvl w:val="1"/>
          <w:numId w:val="29"/>
        </w:numPr>
        <w:ind w:left="426"/>
        <w:rPr>
          <w:rFonts w:asciiTheme="minorHAnsi" w:hAnsiTheme="minorHAnsi" w:cstheme="minorHAnsi"/>
          <w:b/>
        </w:rPr>
      </w:pPr>
      <w:r w:rsidRPr="000F6190">
        <w:rPr>
          <w:rFonts w:asciiTheme="minorHAnsi" w:hAnsiTheme="minorHAnsi" w:cstheme="minorHAnsi"/>
          <w:b/>
        </w:rPr>
        <w:t>Oprávnené personálne výdavky interného charakteru</w:t>
      </w:r>
      <w:r w:rsidR="008235A7" w:rsidRPr="000F6190">
        <w:rPr>
          <w:rFonts w:asciiTheme="minorHAnsi" w:hAnsiTheme="minorHAnsi" w:cstheme="minorHAnsi"/>
          <w:b/>
        </w:rPr>
        <w:t xml:space="preserve"> sú</w:t>
      </w:r>
      <w:r w:rsidRPr="000F6190">
        <w:rPr>
          <w:rFonts w:asciiTheme="minorHAnsi" w:hAnsiTheme="minorHAnsi" w:cstheme="minorHAnsi"/>
          <w:b/>
        </w:rPr>
        <w:t>:</w:t>
      </w:r>
    </w:p>
    <w:p w14:paraId="47B965F8" w14:textId="470ED395" w:rsidR="00EA0712" w:rsidRPr="000F6190" w:rsidRDefault="008235A7"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w:t>
      </w:r>
      <w:r w:rsidR="00EA0712" w:rsidRPr="000F6190">
        <w:rPr>
          <w:rFonts w:asciiTheme="minorHAnsi" w:hAnsiTheme="minorHAnsi" w:cstheme="minorHAnsi"/>
        </w:rPr>
        <w:t>šetky náhrady mzdy a iné náhrady/príspevky</w:t>
      </w:r>
      <w:r w:rsidRPr="000F6190">
        <w:rPr>
          <w:rFonts w:asciiTheme="minorHAnsi" w:hAnsiTheme="minorHAnsi" w:cstheme="minorHAnsi"/>
        </w:rPr>
        <w:t xml:space="preserve">, </w:t>
      </w:r>
      <w:r w:rsidR="00EA0712" w:rsidRPr="000F6190">
        <w:rPr>
          <w:rFonts w:asciiTheme="minorHAnsi" w:hAnsiTheme="minorHAnsi" w:cstheme="minorHAnsi"/>
        </w:rPr>
        <w:t>ktoré je zamestnávateľ povinný poskytnúť zamestnancovi podľa platnej legislatívy respektíve z kolektívnej zmluvy a za podmienky, že zamestnávateľ/prijímateľ nemá nárok na ich úhradu od príslušných orgánov. Výška oprávnenej náhrady mzdy musí zodpovedať miere zapojenia zamestnanca do realizácie daného projektu.</w:t>
      </w:r>
    </w:p>
    <w:p w14:paraId="2E89C4E5" w14:textId="46951785" w:rsidR="00EA0712" w:rsidRPr="000F6190" w:rsidRDefault="00EA0712" w:rsidP="00D70EA8">
      <w:pPr>
        <w:pStyle w:val="Bezriadkovania"/>
        <w:numPr>
          <w:ilvl w:val="0"/>
          <w:numId w:val="30"/>
        </w:numPr>
        <w:ind w:left="709" w:hanging="284"/>
        <w:jc w:val="both"/>
        <w:rPr>
          <w:rFonts w:asciiTheme="minorHAnsi" w:hAnsiTheme="minorHAnsi" w:cstheme="minorHAnsi"/>
          <w:u w:val="single"/>
        </w:rPr>
      </w:pPr>
      <w:r w:rsidRPr="000F6190">
        <w:rPr>
          <w:rFonts w:asciiTheme="minorHAnsi" w:hAnsiTheme="minorHAnsi" w:cstheme="minorHAnsi"/>
        </w:rPr>
        <w:t>Odmeny</w:t>
      </w:r>
      <w:r w:rsidR="00710191">
        <w:rPr>
          <w:rFonts w:asciiTheme="minorHAnsi" w:hAnsiTheme="minorHAnsi" w:cstheme="minorHAnsi"/>
        </w:rPr>
        <w:t xml:space="preserve"> ako zložka mzdy/platu</w:t>
      </w:r>
      <w:r w:rsidR="00D8382B" w:rsidRPr="000F6190">
        <w:rPr>
          <w:rFonts w:asciiTheme="minorHAnsi" w:hAnsiTheme="minorHAnsi" w:cstheme="minorHAnsi"/>
          <w:vertAlign w:val="superscript"/>
        </w:rPr>
        <w:t xml:space="preserve"> </w:t>
      </w:r>
      <w:r w:rsidRPr="000F6190">
        <w:rPr>
          <w:rFonts w:asciiTheme="minorHAnsi" w:hAnsiTheme="minorHAnsi" w:cstheme="minorHAnsi"/>
        </w:rPr>
        <w:t>(resp. prémie alebo rôzne variabilné zložky mzdy naviazané napr. na hospodárske výsledky prijímateľa) nie sú oprávneným výdavkom s výnimkou prípadov, ak sú splnené nasledujúce podmienky na poskytnutie odmien:</w:t>
      </w:r>
    </w:p>
    <w:p w14:paraId="76534AF2" w14:textId="18C8B92B" w:rsidR="00EA0712" w:rsidRPr="000F6190" w:rsidRDefault="00EA0712" w:rsidP="00D70EA8">
      <w:pPr>
        <w:pStyle w:val="Bezriadkovania"/>
        <w:numPr>
          <w:ilvl w:val="2"/>
          <w:numId w:val="31"/>
        </w:numPr>
        <w:ind w:left="1134"/>
        <w:jc w:val="both"/>
        <w:rPr>
          <w:rFonts w:asciiTheme="minorHAnsi" w:hAnsiTheme="minorHAnsi" w:cstheme="minorHAnsi"/>
        </w:rPr>
      </w:pPr>
      <w:r w:rsidRPr="000F6190">
        <w:rPr>
          <w:rFonts w:asciiTheme="minorHAnsi" w:hAnsiTheme="minorHAnsi" w:cstheme="minorHAnsi"/>
        </w:rPr>
        <w:t>odmena ako zložka mzdy je oprávnený výdavok, ak je</w:t>
      </w:r>
      <w:r w:rsidR="001D0A05" w:rsidRPr="000F6190">
        <w:rPr>
          <w:rFonts w:asciiTheme="minorHAnsi" w:hAnsiTheme="minorHAnsi" w:cstheme="minorHAnsi"/>
        </w:rPr>
        <w:t xml:space="preserve"> poskytnutá zamestnancovi, </w:t>
      </w:r>
      <w:r w:rsidRPr="000F6190">
        <w:rPr>
          <w:rFonts w:asciiTheme="minorHAnsi" w:hAnsiTheme="minorHAnsi" w:cstheme="minorHAnsi"/>
        </w:rPr>
        <w:t>ktorý pracuje výlučne iba na projekte, t. j. nevykonáva iné pracovné činnosti financované z iných zdrojov prijímateľa (bez ohľadu na dĺžku pracovného času zamestnanca zamestnaného u konkrétneho prijímateľa);</w:t>
      </w:r>
    </w:p>
    <w:p w14:paraId="746F2A3C" w14:textId="77777777" w:rsidR="00EA0712" w:rsidRPr="000F6190" w:rsidRDefault="00EA0712" w:rsidP="00D70EA8">
      <w:pPr>
        <w:pStyle w:val="Bezriadkovania"/>
        <w:numPr>
          <w:ilvl w:val="2"/>
          <w:numId w:val="31"/>
        </w:numPr>
        <w:ind w:left="1134"/>
        <w:jc w:val="both"/>
        <w:rPr>
          <w:rFonts w:asciiTheme="minorHAnsi" w:hAnsiTheme="minorHAnsi" w:cstheme="minorHAnsi"/>
        </w:rPr>
      </w:pPr>
      <w:r w:rsidRPr="000F6190">
        <w:rPr>
          <w:rFonts w:asciiTheme="minorHAnsi" w:hAnsiTheme="minorHAnsi" w:cstheme="minorHAnsi"/>
        </w:rPr>
        <w:t xml:space="preserve">odmeny sú v súlade s limitmi personálnych výdavkov nastavenými v rozpočte projektu a v súlade s mzdovou politikou prijímateľa. </w:t>
      </w:r>
    </w:p>
    <w:p w14:paraId="67B4379B" w14:textId="6FEC506F"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Výdavky na doplnkové dôchodkové sporenie sú oprávneným výdavkom pri dodržaní podmienok ustanovených v osobitných predpisoch, resp. v kolektívnych zmluvách ak je to stanovené v kolektívnej zmluve alebo v pracovnej zmluve. Pričom ich oprávnená výška musí zodpovedať alikvotnej miere zapojenia zamestnanca do realizácie daného projektu.</w:t>
      </w:r>
    </w:p>
    <w:p w14:paraId="07C6203C" w14:textId="427EBD88"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Hodnota osobných výdavkov nesmie presiahnuť hodnotu obvyklú v danom odbore, čase  a mieste a musí byť primerané úlohám a zodpovednostiam osôb zapojených do realizácie projektu. Maximálna výška miezd, resp. odmien na základe dohôd o prácach vykonávaných mimo pracovného pomeru pre jednotlivé pracovné pozície musí byť v súlade s predchádzajúcou mzdovou politikou zamestnávateľa pri odmeňovaní rovnakých alebo podobných pracovných pozícií a ak relevantné aj so zohľadnením predpokladanej valorizácie.</w:t>
      </w:r>
    </w:p>
    <w:p w14:paraId="56CF58FD" w14:textId="726E178F" w:rsidR="00EA0712" w:rsidRPr="000F6190" w:rsidRDefault="00EA0712" w:rsidP="00D70EA8">
      <w:pPr>
        <w:pStyle w:val="Bezriadkovania"/>
        <w:numPr>
          <w:ilvl w:val="0"/>
          <w:numId w:val="30"/>
        </w:numPr>
        <w:ind w:left="709" w:hanging="284"/>
        <w:jc w:val="both"/>
        <w:rPr>
          <w:rFonts w:asciiTheme="minorHAnsi" w:hAnsiTheme="minorHAnsi" w:cstheme="minorHAnsi"/>
        </w:rPr>
      </w:pPr>
      <w:r w:rsidRPr="000F6190">
        <w:rPr>
          <w:rFonts w:asciiTheme="minorHAnsi" w:hAnsiTheme="minorHAnsi" w:cstheme="minorHAnsi"/>
        </w:rPr>
        <w:t>V prípade zamestnancov pracujúcich na projekte je prijímateľ povinný preukázať, že zamestnanec, ktorého mzdové výdavky sú predmetom financovania z PPM má pre danú pracovnú pozíciu alebo na práce vykonávané na projekte potrebnú kvalifikáciu a odbornú spôsobilosť.</w:t>
      </w:r>
    </w:p>
    <w:p w14:paraId="36FAF9BA" w14:textId="77777777" w:rsidR="00EA0712" w:rsidRPr="000F6190" w:rsidRDefault="00EA0712" w:rsidP="00EA0712">
      <w:pPr>
        <w:pStyle w:val="Bezriadkovania"/>
        <w:ind w:left="720"/>
        <w:jc w:val="both"/>
        <w:rPr>
          <w:rFonts w:asciiTheme="minorHAnsi" w:hAnsiTheme="minorHAnsi" w:cstheme="minorHAnsi"/>
        </w:rPr>
      </w:pPr>
    </w:p>
    <w:p w14:paraId="6D2AA592" w14:textId="6EB6B652" w:rsidR="00EA0712" w:rsidRPr="000F6190" w:rsidRDefault="00EA0712" w:rsidP="00EA0712">
      <w:pPr>
        <w:pStyle w:val="Bezriadkovania"/>
        <w:rPr>
          <w:rFonts w:asciiTheme="minorHAnsi" w:hAnsiTheme="minorHAnsi" w:cstheme="minorHAnsi"/>
          <w:b/>
        </w:rPr>
      </w:pPr>
      <w:r w:rsidRPr="000F6190">
        <w:rPr>
          <w:rFonts w:asciiTheme="minorHAnsi" w:hAnsiTheme="minorHAnsi" w:cstheme="minorHAnsi"/>
          <w:b/>
        </w:rPr>
        <w:t>1.2 Neoprávnené personálne výdavky interného charakteru sú najmä:</w:t>
      </w:r>
    </w:p>
    <w:p w14:paraId="181EC6DB"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Výdavky týkajúce sa činností na projekte vykonávaných počas prekážok v práci na strane zamestnanca (ak napr. zamestnanec nepracuje z dôvodu práceneschopnosti alebo ošetrovania člena rodiny či navštívi lekára a súčasne v tom istom čase vykonáva aktivity na základe, napr. zákona č. 40/1964 Zb. Občianskeho zákonníka v znení neskorších predpisov alebo Zákonníka práce pre projekt, budú výdavky na tieto aktivity považované za neoprávnené).</w:t>
      </w:r>
    </w:p>
    <w:p w14:paraId="6FBF79ED"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 xml:space="preserve">Ostatné výdavky na zamestnanca, ktoré nie sú pre zamestnávateľov povinné podľa osobitných právnych predpisov (napr. dary, benefity). V prípade, ak do povinných odvodov za zamestnávateľa vstupuje aj odvod za sumu ostatných výdavkov na zamestnanca, je potrebné túto sumu odpočítať od celkových odvodov zamestnávateľa. </w:t>
      </w:r>
    </w:p>
    <w:p w14:paraId="295047E5" w14:textId="072AB4A6" w:rsidR="00EA0712"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Výdavky na odstupné a odchodné. V prípade, ak do povinných odvodov za zamestnávateľa vstupuje aj odvod výdavkov na odstupné a odchodné, je potrebné túto sumu odpočítať od celkových odvodov zamestnávateľa.</w:t>
      </w:r>
    </w:p>
    <w:p w14:paraId="0C60EE45" w14:textId="019FCF15" w:rsidR="00710191" w:rsidRPr="000F6190" w:rsidRDefault="00710191" w:rsidP="00D70EA8">
      <w:pPr>
        <w:pStyle w:val="Bezriadkovania"/>
        <w:numPr>
          <w:ilvl w:val="0"/>
          <w:numId w:val="32"/>
        </w:numPr>
        <w:jc w:val="both"/>
        <w:rPr>
          <w:rFonts w:asciiTheme="minorHAnsi" w:hAnsiTheme="minorHAnsi" w:cstheme="minorHAnsi"/>
        </w:rPr>
      </w:pPr>
      <w:r>
        <w:rPr>
          <w:rFonts w:asciiTheme="minorHAnsi" w:hAnsiTheme="minorHAnsi" w:cstheme="minorHAnsi"/>
        </w:rPr>
        <w:t>Náhrada mzdy za dovolenku je neoprávnená, ak sa poskytuje za dovolenku, ktorej nárok vznikol pred začatím prác na projekte.</w:t>
      </w:r>
    </w:p>
    <w:p w14:paraId="0D189209" w14:textId="77777777" w:rsidR="00EA0712" w:rsidRPr="000F6190"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lastRenderedPageBreak/>
        <w:t xml:space="preserve">Tvorba sociálneho fondu je pre zamestnávateľa povinnosťou, keďže však jeho čerpanie nesúvisí s realizáciu projektu, tieto výdavky nie sú oprávnenými. </w:t>
      </w:r>
    </w:p>
    <w:p w14:paraId="02A7152D" w14:textId="15C3326F" w:rsidR="00EA0712" w:rsidRDefault="00EA0712" w:rsidP="00D70EA8">
      <w:pPr>
        <w:pStyle w:val="Bezriadkovania"/>
        <w:numPr>
          <w:ilvl w:val="0"/>
          <w:numId w:val="32"/>
        </w:numPr>
        <w:jc w:val="both"/>
        <w:rPr>
          <w:rFonts w:asciiTheme="minorHAnsi" w:hAnsiTheme="minorHAnsi" w:cstheme="minorHAnsi"/>
        </w:rPr>
      </w:pPr>
      <w:r w:rsidRPr="000F6190">
        <w:rPr>
          <w:rFonts w:asciiTheme="minorHAnsi" w:hAnsiTheme="minorHAnsi" w:cstheme="minorHAnsi"/>
        </w:rPr>
        <w:t>Výdavky súvisiace s prekrývaním pracovných úväzkov osôb pracujúcich na projekte.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fondov EÚ, resp. z iných programov EÚ alebo vnútroštátnych programov, resp. pri zistení vykonávania činnosti nefinancovanej z prostriedkov fondov EÚ. Takéto výdavky budú vylúčené z financovania dotknutého/-tých  projektu/projektov na úrovni príslušného dňa, pričom nie je podstatné, na základe akého zmluvného vzťahu osoba pracovala.</w:t>
      </w:r>
    </w:p>
    <w:p w14:paraId="7C727DD9" w14:textId="5AF13FC9" w:rsidR="00395640" w:rsidRPr="000F6190" w:rsidRDefault="0023413C" w:rsidP="0023413C">
      <w:pPr>
        <w:pStyle w:val="Bezriadkovania"/>
        <w:numPr>
          <w:ilvl w:val="0"/>
          <w:numId w:val="32"/>
        </w:numPr>
        <w:jc w:val="both"/>
        <w:rPr>
          <w:rFonts w:asciiTheme="minorHAnsi" w:hAnsiTheme="minorHAnsi" w:cstheme="minorHAnsi"/>
        </w:rPr>
      </w:pPr>
      <w:r>
        <w:rPr>
          <w:rFonts w:asciiTheme="minorHAnsi" w:hAnsiTheme="minorHAnsi" w:cstheme="minorHAnsi"/>
        </w:rPr>
        <w:t>P</w:t>
      </w:r>
      <w:r w:rsidRPr="0023413C">
        <w:rPr>
          <w:rFonts w:asciiTheme="minorHAnsi" w:hAnsiTheme="minorHAnsi" w:cstheme="minorHAnsi"/>
        </w:rPr>
        <w:t xml:space="preserve">ríspevok zamestnávateľa na stravu zamestnancom v zmysle všeobecne záväzných právnych predpisov,  vrátane príspevku na stravovanie zo sociálneho fondu v zmysle osobitných predpisov, </w:t>
      </w:r>
      <w:bookmarkStart w:id="0" w:name="_GoBack"/>
      <w:bookmarkEnd w:id="0"/>
      <w:r w:rsidRPr="0023413C">
        <w:rPr>
          <w:rFonts w:asciiTheme="minorHAnsi" w:hAnsiTheme="minorHAnsi" w:cstheme="minorHAnsi"/>
        </w:rPr>
        <w:t>resp. kolektívnej zmluvy organizácie</w:t>
      </w:r>
    </w:p>
    <w:p w14:paraId="5AE3E263" w14:textId="77777777" w:rsidR="00EA689F" w:rsidRPr="000F6190" w:rsidRDefault="00EA689F" w:rsidP="00EA0712">
      <w:pPr>
        <w:pStyle w:val="Odsekzoznamu"/>
        <w:suppressAutoHyphens w:val="0"/>
        <w:spacing w:after="120"/>
        <w:ind w:left="360"/>
        <w:rPr>
          <w:sz w:val="22"/>
          <w:szCs w:val="22"/>
        </w:rPr>
      </w:pPr>
    </w:p>
    <w:p w14:paraId="2EC63238" w14:textId="744F6F62" w:rsidR="00EA689F" w:rsidRPr="000F6190" w:rsidRDefault="00EA689F" w:rsidP="00EA0712">
      <w:pPr>
        <w:pStyle w:val="Odsekzoznamu"/>
        <w:ind w:left="0"/>
        <w:rPr>
          <w:sz w:val="22"/>
          <w:szCs w:val="22"/>
        </w:rPr>
      </w:pPr>
    </w:p>
    <w:p w14:paraId="2670FD90" w14:textId="77777777" w:rsidR="00092C1C" w:rsidRPr="000F6190" w:rsidRDefault="00092C1C" w:rsidP="00EA0712">
      <w:pPr>
        <w:pStyle w:val="Odsekzoznamu"/>
        <w:ind w:left="0"/>
        <w:rPr>
          <w:sz w:val="22"/>
          <w:szCs w:val="22"/>
        </w:rPr>
      </w:pPr>
    </w:p>
    <w:p w14:paraId="0EF44960" w14:textId="02711C47" w:rsidR="00FC49E0" w:rsidRPr="000F6190" w:rsidRDefault="00FC49E0" w:rsidP="00D70EA8">
      <w:pPr>
        <w:pStyle w:val="Nadpis3"/>
        <w:numPr>
          <w:ilvl w:val="0"/>
          <w:numId w:val="29"/>
        </w:numPr>
        <w:pBdr>
          <w:bottom w:val="single" w:sz="4" w:space="1" w:color="auto"/>
        </w:pBdr>
        <w:rPr>
          <w:rFonts w:asciiTheme="minorHAnsi" w:hAnsiTheme="minorHAnsi" w:cstheme="minorHAnsi"/>
          <w:b/>
          <w:sz w:val="22"/>
          <w:szCs w:val="22"/>
        </w:rPr>
      </w:pPr>
      <w:bookmarkStart w:id="1" w:name="_Toc368039967"/>
      <w:bookmarkStart w:id="2" w:name="_Ref372097724"/>
      <w:bookmarkStart w:id="3" w:name="_Toc380160357"/>
      <w:bookmarkStart w:id="4" w:name="_Toc118971245"/>
      <w:r w:rsidRPr="000F6190">
        <w:rPr>
          <w:rFonts w:asciiTheme="minorHAnsi" w:hAnsiTheme="minorHAnsi" w:cstheme="minorHAnsi"/>
          <w:b/>
          <w:sz w:val="22"/>
          <w:szCs w:val="22"/>
        </w:rPr>
        <w:t xml:space="preserve">Nákup </w:t>
      </w:r>
      <w:bookmarkEnd w:id="1"/>
      <w:bookmarkEnd w:id="2"/>
      <w:bookmarkEnd w:id="3"/>
      <w:r w:rsidRPr="000F6190">
        <w:rPr>
          <w:rFonts w:asciiTheme="minorHAnsi" w:hAnsiTheme="minorHAnsi" w:cstheme="minorHAnsi"/>
          <w:b/>
          <w:sz w:val="22"/>
          <w:szCs w:val="22"/>
        </w:rPr>
        <w:t>hmotného a nehmotného majetku (okrem nehnuteľností)</w:t>
      </w:r>
      <w:bookmarkEnd w:id="4"/>
    </w:p>
    <w:p w14:paraId="5EE3D364" w14:textId="3C6AAA3F" w:rsidR="000A73D8" w:rsidRPr="000F6190" w:rsidRDefault="00B22946" w:rsidP="000F6190">
      <w:pPr>
        <w:pStyle w:val="Odsekzoznamu"/>
        <w:numPr>
          <w:ilvl w:val="0"/>
          <w:numId w:val="33"/>
        </w:numPr>
        <w:rPr>
          <w:color w:val="000000"/>
          <w:sz w:val="22"/>
          <w:szCs w:val="22"/>
        </w:rPr>
      </w:pPr>
      <w:r w:rsidRPr="00B22946">
        <w:rPr>
          <w:sz w:val="22"/>
          <w:szCs w:val="22"/>
        </w:rPr>
        <w:t>Financovanie prevádzky majetku nie je oprávneným výdavkom. Výdavky sú oprávnené, ak nastanú v čase realizácie projektu (v čase oprávnenosti výdavkov) a teda sa nejedná o služby, ktorých plnenie nastáva po ukončení realizácie aktivít projektu. Využitie dlhodobé nehmotného majetku účtovaného na účtoch 013, 014 alebo 019  v zmysle zákona o účtovníctve a zodpovedajúcich postupov účtovania môže presiahnuť trvanie implementácie projektu.</w:t>
      </w:r>
    </w:p>
    <w:p w14:paraId="43DB7A6D" w14:textId="43854F83" w:rsidR="000A73D8" w:rsidRPr="000F6190" w:rsidRDefault="000A73D8" w:rsidP="000A73D8">
      <w:pPr>
        <w:pStyle w:val="Odsekzoznamu"/>
        <w:numPr>
          <w:ilvl w:val="0"/>
          <w:numId w:val="33"/>
        </w:numPr>
        <w:rPr>
          <w:sz w:val="22"/>
          <w:szCs w:val="22"/>
        </w:rPr>
      </w:pPr>
      <w:r w:rsidRPr="000F6190">
        <w:rPr>
          <w:sz w:val="22"/>
          <w:szCs w:val="22"/>
        </w:rPr>
        <w:t xml:space="preserve">Na oprávnenosť výdavkov vplýva ich klasifikácia, ktorá vychádza z </w:t>
      </w:r>
      <w:r w:rsidRPr="000F6190">
        <w:rPr>
          <w:i/>
          <w:iCs/>
          <w:sz w:val="22"/>
          <w:szCs w:val="22"/>
        </w:rPr>
        <w:t>Metodického usmernenia Ministerstva financií Slovenskej republiky k č. MF/010175/2004-42 zo dňa 8. decembra 2004 a vysvetlivky k ekonomickej klasifikácii rozpočtovej klasifikácie</w:t>
      </w:r>
      <w:r w:rsidRPr="000F6190">
        <w:rPr>
          <w:sz w:val="22"/>
          <w:szCs w:val="22"/>
        </w:rPr>
        <w:t xml:space="preserve"> a účtovanie v zmysle zákona o účtovníctve 431/2002 Z. z. </w:t>
      </w:r>
      <w:r w:rsidRPr="000F6190">
        <w:rPr>
          <w:sz w:val="22"/>
          <w:szCs w:val="22"/>
          <w:u w:val="single"/>
        </w:rPr>
        <w:t>Je dôležité, aby klasifikácia výdavku a jeho účtovanie bolo komunikované s vecne príslušným odborom / sekciou prijímateľa</w:t>
      </w:r>
      <w:r w:rsidRPr="000F6190">
        <w:rPr>
          <w:color w:val="000000"/>
          <w:sz w:val="22"/>
          <w:szCs w:val="22"/>
          <w:u w:val="single"/>
        </w:rPr>
        <w:t xml:space="preserve"> zodpovedným za účtovníctvo </w:t>
      </w:r>
      <w:r w:rsidRPr="000F6190">
        <w:rPr>
          <w:sz w:val="22"/>
          <w:szCs w:val="22"/>
          <w:u w:val="single"/>
        </w:rPr>
        <w:t>už pri tvorbe rozpočtu PPM.</w:t>
      </w:r>
      <w:r w:rsidR="00B22946">
        <w:rPr>
          <w:rStyle w:val="Odkaznapoznmkupodiarou"/>
          <w:sz w:val="22"/>
          <w:szCs w:val="22"/>
          <w:u w:val="single"/>
        </w:rPr>
        <w:footnoteReference w:id="1"/>
      </w:r>
    </w:p>
    <w:p w14:paraId="72DE3308" w14:textId="0C44B8E1" w:rsidR="000A73D8" w:rsidRPr="000F6190" w:rsidRDefault="00082548" w:rsidP="000F6190">
      <w:pPr>
        <w:ind w:left="708"/>
        <w:rPr>
          <w:b/>
          <w:bCs/>
          <w:sz w:val="22"/>
          <w:szCs w:val="22"/>
        </w:rPr>
      </w:pPr>
      <w:r w:rsidRPr="000F6190">
        <w:rPr>
          <w:b/>
          <w:bCs/>
          <w:sz w:val="22"/>
          <w:szCs w:val="22"/>
        </w:rPr>
        <w:t xml:space="preserve">Softvér ako nehmotný majetok - </w:t>
      </w:r>
      <w:r w:rsidR="000A73D8" w:rsidRPr="000F6190">
        <w:rPr>
          <w:sz w:val="22"/>
          <w:szCs w:val="22"/>
        </w:rPr>
        <w:t>Nehmotný majetok sa účtuje podľa zákona o účtovníctve a postupov účtovania dvoma spôsobmi, a to ako:</w:t>
      </w:r>
    </w:p>
    <w:p w14:paraId="5158A0A2" w14:textId="77777777" w:rsidR="000A73D8" w:rsidRPr="000F6190" w:rsidRDefault="000A73D8" w:rsidP="000F6190">
      <w:pPr>
        <w:numPr>
          <w:ilvl w:val="0"/>
          <w:numId w:val="40"/>
        </w:numPr>
        <w:suppressAutoHyphens w:val="0"/>
        <w:spacing w:after="0"/>
        <w:rPr>
          <w:rFonts w:eastAsia="Times New Roman"/>
          <w:sz w:val="22"/>
          <w:szCs w:val="22"/>
        </w:rPr>
      </w:pPr>
      <w:r w:rsidRPr="000F6190">
        <w:rPr>
          <w:rFonts w:eastAsia="Times New Roman"/>
          <w:sz w:val="22"/>
          <w:szCs w:val="22"/>
        </w:rPr>
        <w:t>dlhodobý nehmotný majetok,</w:t>
      </w:r>
    </w:p>
    <w:p w14:paraId="501741E4" w14:textId="52E46898" w:rsidR="000A73D8" w:rsidRPr="000F6190" w:rsidRDefault="000A73D8" w:rsidP="000F6190">
      <w:pPr>
        <w:numPr>
          <w:ilvl w:val="0"/>
          <w:numId w:val="40"/>
        </w:numPr>
        <w:suppressAutoHyphens w:val="0"/>
        <w:spacing w:after="0"/>
        <w:rPr>
          <w:rFonts w:eastAsia="Times New Roman"/>
          <w:sz w:val="22"/>
          <w:szCs w:val="22"/>
        </w:rPr>
      </w:pPr>
      <w:r w:rsidRPr="000F6190">
        <w:rPr>
          <w:rFonts w:eastAsia="Times New Roman"/>
          <w:sz w:val="22"/>
          <w:szCs w:val="22"/>
        </w:rPr>
        <w:t>drobný</w:t>
      </w:r>
      <w:r w:rsidR="00E6210B">
        <w:rPr>
          <w:rFonts w:eastAsia="Times New Roman"/>
          <w:sz w:val="22"/>
          <w:szCs w:val="22"/>
        </w:rPr>
        <w:t xml:space="preserve"> dlhodobý</w:t>
      </w:r>
      <w:r w:rsidRPr="000F6190">
        <w:rPr>
          <w:rFonts w:eastAsia="Times New Roman"/>
          <w:sz w:val="22"/>
          <w:szCs w:val="22"/>
        </w:rPr>
        <w:t xml:space="preserve"> nehmotný majetok.</w:t>
      </w:r>
    </w:p>
    <w:p w14:paraId="274795E8" w14:textId="77777777" w:rsidR="000A73D8" w:rsidRPr="000F6190" w:rsidRDefault="000A73D8" w:rsidP="00082548">
      <w:pPr>
        <w:rPr>
          <w:sz w:val="22"/>
          <w:szCs w:val="22"/>
        </w:rPr>
      </w:pPr>
    </w:p>
    <w:p w14:paraId="004EA31A" w14:textId="77777777" w:rsidR="000A73D8" w:rsidRPr="000F6190" w:rsidRDefault="000A73D8" w:rsidP="000F6190">
      <w:pPr>
        <w:ind w:firstLine="708"/>
        <w:rPr>
          <w:sz w:val="22"/>
          <w:szCs w:val="22"/>
        </w:rPr>
      </w:pPr>
      <w:r w:rsidRPr="000F6190">
        <w:rPr>
          <w:sz w:val="22"/>
          <w:szCs w:val="22"/>
        </w:rPr>
        <w:t>Z pohľadu zákona o účtovníctve sa dlhodobý nehmotný majetok účtuje v troch prípadoch:</w:t>
      </w:r>
    </w:p>
    <w:p w14:paraId="63D3CA4D" w14:textId="07A41A2F" w:rsidR="000A73D8" w:rsidRPr="000F6190" w:rsidRDefault="000A73D8" w:rsidP="000F6190">
      <w:pPr>
        <w:numPr>
          <w:ilvl w:val="0"/>
          <w:numId w:val="41"/>
        </w:numPr>
        <w:suppressAutoHyphens w:val="0"/>
        <w:spacing w:after="0"/>
        <w:rPr>
          <w:sz w:val="22"/>
          <w:szCs w:val="22"/>
        </w:rPr>
      </w:pPr>
      <w:r w:rsidRPr="000F6190">
        <w:rPr>
          <w:sz w:val="22"/>
          <w:szCs w:val="22"/>
        </w:rPr>
        <w:t>nehmotný majetok obstaraný odplatne – nehmotný majetok nie je súčasťou dodávky hardvéru a jeho ocenenia alebo je vytvorený vlastnou činnosťou cieľom po užívania pre potreby účtovnej jednotky. V tomto prípade nepôjde o softvér vyhotovený na zákazku alebo ako súčasť dodávky hardvéru;</w:t>
      </w:r>
    </w:p>
    <w:p w14:paraId="4F04CC1B" w14:textId="77777777" w:rsidR="000A73D8" w:rsidRPr="000F6190" w:rsidRDefault="000A73D8" w:rsidP="000F6190">
      <w:pPr>
        <w:numPr>
          <w:ilvl w:val="0"/>
          <w:numId w:val="41"/>
        </w:numPr>
        <w:suppressAutoHyphens w:val="0"/>
        <w:spacing w:after="0"/>
        <w:rPr>
          <w:sz w:val="22"/>
          <w:szCs w:val="22"/>
        </w:rPr>
      </w:pPr>
      <w:r w:rsidRPr="000F6190">
        <w:rPr>
          <w:sz w:val="22"/>
          <w:szCs w:val="22"/>
        </w:rPr>
        <w:t>nehmotný majetok, ktorý má prevádzkovo- technické funkcie alebo jeho použiteľnosť je dlhšia ako jeden rok;</w:t>
      </w:r>
    </w:p>
    <w:p w14:paraId="061711C3" w14:textId="77777777" w:rsidR="000A73D8" w:rsidRPr="000F6190" w:rsidRDefault="000A73D8" w:rsidP="000F6190">
      <w:pPr>
        <w:numPr>
          <w:ilvl w:val="0"/>
          <w:numId w:val="41"/>
        </w:numPr>
        <w:suppressAutoHyphens w:val="0"/>
        <w:spacing w:after="0"/>
        <w:rPr>
          <w:sz w:val="22"/>
          <w:szCs w:val="22"/>
        </w:rPr>
      </w:pPr>
      <w:r w:rsidRPr="000F6190">
        <w:rPr>
          <w:sz w:val="22"/>
          <w:szCs w:val="22"/>
        </w:rPr>
        <w:t>vstupná cena nehmotného majetku, ktorá je vyššia ako 2 400 eur.</w:t>
      </w:r>
    </w:p>
    <w:p w14:paraId="3E11132C" w14:textId="77777777" w:rsidR="000A73D8" w:rsidRPr="000F6190" w:rsidRDefault="000A73D8" w:rsidP="00082548">
      <w:pPr>
        <w:rPr>
          <w:sz w:val="22"/>
          <w:szCs w:val="22"/>
        </w:rPr>
      </w:pPr>
    </w:p>
    <w:p w14:paraId="301954B4" w14:textId="3AFEAE24" w:rsidR="000A73D8" w:rsidRPr="000F6190" w:rsidRDefault="000A73D8" w:rsidP="000F6190">
      <w:pPr>
        <w:ind w:left="708"/>
        <w:rPr>
          <w:sz w:val="22"/>
          <w:szCs w:val="22"/>
        </w:rPr>
      </w:pPr>
      <w:r w:rsidRPr="000F6190">
        <w:rPr>
          <w:sz w:val="22"/>
          <w:szCs w:val="22"/>
        </w:rPr>
        <w:t xml:space="preserve">Podľa osobitných podmienok oprávnenosti výdavkov </w:t>
      </w:r>
      <w:r w:rsidR="005B506C">
        <w:rPr>
          <w:sz w:val="22"/>
          <w:szCs w:val="22"/>
        </w:rPr>
        <w:t>POO</w:t>
      </w:r>
      <w:r w:rsidRPr="000F6190">
        <w:rPr>
          <w:sz w:val="22"/>
          <w:szCs w:val="22"/>
        </w:rPr>
        <w:t xml:space="preserve"> sa dlhodobý nehmotný majetok účtuje na účtoch:</w:t>
      </w:r>
    </w:p>
    <w:p w14:paraId="56D34F70" w14:textId="47CBB4E7" w:rsidR="000A73D8" w:rsidRPr="000F6190" w:rsidRDefault="000A73D8" w:rsidP="000F6190">
      <w:pPr>
        <w:numPr>
          <w:ilvl w:val="0"/>
          <w:numId w:val="42"/>
        </w:numPr>
        <w:suppressAutoHyphens w:val="0"/>
        <w:spacing w:after="0"/>
        <w:rPr>
          <w:rFonts w:eastAsia="Times New Roman"/>
          <w:sz w:val="22"/>
          <w:szCs w:val="22"/>
        </w:rPr>
      </w:pPr>
      <w:r w:rsidRPr="000F6190">
        <w:rPr>
          <w:rFonts w:eastAsia="Times New Roman"/>
          <w:sz w:val="22"/>
          <w:szCs w:val="22"/>
          <w:u w:val="single"/>
        </w:rPr>
        <w:t>013 – Softvér -</w:t>
      </w:r>
      <w:r w:rsidRPr="000F6190">
        <w:rPr>
          <w:rFonts w:eastAsia="Times New Roman"/>
          <w:sz w:val="22"/>
          <w:szCs w:val="22"/>
        </w:rPr>
        <w:t xml:space="preserve"> na tomto účte sa účtuje softvér bez ohľadu na to, či je alebo nie je predmetom autorských práv, ak je obstaraný samostatne, nie je súčasťou dodávky hardvéru a jeho oce</w:t>
      </w:r>
      <w:r w:rsidRPr="000F6190">
        <w:rPr>
          <w:rFonts w:eastAsia="Times New Roman"/>
          <w:color w:val="000000"/>
          <w:sz w:val="22"/>
          <w:szCs w:val="22"/>
        </w:rPr>
        <w:t>ne</w:t>
      </w:r>
      <w:r w:rsidRPr="000F6190">
        <w:rPr>
          <w:rFonts w:eastAsia="Times New Roman"/>
          <w:sz w:val="22"/>
          <w:szCs w:val="22"/>
        </w:rPr>
        <w:t xml:space="preserve">nia alebo je vytvorený vlastnou činnosťou so zámerom používania pre potreby účtovnej jednotky alebo na účely obchodovania s ním. V prípade úplného prevodu práv, kde nadobúdateľ (Prijímateľ NFP) získa majetkové a dispozičné práva k licenciám a Poskytovateľ práv stráca právo na ich používanie, právo udeliť ich tretej osobe užívanie a pod sa výdavok účtuje na 013 Softvér. V tomto prípade sa jedná o predaj duševného vlastníctva vlastníkom. V prípade licenčných  poplatkov je potrebné jasne zadefinovať, či ide o licenčné poplatky za použitie alebo právo na použitie softvéru. Z toho dôvodu je potrebné vychádzať z charakteru platby za zakúpenú licenciu, ktorá bude závisieť od toho, či nadobúdateľ (Prijímateľ </w:t>
      </w:r>
      <w:r w:rsidR="005B506C">
        <w:rPr>
          <w:rFonts w:eastAsia="Times New Roman"/>
          <w:sz w:val="22"/>
          <w:szCs w:val="22"/>
        </w:rPr>
        <w:t>prostriedkov mechanizmu</w:t>
      </w:r>
      <w:r w:rsidRPr="000F6190">
        <w:rPr>
          <w:rFonts w:eastAsia="Times New Roman"/>
          <w:sz w:val="22"/>
          <w:szCs w:val="22"/>
        </w:rPr>
        <w:t>) získa obmedzený alebo úplný prevod práv k zakúpeným licenciám.</w:t>
      </w:r>
    </w:p>
    <w:p w14:paraId="039B518F" w14:textId="77777777" w:rsidR="000A73D8" w:rsidRPr="000F6190" w:rsidRDefault="000A73D8" w:rsidP="000F6190">
      <w:pPr>
        <w:numPr>
          <w:ilvl w:val="0"/>
          <w:numId w:val="42"/>
        </w:numPr>
        <w:suppressAutoHyphens w:val="0"/>
        <w:spacing w:after="0"/>
        <w:rPr>
          <w:rFonts w:eastAsia="Times New Roman"/>
          <w:sz w:val="22"/>
          <w:szCs w:val="22"/>
        </w:rPr>
      </w:pPr>
      <w:r w:rsidRPr="000F6190">
        <w:rPr>
          <w:rFonts w:eastAsia="Times New Roman"/>
          <w:sz w:val="22"/>
          <w:szCs w:val="22"/>
          <w:u w:val="single"/>
        </w:rPr>
        <w:t>014 – Oceniteľné práva</w:t>
      </w:r>
      <w:r w:rsidRPr="000F6190">
        <w:rPr>
          <w:rFonts w:eastAsia="Times New Roman"/>
          <w:sz w:val="22"/>
          <w:szCs w:val="22"/>
        </w:rPr>
        <w:t xml:space="preserve"> – na tomto účte sa účtujú napríklad výrobno-technické poznatky – know-how, licencia, užívacie práva, právo prechodu cez pozemok, vydavateľské práva, vydavateľské tituly, autorské práva, dovozné kvóty a vývozné kvóty, obchodné značky, ochranné známky, receptúry, predmety priemyselných práv a iné výsledky duševnej tvorivej činnosti, ak sa obstarali za odplatu napríklad kúpou, výmenou a nepeňažným vkladom.</w:t>
      </w:r>
    </w:p>
    <w:p w14:paraId="78949491" w14:textId="77777777" w:rsidR="000A73D8" w:rsidRPr="000F6190" w:rsidRDefault="000A73D8" w:rsidP="00082548">
      <w:pPr>
        <w:rPr>
          <w:color w:val="00B050"/>
          <w:sz w:val="22"/>
          <w:szCs w:val="22"/>
        </w:rPr>
      </w:pPr>
    </w:p>
    <w:p w14:paraId="771472A9" w14:textId="77777777" w:rsidR="000A73D8" w:rsidRPr="000F6190" w:rsidRDefault="000A73D8" w:rsidP="000F6190">
      <w:pPr>
        <w:ind w:left="12" w:firstLine="708"/>
        <w:rPr>
          <w:b/>
          <w:bCs/>
          <w:sz w:val="22"/>
          <w:szCs w:val="22"/>
        </w:rPr>
      </w:pPr>
      <w:r w:rsidRPr="000F6190">
        <w:rPr>
          <w:b/>
          <w:bCs/>
          <w:sz w:val="22"/>
          <w:szCs w:val="22"/>
        </w:rPr>
        <w:t>Služby súvisiace so Softvérom sa účtuje na účte:</w:t>
      </w:r>
    </w:p>
    <w:p w14:paraId="667FC47D" w14:textId="3D8D38F1" w:rsidR="000A73D8" w:rsidRPr="000F6190" w:rsidRDefault="000A73D8" w:rsidP="000F6190">
      <w:pPr>
        <w:numPr>
          <w:ilvl w:val="0"/>
          <w:numId w:val="43"/>
        </w:numPr>
        <w:suppressAutoHyphens w:val="0"/>
        <w:spacing w:after="0"/>
        <w:rPr>
          <w:rFonts w:eastAsia="Times New Roman"/>
          <w:sz w:val="22"/>
          <w:szCs w:val="22"/>
        </w:rPr>
      </w:pPr>
      <w:r w:rsidRPr="000F6190">
        <w:rPr>
          <w:rFonts w:eastAsia="Times New Roman"/>
          <w:sz w:val="22"/>
          <w:szCs w:val="22"/>
          <w:u w:val="single"/>
        </w:rPr>
        <w:t>518– Ostatné služby –</w:t>
      </w:r>
      <w:r w:rsidRPr="000F6190">
        <w:rPr>
          <w:rFonts w:eastAsia="Times New Roman"/>
          <w:sz w:val="22"/>
          <w:szCs w:val="22"/>
        </w:rPr>
        <w:t xml:space="preserve"> na tomto účte sa účtuje softvér, vrátane výdavkov na obstaranie licencií súvisiacich s používaním softvéru, ktorý nespĺňa kritériá nehmotného majetku z kapitálových výdavkov a výlučne a bezprostredne súvisí s projektom a jeho cieľmi; výdavky na obstaranie licencií, autorských práv a patentov, ak nespĺňajú kritériá obstarania dlhodobého nehmotného majetku z kapitálových výdavkov. Na tomto účte je možné účtovať Licencie na základe zmluvných podmienok, za ktorých došlo k zakúpeniu licencie - v prípade obmedzeného prevodu práv, kde nadobúdateľ (Prijímateľ </w:t>
      </w:r>
      <w:r w:rsidR="005B506C">
        <w:rPr>
          <w:rFonts w:eastAsia="Times New Roman"/>
          <w:sz w:val="22"/>
          <w:szCs w:val="22"/>
        </w:rPr>
        <w:t>prostriedkov mechanizmu)</w:t>
      </w:r>
      <w:r w:rsidRPr="000F6190">
        <w:rPr>
          <w:rFonts w:eastAsia="Times New Roman"/>
          <w:sz w:val="22"/>
          <w:szCs w:val="22"/>
        </w:rPr>
        <w:t xml:space="preserve"> získava právo na použitie alebo povolenie na výkon práv za určitých podmienok, ktoré sú zmluvne presne špecifikované zvyčajne s vecným, časovým a teritoriálnym obmedzením nie je možné účtovať ako softvér. Úhrady za poskytnutie obmedzených práv k duševnému vlastníctvu sú potom považované za licenčné poplatky. Licenčné poplatky sú oprávneným výdavkom len v čase realizácie aktivít projektu.</w:t>
      </w:r>
    </w:p>
    <w:p w14:paraId="2A18EA07" w14:textId="77777777" w:rsidR="00990105" w:rsidRDefault="00990105" w:rsidP="000A73D8">
      <w:pPr>
        <w:rPr>
          <w:sz w:val="22"/>
          <w:szCs w:val="22"/>
        </w:rPr>
      </w:pPr>
    </w:p>
    <w:p w14:paraId="24B62049" w14:textId="76475871" w:rsidR="000E49F8" w:rsidRPr="000F6190" w:rsidRDefault="00990105" w:rsidP="00990105">
      <w:pPr>
        <w:ind w:left="709"/>
        <w:rPr>
          <w:sz w:val="22"/>
          <w:szCs w:val="22"/>
        </w:rPr>
      </w:pPr>
      <w:r w:rsidRPr="00990105">
        <w:rPr>
          <w:sz w:val="22"/>
          <w:szCs w:val="22"/>
        </w:rPr>
        <w:t xml:space="preserve">Osobitný spôsob vykazovania výdavkov na obstaranie softvéru  (013 Softvér) sa vzťahuje na projekty, v prípade ktorých boli pracovné pozície </w:t>
      </w:r>
      <w:proofErr w:type="spellStart"/>
      <w:r w:rsidRPr="00990105">
        <w:rPr>
          <w:sz w:val="22"/>
          <w:szCs w:val="22"/>
        </w:rPr>
        <w:t>vysúťažené</w:t>
      </w:r>
      <w:proofErr w:type="spellEnd"/>
      <w:r w:rsidRPr="00990105">
        <w:rPr>
          <w:sz w:val="22"/>
          <w:szCs w:val="22"/>
        </w:rPr>
        <w:t xml:space="preserve"> na základe  VO/O (obsahujúce jednotku človekodni) a následne bol v zmysle uvedeného uzavretý zmluvný vzťah s dodávateľom.  Vykazovanie uvedených výdavkov sa realizuje formou Sumarizačných hárkov pracovných výstupov – mzdové výdavky- externé kapacity (príloha č. 2b).</w:t>
      </w:r>
    </w:p>
    <w:p w14:paraId="513741CB" w14:textId="7DAAF6BC" w:rsidR="000E49F8" w:rsidRPr="000F6190" w:rsidRDefault="000E49F8" w:rsidP="00D70EA8">
      <w:pPr>
        <w:pStyle w:val="Odsekzoznamu"/>
        <w:numPr>
          <w:ilvl w:val="0"/>
          <w:numId w:val="33"/>
        </w:numPr>
        <w:ind w:left="426" w:hanging="284"/>
        <w:rPr>
          <w:sz w:val="22"/>
          <w:szCs w:val="22"/>
        </w:rPr>
      </w:pPr>
      <w:r w:rsidRPr="000F6190">
        <w:rPr>
          <w:sz w:val="22"/>
          <w:szCs w:val="22"/>
        </w:rPr>
        <w:t xml:space="preserve">V prípade, ak prijímateľ využíva nadobudnutý majetok (napr. zariadenie, vybavenie) </w:t>
      </w:r>
      <w:r w:rsidRPr="000F6190">
        <w:rPr>
          <w:b/>
          <w:sz w:val="22"/>
          <w:szCs w:val="22"/>
        </w:rPr>
        <w:t>len pre účely projektu</w:t>
      </w:r>
      <w:r w:rsidRPr="000F6190">
        <w:rPr>
          <w:sz w:val="22"/>
          <w:szCs w:val="22"/>
        </w:rPr>
        <w:t>, uplatní si výdavky spojené s ich obstaraním v celkovej výške. Kúpený majetok je nový, nebol používaný a prijímateľ s ním v minulosti žiadnym spôsobom nedisponoval (čo i len sčasti</w:t>
      </w:r>
      <w:r w:rsidR="00337979" w:rsidRPr="000F6190">
        <w:rPr>
          <w:sz w:val="22"/>
          <w:szCs w:val="22"/>
        </w:rPr>
        <w:t>)</w:t>
      </w:r>
      <w:r w:rsidRPr="000F6190">
        <w:rPr>
          <w:sz w:val="22"/>
          <w:szCs w:val="22"/>
        </w:rPr>
        <w:t>, ak bol k dispozícii prijímateľovi.</w:t>
      </w:r>
    </w:p>
    <w:p w14:paraId="4FE3F89D" w14:textId="227BB937" w:rsidR="000E49F8" w:rsidRPr="000F6190" w:rsidRDefault="000E49F8" w:rsidP="00D70EA8">
      <w:pPr>
        <w:pStyle w:val="Odsekzoznamu"/>
        <w:numPr>
          <w:ilvl w:val="0"/>
          <w:numId w:val="33"/>
        </w:numPr>
        <w:ind w:left="426" w:hanging="284"/>
        <w:rPr>
          <w:sz w:val="22"/>
          <w:szCs w:val="22"/>
        </w:rPr>
      </w:pPr>
      <w:r w:rsidRPr="000F6190">
        <w:rPr>
          <w:sz w:val="22"/>
          <w:szCs w:val="22"/>
        </w:rPr>
        <w:t xml:space="preserve">V prípade, že prijímateľ využíva majetok </w:t>
      </w:r>
      <w:r w:rsidRPr="000F6190">
        <w:rPr>
          <w:b/>
          <w:sz w:val="22"/>
          <w:szCs w:val="22"/>
        </w:rPr>
        <w:t>okrem realizácie projektu aj na iné aktivity nesúvisiace s realizáciou projektu</w:t>
      </w:r>
      <w:r w:rsidRPr="000F6190">
        <w:rPr>
          <w:sz w:val="22"/>
          <w:szCs w:val="22"/>
        </w:rPr>
        <w:t>, sú oprávnené len pomerné výdavky na jeho obstaranie</w:t>
      </w:r>
      <w:r w:rsidR="00325B16" w:rsidRPr="000F6190">
        <w:rPr>
          <w:sz w:val="22"/>
          <w:szCs w:val="22"/>
        </w:rPr>
        <w:t xml:space="preserve">. </w:t>
      </w:r>
      <w:r w:rsidRPr="000F6190">
        <w:rPr>
          <w:sz w:val="22"/>
          <w:szCs w:val="22"/>
        </w:rPr>
        <w:t xml:space="preserve"> </w:t>
      </w:r>
    </w:p>
    <w:p w14:paraId="091ABC81" w14:textId="2A885E28" w:rsidR="00D213DB" w:rsidRPr="000F6190" w:rsidRDefault="000E49F8" w:rsidP="00D70EA8">
      <w:pPr>
        <w:pStyle w:val="Odsekzoznamu"/>
        <w:numPr>
          <w:ilvl w:val="0"/>
          <w:numId w:val="33"/>
        </w:numPr>
        <w:ind w:left="426" w:hanging="284"/>
        <w:rPr>
          <w:sz w:val="22"/>
          <w:szCs w:val="22"/>
        </w:rPr>
      </w:pPr>
      <w:r w:rsidRPr="000F6190">
        <w:rPr>
          <w:sz w:val="22"/>
          <w:szCs w:val="22"/>
        </w:rPr>
        <w:t>V prípade projektov spolufinancovaných z</w:t>
      </w:r>
      <w:r w:rsidR="00325B16" w:rsidRPr="000F6190">
        <w:rPr>
          <w:sz w:val="22"/>
          <w:szCs w:val="22"/>
        </w:rPr>
        <w:t> P</w:t>
      </w:r>
      <w:r w:rsidR="006140C8" w:rsidRPr="000F6190">
        <w:rPr>
          <w:sz w:val="22"/>
          <w:szCs w:val="22"/>
        </w:rPr>
        <w:t>OO</w:t>
      </w:r>
      <w:r w:rsidR="00325B16" w:rsidRPr="000F6190">
        <w:rPr>
          <w:sz w:val="22"/>
          <w:szCs w:val="22"/>
        </w:rPr>
        <w:t xml:space="preserve"> </w:t>
      </w:r>
      <w:r w:rsidR="00750256" w:rsidRPr="000F6190">
        <w:rPr>
          <w:sz w:val="22"/>
          <w:szCs w:val="22"/>
        </w:rPr>
        <w:t>je</w:t>
      </w:r>
      <w:r w:rsidRPr="000F6190">
        <w:rPr>
          <w:sz w:val="22"/>
          <w:szCs w:val="22"/>
        </w:rPr>
        <w:t xml:space="preserve"> </w:t>
      </w:r>
      <w:r w:rsidR="00750256" w:rsidRPr="000F6190">
        <w:rPr>
          <w:sz w:val="22"/>
          <w:szCs w:val="22"/>
        </w:rPr>
        <w:t xml:space="preserve">nákup nábytku, vybavenia a vozidiel neoprávnený okrem prípadov, ak je takýto nákup potrebný na dosiahnutie cieľa </w:t>
      </w:r>
      <w:r w:rsidR="001D1992" w:rsidRPr="000F6190">
        <w:rPr>
          <w:sz w:val="22"/>
          <w:szCs w:val="22"/>
        </w:rPr>
        <w:t xml:space="preserve">projektu </w:t>
      </w:r>
      <w:r w:rsidR="00750256" w:rsidRPr="000F6190">
        <w:rPr>
          <w:sz w:val="22"/>
          <w:szCs w:val="22"/>
        </w:rPr>
        <w:t xml:space="preserve">alebo ak sú uvedené </w:t>
      </w:r>
      <w:r w:rsidR="00750256" w:rsidRPr="000F6190">
        <w:rPr>
          <w:sz w:val="22"/>
          <w:szCs w:val="22"/>
        </w:rPr>
        <w:lastRenderedPageBreak/>
        <w:t xml:space="preserve">položky plne odpísané počas </w:t>
      </w:r>
      <w:r w:rsidR="001D1992" w:rsidRPr="000F6190">
        <w:rPr>
          <w:sz w:val="22"/>
          <w:szCs w:val="22"/>
        </w:rPr>
        <w:t>projektu</w:t>
      </w:r>
      <w:r w:rsidR="00750256" w:rsidRPr="000F6190">
        <w:rPr>
          <w:sz w:val="22"/>
          <w:szCs w:val="22"/>
        </w:rPr>
        <w:t>, alebo ak je nákup uvedených položiek najhospodárnejšou možnosťou</w:t>
      </w:r>
      <w:r w:rsidR="00325B16" w:rsidRPr="000F6190">
        <w:rPr>
          <w:sz w:val="22"/>
          <w:szCs w:val="22"/>
        </w:rPr>
        <w:t xml:space="preserve"> a v súlade so zmluvou o PPM</w:t>
      </w:r>
      <w:r w:rsidR="00750256" w:rsidRPr="000F6190">
        <w:rPr>
          <w:sz w:val="22"/>
          <w:szCs w:val="22"/>
        </w:rPr>
        <w:t>.</w:t>
      </w:r>
    </w:p>
    <w:p w14:paraId="44763B51" w14:textId="77777777" w:rsidR="00665DFA" w:rsidRPr="000F6190" w:rsidRDefault="00665DFA" w:rsidP="00665DFA">
      <w:pPr>
        <w:pStyle w:val="Odsekzoznamu"/>
        <w:ind w:left="851"/>
        <w:rPr>
          <w:sz w:val="22"/>
          <w:szCs w:val="22"/>
        </w:rPr>
      </w:pPr>
    </w:p>
    <w:p w14:paraId="5A633D17" w14:textId="4A548CCE" w:rsidR="00FC49E0" w:rsidRPr="000F6190" w:rsidRDefault="009E4210" w:rsidP="00D70EA8">
      <w:pPr>
        <w:pStyle w:val="Nadpis3"/>
        <w:numPr>
          <w:ilvl w:val="2"/>
          <w:numId w:val="35"/>
        </w:numPr>
        <w:pBdr>
          <w:bottom w:val="single" w:sz="4" w:space="1" w:color="auto"/>
        </w:pBdr>
        <w:ind w:left="426" w:hanging="284"/>
        <w:rPr>
          <w:rFonts w:asciiTheme="minorHAnsi" w:hAnsiTheme="minorHAnsi" w:cstheme="minorHAnsi"/>
          <w:b/>
          <w:sz w:val="22"/>
          <w:szCs w:val="22"/>
        </w:rPr>
      </w:pPr>
      <w:bookmarkStart w:id="5" w:name="_Toc118971247"/>
      <w:r w:rsidRPr="000F6190">
        <w:rPr>
          <w:rFonts w:asciiTheme="minorHAnsi" w:hAnsiTheme="minorHAnsi" w:cstheme="minorHAnsi"/>
          <w:b/>
          <w:sz w:val="22"/>
          <w:szCs w:val="22"/>
        </w:rPr>
        <w:t>Nájom a f</w:t>
      </w:r>
      <w:r w:rsidR="00FC49E0" w:rsidRPr="000F6190">
        <w:rPr>
          <w:rFonts w:asciiTheme="minorHAnsi" w:hAnsiTheme="minorHAnsi" w:cstheme="minorHAnsi"/>
          <w:b/>
          <w:sz w:val="22"/>
          <w:szCs w:val="22"/>
        </w:rPr>
        <w:t>inančný prenájom</w:t>
      </w:r>
      <w:bookmarkEnd w:id="5"/>
      <w:r w:rsidR="00FC49E0" w:rsidRPr="000F6190">
        <w:rPr>
          <w:rFonts w:asciiTheme="minorHAnsi" w:hAnsiTheme="minorHAnsi" w:cstheme="minorHAnsi"/>
          <w:b/>
          <w:sz w:val="22"/>
          <w:szCs w:val="22"/>
        </w:rPr>
        <w:t xml:space="preserve"> </w:t>
      </w:r>
    </w:p>
    <w:p w14:paraId="4326C765" w14:textId="37C848EA" w:rsidR="000E200A" w:rsidRPr="000F6190" w:rsidRDefault="00CB2548" w:rsidP="00A907D6">
      <w:pPr>
        <w:pStyle w:val="Bezriadkovania"/>
        <w:jc w:val="both"/>
        <w:rPr>
          <w:rFonts w:asciiTheme="minorHAnsi" w:hAnsiTheme="minorHAnsi" w:cstheme="minorHAnsi"/>
        </w:rPr>
      </w:pPr>
      <w:r w:rsidRPr="000F6190">
        <w:rPr>
          <w:rFonts w:asciiTheme="minorHAnsi" w:hAnsiTheme="minorHAnsi" w:cstheme="minorHAnsi"/>
        </w:rPr>
        <w:t>Nájom je spôsob financovania spočívajúci v</w:t>
      </w:r>
      <w:r w:rsidR="00A907D6" w:rsidRPr="000F6190">
        <w:rPr>
          <w:rFonts w:asciiTheme="minorHAnsi" w:hAnsiTheme="minorHAnsi" w:cstheme="minorHAnsi"/>
        </w:rPr>
        <w:t> nájme/</w:t>
      </w:r>
      <w:r w:rsidRPr="000F6190">
        <w:rPr>
          <w:rFonts w:asciiTheme="minorHAnsi" w:hAnsiTheme="minorHAnsi" w:cstheme="minorHAnsi"/>
        </w:rPr>
        <w:t xml:space="preserve">prenájme </w:t>
      </w:r>
      <w:r w:rsidR="00F40F21" w:rsidRPr="000F6190">
        <w:rPr>
          <w:rFonts w:asciiTheme="minorHAnsi" w:hAnsiTheme="minorHAnsi" w:cstheme="minorHAnsi"/>
        </w:rPr>
        <w:t>pod</w:t>
      </w:r>
      <w:r w:rsidRPr="000F6190">
        <w:rPr>
          <w:rFonts w:asciiTheme="minorHAnsi" w:hAnsiTheme="minorHAnsi" w:cstheme="minorHAnsi"/>
        </w:rPr>
        <w:t xml:space="preserve">nájme predmetu na vopred stanovené obdobie za dohodnutú odmenu, ktorý je v prípade finančného prenájmu spojený s právom či povinnosťou prevodu vlastníctva predmetu </w:t>
      </w:r>
      <w:r w:rsidR="00D516E1" w:rsidRPr="000F6190">
        <w:rPr>
          <w:rFonts w:asciiTheme="minorHAnsi" w:hAnsiTheme="minorHAnsi" w:cstheme="minorHAnsi"/>
        </w:rPr>
        <w:t xml:space="preserve">finančného </w:t>
      </w:r>
      <w:r w:rsidRPr="000F6190">
        <w:rPr>
          <w:rFonts w:asciiTheme="minorHAnsi" w:hAnsiTheme="minorHAnsi" w:cstheme="minorHAnsi"/>
        </w:rPr>
        <w:t>prenájmu na nájomcu v súl</w:t>
      </w:r>
      <w:r w:rsidR="005819A8" w:rsidRPr="000F6190">
        <w:rPr>
          <w:rFonts w:asciiTheme="minorHAnsi" w:hAnsiTheme="minorHAnsi" w:cstheme="minorHAnsi"/>
        </w:rPr>
        <w:t xml:space="preserve">ade s definíciou uvedenou v § 2 </w:t>
      </w:r>
      <w:r w:rsidRPr="000F6190">
        <w:rPr>
          <w:rFonts w:asciiTheme="minorHAnsi" w:hAnsiTheme="minorHAnsi" w:cstheme="minorHAnsi"/>
        </w:rPr>
        <w:t xml:space="preserve">zákona o dani z príjmov. </w:t>
      </w:r>
      <w:r w:rsidR="00DF79D5" w:rsidRPr="000F6190">
        <w:rPr>
          <w:rFonts w:asciiTheme="minorHAnsi" w:hAnsiTheme="minorHAnsi" w:cstheme="minorHAnsi"/>
        </w:rPr>
        <w:t xml:space="preserve">Výdavky na nájom a finančný </w:t>
      </w:r>
      <w:r w:rsidR="00D516E1" w:rsidRPr="000F6190">
        <w:rPr>
          <w:rFonts w:asciiTheme="minorHAnsi" w:hAnsiTheme="minorHAnsi" w:cstheme="minorHAnsi"/>
        </w:rPr>
        <w:t>pre</w:t>
      </w:r>
      <w:r w:rsidR="00DF79D5" w:rsidRPr="000F6190">
        <w:rPr>
          <w:rFonts w:asciiTheme="minorHAnsi" w:hAnsiTheme="minorHAnsi" w:cstheme="minorHAnsi"/>
        </w:rPr>
        <w:t xml:space="preserve">nájom sú oprávnené ak sú nevyhnutné pre realizáciu projektu a v prípade finančného </w:t>
      </w:r>
      <w:r w:rsidR="00D516E1" w:rsidRPr="000F6190">
        <w:rPr>
          <w:rFonts w:asciiTheme="minorHAnsi" w:hAnsiTheme="minorHAnsi" w:cstheme="minorHAnsi"/>
        </w:rPr>
        <w:t>pre</w:t>
      </w:r>
      <w:r w:rsidR="00DF79D5" w:rsidRPr="000F6190">
        <w:rPr>
          <w:rFonts w:asciiTheme="minorHAnsi" w:hAnsiTheme="minorHAnsi" w:cstheme="minorHAnsi"/>
        </w:rPr>
        <w:t xml:space="preserve">nájmu je aj samotný predmet </w:t>
      </w:r>
      <w:r w:rsidR="00D516E1" w:rsidRPr="000F6190">
        <w:rPr>
          <w:rFonts w:asciiTheme="minorHAnsi" w:hAnsiTheme="minorHAnsi" w:cstheme="minorHAnsi"/>
        </w:rPr>
        <w:t>finančného pre</w:t>
      </w:r>
      <w:r w:rsidR="00DF79D5" w:rsidRPr="000F6190">
        <w:rPr>
          <w:rFonts w:asciiTheme="minorHAnsi" w:hAnsiTheme="minorHAnsi" w:cstheme="minorHAnsi"/>
        </w:rPr>
        <w:t>nájmu oprávnený na spolufinancovanie z </w:t>
      </w:r>
      <w:r w:rsidR="00A907D6" w:rsidRPr="000F6190">
        <w:rPr>
          <w:rFonts w:asciiTheme="minorHAnsi" w:hAnsiTheme="minorHAnsi" w:cstheme="minorHAnsi"/>
        </w:rPr>
        <w:t>POO</w:t>
      </w:r>
      <w:r w:rsidR="00DF79D5" w:rsidRPr="000F6190">
        <w:rPr>
          <w:rFonts w:asciiTheme="minorHAnsi" w:hAnsiTheme="minorHAnsi" w:cstheme="minorHAnsi"/>
        </w:rPr>
        <w:t>.</w:t>
      </w:r>
    </w:p>
    <w:p w14:paraId="115209A6" w14:textId="77777777" w:rsidR="00DF79D5" w:rsidRPr="000F6190" w:rsidRDefault="00DF79D5" w:rsidP="00A907D6">
      <w:pPr>
        <w:pStyle w:val="Bezriadkovania"/>
        <w:jc w:val="both"/>
        <w:rPr>
          <w:rFonts w:asciiTheme="minorHAnsi" w:hAnsiTheme="minorHAnsi" w:cstheme="minorHAnsi"/>
        </w:rPr>
      </w:pPr>
      <w:r w:rsidRPr="000F6190">
        <w:rPr>
          <w:rFonts w:asciiTheme="minorHAnsi" w:hAnsiTheme="minorHAnsi" w:cstheme="minorHAnsi"/>
        </w:rPr>
        <w:t>Oprávnenými výdavkami spravidla nie sú:</w:t>
      </w:r>
    </w:p>
    <w:p w14:paraId="5E528FBB" w14:textId="38114495" w:rsidR="00C45320" w:rsidRPr="000F6190" w:rsidRDefault="00E320C3"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 xml:space="preserve">výdavky </w:t>
      </w:r>
      <w:r w:rsidR="00DF79D5" w:rsidRPr="000F6190">
        <w:rPr>
          <w:rFonts w:asciiTheme="minorHAnsi" w:hAnsiTheme="minorHAnsi" w:cstheme="minorHAnsi"/>
        </w:rPr>
        <w:t>finančného prenájmu, keď predmet finančného prenájmu sám nie je oprávneným výdavkom;</w:t>
      </w:r>
    </w:p>
    <w:p w14:paraId="3D253564" w14:textId="030B9B87" w:rsidR="00C45320" w:rsidRPr="000F6190" w:rsidRDefault="00E320C3"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 xml:space="preserve">výdavky </w:t>
      </w:r>
      <w:r w:rsidR="00DF79D5" w:rsidRPr="000F6190">
        <w:rPr>
          <w:rFonts w:asciiTheme="minorHAnsi" w:hAnsiTheme="minorHAnsi" w:cstheme="minorHAnsi"/>
        </w:rPr>
        <w:t xml:space="preserve">finančného prenájmu a nájmu, </w:t>
      </w:r>
      <w:r w:rsidR="009C2674" w:rsidRPr="000F6190">
        <w:rPr>
          <w:rFonts w:asciiTheme="minorHAnsi" w:hAnsiTheme="minorHAnsi" w:cstheme="minorHAnsi"/>
        </w:rPr>
        <w:t xml:space="preserve">ktoré sa vzťahujú na obdobie, počas ktorého nebol predmet </w:t>
      </w:r>
      <w:r w:rsidR="00D516E1" w:rsidRPr="000F6190">
        <w:rPr>
          <w:rFonts w:asciiTheme="minorHAnsi" w:hAnsiTheme="minorHAnsi" w:cstheme="minorHAnsi"/>
        </w:rPr>
        <w:t>finančného prenájmu/</w:t>
      </w:r>
      <w:r w:rsidR="009C2674" w:rsidRPr="000F6190">
        <w:rPr>
          <w:rFonts w:asciiTheme="minorHAnsi" w:hAnsiTheme="minorHAnsi" w:cstheme="minorHAnsi"/>
        </w:rPr>
        <w:t>nájmu pre realizáciu projektu využívaný</w:t>
      </w:r>
      <w:r w:rsidR="000F432A" w:rsidRPr="000F6190">
        <w:rPr>
          <w:rFonts w:asciiTheme="minorHAnsi" w:hAnsiTheme="minorHAnsi" w:cstheme="minorHAnsi"/>
        </w:rPr>
        <w:t>;</w:t>
      </w:r>
    </w:p>
    <w:p w14:paraId="69563EE0" w14:textId="06B2262E" w:rsidR="00DF79D5" w:rsidRPr="000F6190" w:rsidRDefault="000F432A" w:rsidP="00D70EA8">
      <w:pPr>
        <w:pStyle w:val="Bezriadkovania"/>
        <w:numPr>
          <w:ilvl w:val="0"/>
          <w:numId w:val="36"/>
        </w:numPr>
        <w:ind w:left="426" w:hanging="284"/>
        <w:jc w:val="both"/>
        <w:rPr>
          <w:rFonts w:asciiTheme="minorHAnsi" w:hAnsiTheme="minorHAnsi" w:cstheme="minorHAnsi"/>
        </w:rPr>
      </w:pPr>
      <w:r w:rsidRPr="000F6190">
        <w:rPr>
          <w:rFonts w:asciiTheme="minorHAnsi" w:hAnsiTheme="minorHAnsi" w:cstheme="minorHAnsi"/>
        </w:rPr>
        <w:t>splátky úroku a poistného podľa splátkového kalendára v prípade finančného prenájmu</w:t>
      </w:r>
      <w:r w:rsidR="00C45320" w:rsidRPr="000F6190">
        <w:rPr>
          <w:rFonts w:asciiTheme="minorHAnsi" w:hAnsiTheme="minorHAnsi" w:cstheme="minorHAnsi"/>
        </w:rPr>
        <w:t>.</w:t>
      </w:r>
    </w:p>
    <w:p w14:paraId="2D9C0AB5" w14:textId="77777777" w:rsidR="009A77A1" w:rsidRPr="000F6190" w:rsidRDefault="009A77A1" w:rsidP="00A907D6">
      <w:pPr>
        <w:pStyle w:val="Bezriadkovania"/>
        <w:jc w:val="both"/>
        <w:rPr>
          <w:rFonts w:asciiTheme="minorHAnsi" w:hAnsiTheme="minorHAnsi" w:cstheme="minorHAnsi"/>
        </w:rPr>
      </w:pPr>
    </w:p>
    <w:p w14:paraId="3442FF00" w14:textId="387C6B78" w:rsidR="000E200A" w:rsidRPr="000F6190" w:rsidRDefault="00AE13B0" w:rsidP="00A907D6">
      <w:pPr>
        <w:pStyle w:val="Bezriadkovania"/>
        <w:jc w:val="both"/>
        <w:rPr>
          <w:rFonts w:asciiTheme="minorHAnsi" w:hAnsiTheme="minorHAnsi" w:cstheme="minorHAnsi"/>
        </w:rPr>
      </w:pPr>
      <w:r w:rsidRPr="000F6190">
        <w:rPr>
          <w:rFonts w:asciiTheme="minorHAnsi" w:hAnsiTheme="minorHAnsi" w:cstheme="minorHAnsi"/>
        </w:rPr>
        <w:t>Pri finančnom prenájme sú oprávnené daňové odpisy</w:t>
      </w:r>
      <w:r w:rsidRPr="000F6190">
        <w:rPr>
          <w:rStyle w:val="Odkaznapoznmkupodiarou"/>
          <w:rFonts w:asciiTheme="minorHAnsi" w:hAnsiTheme="minorHAnsi" w:cstheme="minorHAnsi"/>
        </w:rPr>
        <w:footnoteReference w:id="2"/>
      </w:r>
      <w:r w:rsidRPr="000F6190">
        <w:rPr>
          <w:rFonts w:asciiTheme="minorHAnsi" w:hAnsiTheme="minorHAnsi" w:cstheme="minorHAnsi"/>
        </w:rPr>
        <w:t xml:space="preserve"> a za obdobie využívania takto obstaraného majetku na účely realizácie projektu a prislúchajúca časť DPH, ktorá nevstupuje do obstarávacej ceny majetku a na ktorú zároveň nevzniká nárok na jej odpočet v zmysle zákona č. 222/2004 Z. z. o dani z pridanej hodnoty v znení neskorších predpisov.</w:t>
      </w:r>
      <w:r w:rsidR="00A907D6" w:rsidRPr="000F6190">
        <w:rPr>
          <w:rFonts w:asciiTheme="minorHAnsi" w:hAnsiTheme="minorHAnsi" w:cstheme="minorHAnsi"/>
        </w:rPr>
        <w:t xml:space="preserve"> </w:t>
      </w:r>
      <w:r w:rsidRPr="000F6190">
        <w:rPr>
          <w:rFonts w:asciiTheme="minorHAnsi" w:hAnsiTheme="minorHAnsi" w:cstheme="minorHAnsi"/>
        </w:rPr>
        <w:t>Oprávneným výdavkom nie je úrok a k nemu prislúchajúca DPH.</w:t>
      </w:r>
      <w:r w:rsidR="00A907D6" w:rsidRPr="000F6190">
        <w:rPr>
          <w:rFonts w:asciiTheme="minorHAnsi" w:hAnsiTheme="minorHAnsi" w:cstheme="minorHAnsi"/>
        </w:rPr>
        <w:t xml:space="preserve"> </w:t>
      </w:r>
      <w:r w:rsidR="000E200A" w:rsidRPr="000F6190">
        <w:rPr>
          <w:rFonts w:asciiTheme="minorHAnsi" w:hAnsiTheme="minorHAnsi" w:cstheme="minorHAnsi"/>
        </w:rPr>
        <w:t xml:space="preserve">Podrobné podmienky oprávnenosti finančného </w:t>
      </w:r>
      <w:r w:rsidR="00D516E1" w:rsidRPr="000F6190">
        <w:rPr>
          <w:rFonts w:asciiTheme="minorHAnsi" w:hAnsiTheme="minorHAnsi" w:cstheme="minorHAnsi"/>
        </w:rPr>
        <w:t>pre</w:t>
      </w:r>
      <w:r w:rsidR="000E200A" w:rsidRPr="000F6190">
        <w:rPr>
          <w:rFonts w:asciiTheme="minorHAnsi" w:hAnsiTheme="minorHAnsi" w:cstheme="minorHAnsi"/>
        </w:rPr>
        <w:t xml:space="preserve">nájmu </w:t>
      </w:r>
      <w:r w:rsidR="00A907D6" w:rsidRPr="000F6190">
        <w:rPr>
          <w:rFonts w:asciiTheme="minorHAnsi" w:hAnsiTheme="minorHAnsi" w:cstheme="minorHAnsi"/>
        </w:rPr>
        <w:t xml:space="preserve">musia byť vopred stanovené vo výzve/priamom vyzvaní a zmluve o PPM. </w:t>
      </w:r>
    </w:p>
    <w:p w14:paraId="64FF0C57" w14:textId="77777777" w:rsidR="00A907D6" w:rsidRPr="000F6190" w:rsidRDefault="00A907D6" w:rsidP="00A907D6">
      <w:pPr>
        <w:pStyle w:val="Bezriadkovania"/>
        <w:jc w:val="both"/>
        <w:rPr>
          <w:rFonts w:asciiTheme="minorHAnsi" w:hAnsiTheme="minorHAnsi" w:cstheme="minorHAnsi"/>
          <w:b/>
        </w:rPr>
      </w:pPr>
    </w:p>
    <w:p w14:paraId="52185B9F" w14:textId="680B5195" w:rsidR="00EF5BF8" w:rsidRPr="000F6190" w:rsidRDefault="00A907D6" w:rsidP="00A907D6">
      <w:pPr>
        <w:pStyle w:val="Bezriadkovania"/>
        <w:jc w:val="both"/>
        <w:rPr>
          <w:rFonts w:asciiTheme="minorHAnsi" w:hAnsiTheme="minorHAnsi" w:cstheme="minorHAnsi"/>
        </w:rPr>
      </w:pPr>
      <w:r w:rsidRPr="000F6190">
        <w:rPr>
          <w:rFonts w:asciiTheme="minorHAnsi" w:hAnsiTheme="minorHAnsi" w:cstheme="minorHAnsi"/>
        </w:rPr>
        <w:t>Oprávnenosť výdavku musí byť stanovená, ktoré predmety je možné financovať formou nájmu, priamo vo výzve/priamom vyzvaní a zmluve o PPM. P</w:t>
      </w:r>
      <w:r w:rsidR="00144E44" w:rsidRPr="000F6190">
        <w:rPr>
          <w:rFonts w:asciiTheme="minorHAnsi" w:hAnsiTheme="minorHAnsi" w:cstheme="minorHAnsi"/>
        </w:rPr>
        <w:t xml:space="preserve">ri  zmluvách o nájme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Pr="000F6190">
        <w:rPr>
          <w:rFonts w:asciiTheme="minorHAnsi" w:hAnsiTheme="minorHAnsi" w:cstheme="minorHAnsi"/>
        </w:rPr>
        <w:t xml:space="preserve">projektu. </w:t>
      </w:r>
      <w:r w:rsidR="00144E44" w:rsidRPr="000F6190">
        <w:rPr>
          <w:rFonts w:asciiTheme="minorHAnsi" w:hAnsiTheme="minorHAnsi" w:cstheme="minorHAnsi"/>
        </w:rPr>
        <w:t>Pri tomto type zmlúv o nájme musí nájomca preukázať, že zmluva bola najhospodárnejšou metódou na získanie zariadenia, t. j. využitie nájmu musí byť finančne najvýhodnejším riešením pre projekt. Z tohto dôvodu nie je oprávneným výdavkom na nájom tá časť výdavkov, o ktorú presahujú výdavky za nájom výšku výdavkov, ktoré by predstavovali obvyklú cenu za nájom rovnakého predmetu, resp. by presiahli bežnú obstarávaciu cenu rovnakého predmetu v danom čase a mieste .</w:t>
      </w:r>
    </w:p>
    <w:p w14:paraId="351A7696" w14:textId="1172F796" w:rsidR="00D95C42" w:rsidRPr="000F6190" w:rsidRDefault="00D95C42" w:rsidP="00C45320">
      <w:pPr>
        <w:rPr>
          <w:sz w:val="22"/>
          <w:szCs w:val="22"/>
        </w:rPr>
      </w:pPr>
    </w:p>
    <w:p w14:paraId="13DAEF9B" w14:textId="6F024A2E" w:rsidR="00FC49E0" w:rsidRPr="000F6190" w:rsidRDefault="00FC49E0"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6" w:name="_Toc118971248"/>
      <w:r w:rsidRPr="000F6190">
        <w:rPr>
          <w:rFonts w:asciiTheme="minorHAnsi" w:hAnsiTheme="minorHAnsi" w:cstheme="minorHAnsi"/>
          <w:b/>
          <w:sz w:val="22"/>
          <w:szCs w:val="22"/>
        </w:rPr>
        <w:t>Odpisy</w:t>
      </w:r>
      <w:bookmarkEnd w:id="6"/>
    </w:p>
    <w:p w14:paraId="6E2A18C0" w14:textId="77777777" w:rsidR="009919EC" w:rsidRPr="000F6190" w:rsidRDefault="000E200A" w:rsidP="00252B2F">
      <w:pPr>
        <w:pStyle w:val="Bezriadkovania"/>
        <w:rPr>
          <w:rFonts w:asciiTheme="minorHAnsi" w:hAnsiTheme="minorHAnsi" w:cstheme="minorHAnsi"/>
        </w:rPr>
      </w:pPr>
      <w:r w:rsidRPr="000F6190">
        <w:rPr>
          <w:rFonts w:asciiTheme="minorHAnsi" w:hAnsiTheme="minorHAnsi" w:cstheme="minorHAnsi"/>
        </w:rPr>
        <w:t xml:space="preserve">Výdavky na odpisy sú oprávnené </w:t>
      </w:r>
      <w:r w:rsidR="009919EC" w:rsidRPr="000F6190">
        <w:rPr>
          <w:rFonts w:asciiTheme="minorHAnsi" w:hAnsiTheme="minorHAnsi" w:cstheme="minorHAnsi"/>
        </w:rPr>
        <w:t xml:space="preserve">ak: </w:t>
      </w:r>
    </w:p>
    <w:p w14:paraId="7405E595" w14:textId="5256FCB9"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 xml:space="preserve">obstaraný odpisovaný majetok (hmotný/nehmotný majetok) </w:t>
      </w:r>
      <w:r w:rsidR="009919EC" w:rsidRPr="000F6190">
        <w:rPr>
          <w:rFonts w:asciiTheme="minorHAnsi" w:hAnsiTheme="minorHAnsi" w:cstheme="minorHAnsi"/>
        </w:rPr>
        <w:t xml:space="preserve">z PPM </w:t>
      </w:r>
      <w:r w:rsidRPr="000F6190">
        <w:rPr>
          <w:rFonts w:asciiTheme="minorHAnsi" w:hAnsiTheme="minorHAnsi" w:cstheme="minorHAnsi"/>
        </w:rPr>
        <w:t>nebol financovaný z grantov financovaných z verejných zdrojov (zdroje EÚ, štátny rozpočet, zdroje obce, VÚC a iné verejné zdroje);</w:t>
      </w:r>
    </w:p>
    <w:p w14:paraId="214587E2" w14:textId="5DA401B4"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sú oprávneným výdavkom počas realizácie projektu za predpokladu, že nákup takéhoto majetku nie je súčasťou oprávnených výdavkov na projekt (prijímateľ si nesmie nárokovať na majetok jeho obstarávaciu cenu, t. j. obstaranie majetku a zároveň aj príslušné odpisy)</w:t>
      </w:r>
      <w:r w:rsidR="00757B3B" w:rsidRPr="000F6190">
        <w:rPr>
          <w:rFonts w:asciiTheme="minorHAnsi" w:hAnsiTheme="minorHAnsi" w:cstheme="minorHAnsi"/>
        </w:rPr>
        <w:t>;</w:t>
      </w:r>
    </w:p>
    <w:p w14:paraId="037A9B3C" w14:textId="70F52EF3" w:rsidR="000E200A" w:rsidRPr="000F6190" w:rsidRDefault="000E200A"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lastRenderedPageBreak/>
        <w:t xml:space="preserve">sú nárokované počas realizácie projektu a iba pre účely projektu, t. j. prijímateľ predloží </w:t>
      </w:r>
      <w:r w:rsidR="009919EC" w:rsidRPr="000F6190">
        <w:rPr>
          <w:rFonts w:asciiTheme="minorHAnsi" w:hAnsiTheme="minorHAnsi" w:cstheme="minorHAnsi"/>
        </w:rPr>
        <w:t>vykonávateľovi</w:t>
      </w:r>
      <w:r w:rsidRPr="000F6190">
        <w:rPr>
          <w:rFonts w:asciiTheme="minorHAnsi" w:hAnsiTheme="minorHAnsi" w:cstheme="minorHAnsi"/>
        </w:rPr>
        <w:t xml:space="preserve"> spôsob výpočtu relevantnej výšky odpisu a za oprávnený výdavok bude považovaná iba proporcionálna časť odpisov vzťahujúca sa na projekt</w:t>
      </w:r>
      <w:r w:rsidR="00757B3B" w:rsidRPr="000F6190">
        <w:rPr>
          <w:rFonts w:asciiTheme="minorHAnsi" w:hAnsiTheme="minorHAnsi" w:cstheme="minorHAnsi"/>
        </w:rPr>
        <w:t>;</w:t>
      </w:r>
    </w:p>
    <w:p w14:paraId="018213DD" w14:textId="34521FBF" w:rsidR="000E200A"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výška</w:t>
      </w:r>
      <w:r w:rsidR="000E200A" w:rsidRPr="000F6190">
        <w:rPr>
          <w:rFonts w:asciiTheme="minorHAnsi" w:hAnsiTheme="minorHAnsi" w:cstheme="minorHAnsi"/>
        </w:rPr>
        <w:t xml:space="preserve"> výdavkov za odpis </w:t>
      </w:r>
      <w:r w:rsidRPr="000F6190">
        <w:rPr>
          <w:rFonts w:asciiTheme="minorHAnsi" w:hAnsiTheme="minorHAnsi" w:cstheme="minorHAnsi"/>
        </w:rPr>
        <w:t>nepresahuje</w:t>
      </w:r>
      <w:r w:rsidR="000E200A" w:rsidRPr="000F6190">
        <w:rPr>
          <w:rFonts w:asciiTheme="minorHAnsi" w:hAnsiTheme="minorHAnsi" w:cstheme="minorHAnsi"/>
        </w:rPr>
        <w:t xml:space="preserve"> </w:t>
      </w:r>
      <w:r w:rsidRPr="000F6190">
        <w:rPr>
          <w:rFonts w:asciiTheme="minorHAnsi" w:hAnsiTheme="minorHAnsi" w:cstheme="minorHAnsi"/>
        </w:rPr>
        <w:t>výšku</w:t>
      </w:r>
      <w:r w:rsidR="000E200A" w:rsidRPr="000F6190">
        <w:rPr>
          <w:rFonts w:asciiTheme="minorHAnsi" w:hAnsiTheme="minorHAnsi" w:cstheme="minorHAnsi"/>
        </w:rPr>
        <w:t xml:space="preserve"> daňového odpisu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w:t>
      </w:r>
      <w:r w:rsidR="00757B3B" w:rsidRPr="000F6190">
        <w:rPr>
          <w:rFonts w:asciiTheme="minorHAnsi" w:hAnsiTheme="minorHAnsi" w:cstheme="minorHAnsi"/>
        </w:rPr>
        <w:t>;</w:t>
      </w:r>
    </w:p>
    <w:p w14:paraId="0607D3CE" w14:textId="7F4160B9" w:rsidR="00B0194B"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vstupná cena, ktorá je základom pre vypočítanie daňových odpisov musí byť pre účely vymedzenia oprávnených výdavkov upravená tak, aby obsahovala iba oprávnené položky</w:t>
      </w:r>
      <w:r w:rsidR="00757B3B" w:rsidRPr="000F6190">
        <w:rPr>
          <w:rFonts w:asciiTheme="minorHAnsi" w:hAnsiTheme="minorHAnsi" w:cstheme="minorHAnsi"/>
        </w:rPr>
        <w:t>;</w:t>
      </w:r>
    </w:p>
    <w:p w14:paraId="2759EC94" w14:textId="2ED13120" w:rsidR="00B0194B" w:rsidRPr="000F6190" w:rsidRDefault="00B0194B" w:rsidP="00D70EA8">
      <w:pPr>
        <w:pStyle w:val="Bezriadkovania"/>
        <w:numPr>
          <w:ilvl w:val="0"/>
          <w:numId w:val="37"/>
        </w:numPr>
        <w:ind w:left="426"/>
        <w:jc w:val="both"/>
        <w:rPr>
          <w:rFonts w:asciiTheme="minorHAnsi" w:hAnsiTheme="minorHAnsi" w:cstheme="minorHAnsi"/>
        </w:rPr>
      </w:pPr>
      <w:r w:rsidRPr="000F6190">
        <w:rPr>
          <w:rFonts w:asciiTheme="minorHAnsi" w:hAnsiTheme="minorHAnsi" w:cstheme="minorHAnsi"/>
        </w:rPr>
        <w:t>oprávnený výdavok na odpisy vznikne až v čase, keď skutočne vznik</w:t>
      </w:r>
      <w:r w:rsidR="00BC00B1" w:rsidRPr="000F6190">
        <w:rPr>
          <w:rFonts w:asciiTheme="minorHAnsi" w:hAnsiTheme="minorHAnsi" w:cstheme="minorHAnsi"/>
        </w:rPr>
        <w:t>ol</w:t>
      </w:r>
      <w:r w:rsidRPr="000F6190">
        <w:rPr>
          <w:rFonts w:asciiTheme="minorHAnsi" w:hAnsiTheme="minorHAnsi" w:cstheme="minorHAnsi"/>
        </w:rPr>
        <w:t xml:space="preserve">, napr. uplynul kalendárny mesiac, ku ktorému je príslušný odpis </w:t>
      </w:r>
      <w:r w:rsidR="00BC00B1" w:rsidRPr="000F6190">
        <w:rPr>
          <w:rFonts w:asciiTheme="minorHAnsi" w:hAnsiTheme="minorHAnsi" w:cstheme="minorHAnsi"/>
        </w:rPr>
        <w:t>zaúčtovaný</w:t>
      </w:r>
      <w:r w:rsidRPr="000F6190">
        <w:rPr>
          <w:rFonts w:asciiTheme="minorHAnsi" w:hAnsiTheme="minorHAnsi" w:cstheme="minorHAnsi"/>
        </w:rPr>
        <w:t>.</w:t>
      </w:r>
    </w:p>
    <w:p w14:paraId="670BF44D" w14:textId="77777777" w:rsidR="001A28EE" w:rsidRPr="000F6190" w:rsidRDefault="001A28EE" w:rsidP="001A28EE">
      <w:pPr>
        <w:rPr>
          <w:color w:val="1F4E79" w:themeColor="accent1" w:themeShade="80"/>
          <w:sz w:val="22"/>
          <w:szCs w:val="22"/>
        </w:rPr>
      </w:pPr>
    </w:p>
    <w:p w14:paraId="7B82A1D0" w14:textId="5BB7922D" w:rsidR="00B0194B" w:rsidRPr="00C9530F" w:rsidRDefault="00B0194B" w:rsidP="00D70EA8">
      <w:pPr>
        <w:pStyle w:val="Nadpis2"/>
        <w:numPr>
          <w:ilvl w:val="2"/>
          <w:numId w:val="35"/>
        </w:numPr>
        <w:pBdr>
          <w:bottom w:val="single" w:sz="4" w:space="1" w:color="auto"/>
        </w:pBdr>
        <w:spacing w:line="240" w:lineRule="auto"/>
        <w:ind w:left="426"/>
        <w:jc w:val="both"/>
        <w:rPr>
          <w:rFonts w:cstheme="minorHAnsi"/>
          <w:b/>
          <w:color w:val="1F4E79" w:themeColor="accent1" w:themeShade="80"/>
          <w:sz w:val="22"/>
          <w:szCs w:val="22"/>
        </w:rPr>
      </w:pPr>
      <w:bookmarkStart w:id="7" w:name="_Toc118971249"/>
      <w:r w:rsidRPr="00C9530F">
        <w:rPr>
          <w:rFonts w:cstheme="minorHAnsi"/>
          <w:b/>
          <w:color w:val="1F4E79" w:themeColor="accent1" w:themeShade="80"/>
          <w:sz w:val="22"/>
          <w:szCs w:val="22"/>
        </w:rPr>
        <w:t>Režijné výdavky</w:t>
      </w:r>
      <w:bookmarkEnd w:id="7"/>
    </w:p>
    <w:p w14:paraId="742CD6F4" w14:textId="77777777" w:rsidR="004479CB" w:rsidRPr="000F6190" w:rsidRDefault="004479CB" w:rsidP="0032650F">
      <w:pPr>
        <w:pStyle w:val="Bezriadkovania"/>
        <w:jc w:val="both"/>
        <w:rPr>
          <w:rFonts w:asciiTheme="minorHAnsi" w:hAnsiTheme="minorHAnsi" w:cstheme="minorHAnsi"/>
        </w:rPr>
      </w:pPr>
      <w:r w:rsidRPr="000F6190">
        <w:rPr>
          <w:rFonts w:asciiTheme="minorHAnsi" w:hAnsiTheme="minorHAnsi" w:cstheme="minorHAnsi"/>
          <w:b/>
        </w:rPr>
        <w:t>Režijné výdavky,</w:t>
      </w:r>
      <w:r w:rsidRPr="000F6190">
        <w:rPr>
          <w:rFonts w:asciiTheme="minorHAnsi" w:hAnsiTheme="minorHAnsi" w:cstheme="minorHAnsi"/>
        </w:rPr>
        <w:t xml:space="preserve"> ktoré sa týkajú všeobecnej prevádzky organizácie bez akejkoľvek príčinnej väzby na projekt, ako aj výdavky zodpovedajúce svojím vymedzením účtovnej kategórii mimoriadnych nákladov, </w:t>
      </w:r>
      <w:r w:rsidRPr="000F6190">
        <w:rPr>
          <w:rFonts w:asciiTheme="minorHAnsi" w:hAnsiTheme="minorHAnsi" w:cstheme="minorHAnsi"/>
          <w:b/>
        </w:rPr>
        <w:t>sú neoprávnenými výdavkami.</w:t>
      </w:r>
    </w:p>
    <w:p w14:paraId="04D7A61C" w14:textId="2CE63F19" w:rsidR="00AF3E6F" w:rsidRPr="000F6190" w:rsidRDefault="00AF3E6F" w:rsidP="0032650F">
      <w:pPr>
        <w:pStyle w:val="Bezriadkovania"/>
        <w:jc w:val="both"/>
        <w:rPr>
          <w:rFonts w:asciiTheme="minorHAnsi" w:hAnsiTheme="minorHAnsi" w:cstheme="minorHAnsi"/>
        </w:rPr>
      </w:pPr>
      <w:r w:rsidRPr="000F6190">
        <w:rPr>
          <w:rFonts w:asciiTheme="minorHAnsi" w:hAnsiTheme="minorHAnsi" w:cstheme="minorHAnsi"/>
        </w:rPr>
        <w:t>Pokiaľ sa režijné výdavky vykazujú iným ako zjednodušeným spôsobom vykazovania výdavkov</w:t>
      </w:r>
      <w:r w:rsidR="00D345AA" w:rsidRPr="000F6190">
        <w:rPr>
          <w:rFonts w:asciiTheme="minorHAnsi" w:hAnsiTheme="minorHAnsi" w:cstheme="minorHAnsi"/>
        </w:rPr>
        <w:t>,</w:t>
      </w:r>
      <w:r w:rsidR="00430472" w:rsidRPr="000F6190">
        <w:rPr>
          <w:rFonts w:asciiTheme="minorHAnsi" w:hAnsiTheme="minorHAnsi" w:cstheme="minorHAnsi"/>
        </w:rPr>
        <w:t xml:space="preserve"> </w:t>
      </w:r>
      <w:r w:rsidR="00D345AA" w:rsidRPr="000F6190">
        <w:rPr>
          <w:rFonts w:asciiTheme="minorHAnsi" w:hAnsiTheme="minorHAnsi" w:cstheme="minorHAnsi"/>
        </w:rPr>
        <w:t>je ich</w:t>
      </w:r>
      <w:r w:rsidRPr="000F6190">
        <w:rPr>
          <w:rFonts w:asciiTheme="minorHAnsi" w:hAnsiTheme="minorHAnsi" w:cstheme="minorHAnsi"/>
        </w:rPr>
        <w:t xml:space="preserve"> výška</w:t>
      </w:r>
      <w:r w:rsidR="00430472" w:rsidRPr="000F6190">
        <w:rPr>
          <w:rFonts w:asciiTheme="minorHAnsi" w:hAnsiTheme="minorHAnsi" w:cstheme="minorHAnsi"/>
        </w:rPr>
        <w:t xml:space="preserve"> </w:t>
      </w:r>
      <w:r w:rsidRPr="000F6190">
        <w:rPr>
          <w:rFonts w:asciiTheme="minorHAnsi" w:hAnsiTheme="minorHAnsi" w:cstheme="minorHAnsi"/>
        </w:rPr>
        <w:t xml:space="preserve">oprávnená maximálne do limitu pre výšku nepriamych výdavkov a  sú oprávnené v súlade s pravidlami pre dodržanie </w:t>
      </w:r>
      <w:r w:rsidR="006A697F" w:rsidRPr="000F6190">
        <w:rPr>
          <w:rFonts w:asciiTheme="minorHAnsi" w:hAnsiTheme="minorHAnsi" w:cstheme="minorHAnsi"/>
        </w:rPr>
        <w:t xml:space="preserve">zásady </w:t>
      </w:r>
      <w:r w:rsidRPr="000F6190">
        <w:rPr>
          <w:rFonts w:asciiTheme="minorHAnsi" w:hAnsiTheme="minorHAnsi" w:cstheme="minorHAnsi"/>
        </w:rPr>
        <w:t>hospodárnosti, efektívnosti, účelnosti a účinnosti nepriamych výdavkov v nadväznosti na cieľ a dĺžku realizácie projektu (napr. spôsob určenia pomernej časti týchto výdavkov vzťahujúcich sa na projekt) stanovenými vo výzve</w:t>
      </w:r>
      <w:r w:rsidR="00E627C4" w:rsidRPr="000F6190">
        <w:rPr>
          <w:rFonts w:asciiTheme="minorHAnsi" w:hAnsiTheme="minorHAnsi" w:cstheme="minorHAnsi"/>
        </w:rPr>
        <w:t>/priamom vyzvaní</w:t>
      </w:r>
      <w:r w:rsidRPr="000F6190">
        <w:rPr>
          <w:rFonts w:asciiTheme="minorHAnsi" w:hAnsiTheme="minorHAnsi" w:cstheme="minorHAnsi"/>
        </w:rPr>
        <w:t>.</w:t>
      </w:r>
      <w:r w:rsidR="00E627C4" w:rsidRPr="000F6190">
        <w:rPr>
          <w:rFonts w:asciiTheme="minorHAnsi" w:hAnsiTheme="minorHAnsi" w:cstheme="minorHAnsi"/>
        </w:rPr>
        <w:t xml:space="preserve"> </w:t>
      </w:r>
    </w:p>
    <w:p w14:paraId="673D1FA2" w14:textId="77777777" w:rsidR="00D66EC9" w:rsidRPr="000F6190" w:rsidRDefault="00E627C4" w:rsidP="00D66EC9">
      <w:pPr>
        <w:pStyle w:val="Bezriadkovania"/>
        <w:jc w:val="both"/>
        <w:rPr>
          <w:rFonts w:asciiTheme="minorHAnsi" w:hAnsiTheme="minorHAnsi" w:cstheme="minorHAnsi"/>
        </w:rPr>
      </w:pPr>
      <w:r w:rsidRPr="000F6190">
        <w:rPr>
          <w:rFonts w:asciiTheme="minorHAnsi" w:hAnsiTheme="minorHAnsi" w:cstheme="minorHAnsi"/>
        </w:rPr>
        <w:t>Režijné výdavky sú nepriame výdavky, ktoré majú charakter bežných výdavkov (prevádzková réžia - ide najmä o výdavky na nájom, vodné a stočné, nákup pohonných hmôt a energie, telekomunikačné služby, internetové pripojenie, upratovanie, údržbu, nákup spotrebného materiálu, mzdové výdavky obslužných zamestnancov).</w:t>
      </w:r>
    </w:p>
    <w:p w14:paraId="1EAB2DB4" w14:textId="77777777" w:rsidR="00D66EC9" w:rsidRPr="000F6190" w:rsidRDefault="00D66EC9" w:rsidP="00D66EC9">
      <w:pPr>
        <w:pStyle w:val="Bezriadkovania"/>
        <w:jc w:val="both"/>
        <w:rPr>
          <w:rFonts w:asciiTheme="minorHAnsi" w:hAnsiTheme="minorHAnsi" w:cstheme="minorHAnsi"/>
        </w:rPr>
      </w:pPr>
    </w:p>
    <w:p w14:paraId="756780E9" w14:textId="370EB8C5" w:rsidR="002D3914" w:rsidRPr="000F6190" w:rsidRDefault="002D3914"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8" w:name="_Toc118971253"/>
      <w:r w:rsidRPr="000F6190">
        <w:rPr>
          <w:rFonts w:asciiTheme="minorHAnsi" w:hAnsiTheme="minorHAnsi" w:cstheme="minorHAnsi"/>
          <w:b/>
          <w:sz w:val="22"/>
          <w:szCs w:val="22"/>
        </w:rPr>
        <w:t>Cestovné náhrady</w:t>
      </w:r>
      <w:bookmarkEnd w:id="8"/>
    </w:p>
    <w:p w14:paraId="143500E3" w14:textId="3DD20BEC" w:rsidR="00D1287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 xml:space="preserve">Výdavky na pracovné cesty a </w:t>
      </w:r>
      <w:r w:rsidR="00237D3C" w:rsidRPr="000F6190">
        <w:rPr>
          <w:rFonts w:asciiTheme="minorHAnsi" w:hAnsiTheme="minorHAnsi" w:cstheme="minorHAnsi"/>
        </w:rPr>
        <w:t xml:space="preserve">zahraničné pracovné cesty </w:t>
      </w:r>
      <w:r w:rsidRPr="000F6190">
        <w:rPr>
          <w:rFonts w:asciiTheme="minorHAnsi" w:hAnsiTheme="minorHAnsi" w:cstheme="minorHAnsi"/>
        </w:rPr>
        <w:t xml:space="preserve">s nimi spojené cestovné náhrady sú oprávnené pokiaľ </w:t>
      </w:r>
      <w:r w:rsidR="00D7733A" w:rsidRPr="000F6190">
        <w:rPr>
          <w:rFonts w:asciiTheme="minorHAnsi" w:hAnsiTheme="minorHAnsi" w:cstheme="minorHAnsi"/>
        </w:rPr>
        <w:t xml:space="preserve">priamo </w:t>
      </w:r>
      <w:r w:rsidRPr="000F6190">
        <w:rPr>
          <w:rFonts w:asciiTheme="minorHAnsi" w:hAnsiTheme="minorHAnsi" w:cstheme="minorHAnsi"/>
        </w:rPr>
        <w:t xml:space="preserve">súvisia s realizáciou projektu, sú pre dosiahnutie cieľov projektu nevyhnutné a zároveň sú vykonané </w:t>
      </w:r>
      <w:r w:rsidR="00D7733A" w:rsidRPr="000F6190">
        <w:rPr>
          <w:rFonts w:asciiTheme="minorHAnsi" w:hAnsiTheme="minorHAnsi" w:cstheme="minorHAnsi"/>
        </w:rPr>
        <w:t xml:space="preserve">priamo </w:t>
      </w:r>
      <w:r w:rsidRPr="000F6190">
        <w:rPr>
          <w:rFonts w:asciiTheme="minorHAnsi" w:hAnsiTheme="minorHAnsi" w:cstheme="minorHAnsi"/>
        </w:rPr>
        <w:t xml:space="preserve">osobami, ktoré sa na realizácii projektu podieľajú alebo sú osobami cieľovej skupiny a zároveň spĺňajú pravidlá hospodárnosti, efektívnosti,  účelnosti a účinnosti. Oprávnenými sú tak </w:t>
      </w:r>
      <w:r w:rsidR="009C2674" w:rsidRPr="000F6190">
        <w:rPr>
          <w:rFonts w:asciiTheme="minorHAnsi" w:hAnsiTheme="minorHAnsi" w:cstheme="minorHAnsi"/>
        </w:rPr>
        <w:t>tuzemské</w:t>
      </w:r>
      <w:r w:rsidRPr="000F6190">
        <w:rPr>
          <w:rFonts w:asciiTheme="minorHAnsi" w:hAnsiTheme="minorHAnsi" w:cstheme="minorHAnsi"/>
        </w:rPr>
        <w:t xml:space="preserve">, ako aj zahraničné </w:t>
      </w:r>
      <w:r w:rsidR="00501CA2" w:rsidRPr="000F6190">
        <w:rPr>
          <w:rFonts w:asciiTheme="minorHAnsi" w:hAnsiTheme="minorHAnsi" w:cstheme="minorHAnsi"/>
        </w:rPr>
        <w:t xml:space="preserve">pracovné </w:t>
      </w:r>
      <w:r w:rsidRPr="000F6190">
        <w:rPr>
          <w:rFonts w:asciiTheme="minorHAnsi" w:hAnsiTheme="minorHAnsi" w:cstheme="minorHAnsi"/>
        </w:rPr>
        <w:t>cesty.</w:t>
      </w:r>
    </w:p>
    <w:p w14:paraId="4103E8B0" w14:textId="4FBA6C38" w:rsidR="002D391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 xml:space="preserve">Výšku náhrad výdavkov vzniknutých v súvislosti s pracovnou cestou upravuje zákon č. 283/2002 Z. z. o cestovných náhradách </w:t>
      </w:r>
      <w:r w:rsidR="0014771B" w:rsidRPr="000F6190">
        <w:rPr>
          <w:rFonts w:asciiTheme="minorHAnsi" w:hAnsiTheme="minorHAnsi" w:cstheme="minorHAnsi"/>
        </w:rPr>
        <w:t xml:space="preserve">v znení neskorších predpisov </w:t>
      </w:r>
      <w:r w:rsidRPr="000F6190">
        <w:rPr>
          <w:rFonts w:asciiTheme="minorHAnsi" w:hAnsiTheme="minorHAnsi" w:cstheme="minorHAnsi"/>
        </w:rPr>
        <w:t>(ďalej len „zákon o cestovných náhradách“)</w:t>
      </w:r>
      <w:r w:rsidR="005E2010" w:rsidRPr="000F6190">
        <w:rPr>
          <w:rFonts w:asciiTheme="minorHAnsi" w:hAnsiTheme="minorHAnsi" w:cstheme="minorHAnsi"/>
        </w:rPr>
        <w:t>, opatrenia vychádzajúce z tohto zákona</w:t>
      </w:r>
      <w:r w:rsidR="006342A2" w:rsidRPr="000F6190">
        <w:rPr>
          <w:rFonts w:asciiTheme="minorHAnsi" w:hAnsiTheme="minorHAnsi" w:cstheme="minorHAnsi"/>
        </w:rPr>
        <w:t xml:space="preserve"> a prípadne interná norma organizácie zamestnávateľa.</w:t>
      </w:r>
      <w:r w:rsidR="000B0B42" w:rsidRPr="000F6190">
        <w:rPr>
          <w:rFonts w:asciiTheme="minorHAnsi" w:hAnsiTheme="minorHAnsi" w:cstheme="minorHAnsi"/>
        </w:rPr>
        <w:t xml:space="preserve"> </w:t>
      </w:r>
    </w:p>
    <w:p w14:paraId="5A9F73EC" w14:textId="387C5269" w:rsidR="002D3914" w:rsidRPr="000F6190" w:rsidRDefault="002D3914" w:rsidP="00D7733A">
      <w:pPr>
        <w:pStyle w:val="Bezriadkovania"/>
        <w:jc w:val="both"/>
        <w:rPr>
          <w:rFonts w:asciiTheme="minorHAnsi" w:hAnsiTheme="minorHAnsi" w:cstheme="minorHAnsi"/>
        </w:rPr>
      </w:pPr>
      <w:r w:rsidRPr="000F6190">
        <w:rPr>
          <w:rFonts w:asciiTheme="minorHAnsi" w:hAnsiTheme="minorHAnsi" w:cstheme="minorHAnsi"/>
        </w:rPr>
        <w:t>Za opráv</w:t>
      </w:r>
      <w:r w:rsidR="004178BE" w:rsidRPr="000F6190">
        <w:rPr>
          <w:rFonts w:asciiTheme="minorHAnsi" w:hAnsiTheme="minorHAnsi" w:cstheme="minorHAnsi"/>
        </w:rPr>
        <w:t>nené výdavky je možné považovať:</w:t>
      </w:r>
    </w:p>
    <w:p w14:paraId="54A95D81" w14:textId="475DBE7B"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cestovných výdavkov;</w:t>
      </w:r>
    </w:p>
    <w:p w14:paraId="201E795D" w14:textId="1F3E36FB"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výdavkov za ubytovanie;</w:t>
      </w:r>
    </w:p>
    <w:p w14:paraId="7696AA40" w14:textId="116A4E72" w:rsidR="004178BE"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stravné;</w:t>
      </w:r>
    </w:p>
    <w:p w14:paraId="0A6D6A63" w14:textId="518A64B4" w:rsidR="00C54743" w:rsidRPr="000F6190" w:rsidRDefault="004178BE"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náhrady preukázaných potrebných vedľajších výdavkov</w:t>
      </w:r>
      <w:r w:rsidR="00C54743" w:rsidRPr="000F6190">
        <w:rPr>
          <w:rFonts w:asciiTheme="minorHAnsi" w:hAnsiTheme="minorHAnsi" w:cstheme="minorHAnsi"/>
        </w:rPr>
        <w:t>;</w:t>
      </w:r>
    </w:p>
    <w:p w14:paraId="064107D5" w14:textId="5B1A008F" w:rsidR="004178BE" w:rsidRPr="000F6190" w:rsidRDefault="00C54743" w:rsidP="00D70EA8">
      <w:pPr>
        <w:pStyle w:val="Bezriadkovania"/>
        <w:numPr>
          <w:ilvl w:val="0"/>
          <w:numId w:val="38"/>
        </w:numPr>
        <w:jc w:val="both"/>
        <w:rPr>
          <w:rFonts w:asciiTheme="minorHAnsi" w:hAnsiTheme="minorHAnsi" w:cstheme="minorHAnsi"/>
        </w:rPr>
      </w:pPr>
      <w:r w:rsidRPr="000F6190">
        <w:rPr>
          <w:rFonts w:asciiTheme="minorHAnsi" w:hAnsiTheme="minorHAnsi" w:cstheme="minorHAnsi"/>
        </w:rPr>
        <w:t>vreckové v prípade zahraničných pracovných ciest</w:t>
      </w:r>
      <w:r w:rsidR="004178BE" w:rsidRPr="000F6190">
        <w:rPr>
          <w:rFonts w:asciiTheme="minorHAnsi" w:hAnsiTheme="minorHAnsi" w:cstheme="minorHAnsi"/>
        </w:rPr>
        <w:t>.</w:t>
      </w:r>
    </w:p>
    <w:p w14:paraId="01A249A9" w14:textId="77777777" w:rsidR="00231C62" w:rsidRPr="000F6190" w:rsidRDefault="00231C62" w:rsidP="00C45320">
      <w:pPr>
        <w:rPr>
          <w:sz w:val="22"/>
          <w:szCs w:val="22"/>
        </w:rPr>
      </w:pPr>
    </w:p>
    <w:p w14:paraId="1A383FFC" w14:textId="62F6659B" w:rsidR="00FC49E0" w:rsidRPr="000F6190" w:rsidRDefault="00FC49E0" w:rsidP="00D70EA8">
      <w:pPr>
        <w:pStyle w:val="Nadpis3"/>
        <w:numPr>
          <w:ilvl w:val="2"/>
          <w:numId w:val="35"/>
        </w:numPr>
        <w:pBdr>
          <w:bottom w:val="single" w:sz="4" w:space="1" w:color="auto"/>
        </w:pBdr>
        <w:ind w:left="426"/>
        <w:rPr>
          <w:rFonts w:asciiTheme="minorHAnsi" w:hAnsiTheme="minorHAnsi" w:cstheme="minorHAnsi"/>
          <w:b/>
          <w:sz w:val="22"/>
          <w:szCs w:val="22"/>
        </w:rPr>
      </w:pPr>
      <w:bookmarkStart w:id="9" w:name="_Toc118971254"/>
      <w:r w:rsidRPr="000F6190">
        <w:rPr>
          <w:rFonts w:asciiTheme="minorHAnsi" w:hAnsiTheme="minorHAnsi" w:cstheme="minorHAnsi"/>
          <w:b/>
          <w:sz w:val="22"/>
          <w:szCs w:val="22"/>
        </w:rPr>
        <w:t>Ostatné výdavky - externé služby</w:t>
      </w:r>
      <w:bookmarkEnd w:id="9"/>
      <w:r w:rsidRPr="000F6190">
        <w:rPr>
          <w:rFonts w:asciiTheme="minorHAnsi" w:hAnsiTheme="minorHAnsi" w:cstheme="minorHAnsi"/>
          <w:b/>
          <w:sz w:val="22"/>
          <w:szCs w:val="22"/>
        </w:rPr>
        <w:t xml:space="preserve"> </w:t>
      </w:r>
    </w:p>
    <w:p w14:paraId="6E1CC829" w14:textId="25E850E1" w:rsidR="00F008EB" w:rsidRPr="000F6190" w:rsidRDefault="00F008EB" w:rsidP="00653204">
      <w:pPr>
        <w:pStyle w:val="Bezriadkovania"/>
        <w:jc w:val="both"/>
        <w:rPr>
          <w:rFonts w:asciiTheme="minorHAnsi" w:hAnsiTheme="minorHAnsi" w:cstheme="minorHAnsi"/>
        </w:rPr>
      </w:pPr>
      <w:r w:rsidRPr="000F6190">
        <w:rPr>
          <w:rFonts w:asciiTheme="minorHAnsi" w:hAnsiTheme="minorHAnsi" w:cstheme="minorHAnsi"/>
        </w:rPr>
        <w:t xml:space="preserve">Externé služby zahŕňajú najrôznejšie </w:t>
      </w:r>
      <w:r w:rsidR="00F02148" w:rsidRPr="000F6190">
        <w:rPr>
          <w:rFonts w:asciiTheme="minorHAnsi" w:hAnsiTheme="minorHAnsi" w:cstheme="minorHAnsi"/>
        </w:rPr>
        <w:t xml:space="preserve">výdavky </w:t>
      </w:r>
      <w:r w:rsidRPr="000F6190">
        <w:rPr>
          <w:rFonts w:asciiTheme="minorHAnsi" w:hAnsiTheme="minorHAnsi" w:cstheme="minorHAnsi"/>
        </w:rPr>
        <w:t xml:space="preserve">podľa typu projektu, ku ktorému sa viažu. Vybrané služby musia prispievať k dosahovaniu cieľov projektu a byť pre jeho realizáciu nevyhnutné. Prijímateľ môže využívať služby dodávateľov v tých prípadoch a pre tie činnosti, keď nie je možné alebo efektívne tieto služby/činnosti zabezpečiť vlastnými </w:t>
      </w:r>
      <w:r w:rsidR="00653204" w:rsidRPr="000F6190">
        <w:rPr>
          <w:rFonts w:asciiTheme="minorHAnsi" w:hAnsiTheme="minorHAnsi" w:cstheme="minorHAnsi"/>
        </w:rPr>
        <w:t xml:space="preserve">internými </w:t>
      </w:r>
      <w:r w:rsidRPr="000F6190">
        <w:rPr>
          <w:rFonts w:asciiTheme="minorHAnsi" w:hAnsiTheme="minorHAnsi" w:cstheme="minorHAnsi"/>
        </w:rPr>
        <w:t>kapacitami. Podmienkou zostáva, že tieto služby musia byť preukázateľne nevyhnutné pre realizáciu projektu.</w:t>
      </w:r>
    </w:p>
    <w:p w14:paraId="494822AE" w14:textId="095026DA" w:rsidR="00F008EB" w:rsidRPr="000F6190" w:rsidRDefault="00F008EB" w:rsidP="00653204">
      <w:pPr>
        <w:pStyle w:val="Bezriadkovania"/>
        <w:jc w:val="both"/>
        <w:rPr>
          <w:rFonts w:asciiTheme="minorHAnsi" w:hAnsiTheme="minorHAnsi" w:cstheme="minorHAnsi"/>
        </w:rPr>
      </w:pPr>
      <w:r w:rsidRPr="000F6190">
        <w:rPr>
          <w:rFonts w:asciiTheme="minorHAnsi" w:hAnsiTheme="minorHAnsi" w:cstheme="minorHAnsi"/>
        </w:rPr>
        <w:lastRenderedPageBreak/>
        <w:t xml:space="preserve">Pri obstarávaní služieb dodávateľov je prijímateľ povinný postupovať v súlade so ZVO </w:t>
      </w:r>
      <w:r w:rsidR="00653204" w:rsidRPr="000F6190">
        <w:rPr>
          <w:rFonts w:asciiTheme="minorHAnsi" w:hAnsiTheme="minorHAnsi" w:cstheme="minorHAnsi"/>
        </w:rPr>
        <w:t xml:space="preserve">, </w:t>
      </w:r>
      <w:proofErr w:type="spellStart"/>
      <w:r w:rsidR="00653204" w:rsidRPr="000F6190">
        <w:rPr>
          <w:rFonts w:asciiTheme="minorHAnsi" w:hAnsiTheme="minorHAnsi" w:cstheme="minorHAnsi"/>
        </w:rPr>
        <w:t>PpP</w:t>
      </w:r>
      <w:proofErr w:type="spellEnd"/>
      <w:r w:rsidR="00653204" w:rsidRPr="000F6190">
        <w:rPr>
          <w:rFonts w:asciiTheme="minorHAnsi" w:hAnsiTheme="minorHAnsi" w:cstheme="minorHAnsi"/>
        </w:rPr>
        <w:t xml:space="preserve"> a zmluvou o PPM. </w:t>
      </w:r>
      <w:r w:rsidRPr="000F6190">
        <w:rPr>
          <w:rFonts w:asciiTheme="minorHAnsi" w:hAnsiTheme="minorHAnsi" w:cstheme="minorHAnsi"/>
        </w:rPr>
        <w:t xml:space="preserve"> </w:t>
      </w:r>
    </w:p>
    <w:p w14:paraId="1A5A79A8" w14:textId="77777777" w:rsidR="00653204" w:rsidRPr="000F6190" w:rsidRDefault="00653204" w:rsidP="00653204">
      <w:pPr>
        <w:pStyle w:val="Bezriadkovania"/>
        <w:jc w:val="both"/>
        <w:rPr>
          <w:rFonts w:asciiTheme="minorHAnsi" w:hAnsiTheme="minorHAnsi" w:cstheme="minorHAnsi"/>
        </w:rPr>
      </w:pPr>
    </w:p>
    <w:p w14:paraId="3E8D63A0" w14:textId="2C882B3D" w:rsidR="00FC49E0" w:rsidRPr="00C9530F" w:rsidRDefault="00FC49E0" w:rsidP="00E20330">
      <w:pPr>
        <w:pStyle w:val="Nadpis3"/>
        <w:numPr>
          <w:ilvl w:val="2"/>
          <w:numId w:val="35"/>
        </w:numPr>
        <w:pBdr>
          <w:bottom w:val="single" w:sz="4" w:space="1" w:color="auto"/>
        </w:pBdr>
        <w:ind w:left="426"/>
        <w:rPr>
          <w:rFonts w:asciiTheme="minorHAnsi" w:hAnsiTheme="minorHAnsi" w:cstheme="minorHAnsi"/>
          <w:b/>
          <w:color w:val="1F4E79" w:themeColor="accent1" w:themeShade="80"/>
          <w:sz w:val="22"/>
          <w:szCs w:val="22"/>
        </w:rPr>
      </w:pPr>
      <w:bookmarkStart w:id="10" w:name="_Toc118971255"/>
      <w:r w:rsidRPr="00C9530F">
        <w:rPr>
          <w:rFonts w:asciiTheme="minorHAnsi" w:hAnsiTheme="minorHAnsi" w:cstheme="minorHAnsi"/>
          <w:b/>
          <w:color w:val="1F4E79" w:themeColor="accent1" w:themeShade="80"/>
          <w:sz w:val="22"/>
          <w:szCs w:val="22"/>
        </w:rPr>
        <w:t>Finančné výdavky a poplatky</w:t>
      </w:r>
      <w:bookmarkEnd w:id="10"/>
    </w:p>
    <w:p w14:paraId="48B0F019" w14:textId="2D4A8EBE" w:rsidR="00FC49E0" w:rsidRPr="000F6190" w:rsidRDefault="00245D8A" w:rsidP="00E84613">
      <w:pPr>
        <w:pStyle w:val="Bezriadkovania"/>
        <w:jc w:val="both"/>
        <w:rPr>
          <w:rFonts w:asciiTheme="minorHAnsi" w:hAnsiTheme="minorHAnsi" w:cstheme="minorHAnsi"/>
        </w:rPr>
      </w:pPr>
      <w:r w:rsidRPr="000F6190">
        <w:rPr>
          <w:rFonts w:asciiTheme="minorHAnsi" w:hAnsiTheme="minorHAnsi" w:cstheme="minorHAnsi"/>
        </w:rPr>
        <w:t xml:space="preserve">Všeobecnou podmienkou oprávnenosti finančných výdavkov a poplatkov je ich nevyhnutnosť a priama väzba na projekt, resp. požiadavka </w:t>
      </w:r>
      <w:r w:rsidR="00D25407" w:rsidRPr="000F6190">
        <w:rPr>
          <w:rFonts w:asciiTheme="minorHAnsi" w:hAnsiTheme="minorHAnsi" w:cstheme="minorHAnsi"/>
        </w:rPr>
        <w:t xml:space="preserve">vykonávateľa </w:t>
      </w:r>
      <w:r w:rsidRPr="000F6190">
        <w:rPr>
          <w:rFonts w:asciiTheme="minorHAnsi" w:hAnsiTheme="minorHAnsi" w:cstheme="minorHAnsi"/>
        </w:rPr>
        <w:t xml:space="preserve">na ich vynaloženie v súvislosti s projektom. Táto podmienka sa vzťahuje aj na poistenie majetku a na správne a miestne poplatky, ako sú napr. notárske poplatky. Konkrétne poplatky, ktoré budú považované za oprávnené výdavky, špecifikuje </w:t>
      </w:r>
      <w:r w:rsidR="00D25407" w:rsidRPr="000F6190">
        <w:rPr>
          <w:rFonts w:asciiTheme="minorHAnsi" w:hAnsiTheme="minorHAnsi" w:cstheme="minorHAnsi"/>
        </w:rPr>
        <w:t xml:space="preserve">vykonávateľ </w:t>
      </w:r>
      <w:r w:rsidRPr="000F6190">
        <w:rPr>
          <w:rFonts w:asciiTheme="minorHAnsi" w:hAnsiTheme="minorHAnsi" w:cstheme="minorHAnsi"/>
        </w:rPr>
        <w:t>v rámci jednotlivých výziev</w:t>
      </w:r>
      <w:r w:rsidR="00D25407" w:rsidRPr="000F6190">
        <w:rPr>
          <w:rFonts w:asciiTheme="minorHAnsi" w:hAnsiTheme="minorHAnsi" w:cstheme="minorHAnsi"/>
        </w:rPr>
        <w:t xml:space="preserve">/priamych vyzvaniach a zmluve o PPM. </w:t>
      </w:r>
      <w:r w:rsidRPr="000F6190">
        <w:rPr>
          <w:rFonts w:asciiTheme="minorHAnsi" w:hAnsiTheme="minorHAnsi" w:cstheme="minorHAnsi"/>
        </w:rPr>
        <w:t>Okrem správnych a miestnych poplatkov s priamou väzbou na projekt, s</w:t>
      </w:r>
      <w:r w:rsidR="005C3090" w:rsidRPr="000F6190">
        <w:rPr>
          <w:rFonts w:asciiTheme="minorHAnsi" w:hAnsiTheme="minorHAnsi" w:cstheme="minorHAnsi"/>
        </w:rPr>
        <w:t>ú oprávnenými výdavkami taktiež výdavky na poistenie majetku spolufinancovaného z</w:t>
      </w:r>
      <w:r w:rsidR="00E84613" w:rsidRPr="000F6190">
        <w:rPr>
          <w:rFonts w:asciiTheme="minorHAnsi" w:hAnsiTheme="minorHAnsi" w:cstheme="minorHAnsi"/>
        </w:rPr>
        <w:t xml:space="preserve"> POO </w:t>
      </w:r>
      <w:r w:rsidR="005C3090" w:rsidRPr="000F6190">
        <w:rPr>
          <w:rFonts w:asciiTheme="minorHAnsi" w:hAnsiTheme="minorHAnsi" w:cstheme="minorHAnsi"/>
        </w:rPr>
        <w:t>a napríklad bankové poplatky</w:t>
      </w:r>
      <w:r w:rsidR="00120CF2" w:rsidRPr="000F6190">
        <w:rPr>
          <w:rFonts w:asciiTheme="minorHAnsi" w:hAnsiTheme="minorHAnsi" w:cstheme="minorHAnsi"/>
        </w:rPr>
        <w:t xml:space="preserve"> súvisiace s projektom</w:t>
      </w:r>
      <w:r w:rsidR="005C3090" w:rsidRPr="000F6190">
        <w:rPr>
          <w:rFonts w:asciiTheme="minorHAnsi" w:hAnsiTheme="minorHAnsi" w:cstheme="minorHAnsi"/>
        </w:rPr>
        <w:t>.</w:t>
      </w:r>
    </w:p>
    <w:p w14:paraId="042E5667" w14:textId="77777777" w:rsidR="00E84613" w:rsidRPr="000F6190" w:rsidRDefault="00E84613" w:rsidP="00E84613">
      <w:pPr>
        <w:pStyle w:val="Bezriadkovania"/>
        <w:jc w:val="both"/>
        <w:rPr>
          <w:rFonts w:asciiTheme="minorHAnsi" w:hAnsiTheme="minorHAnsi" w:cstheme="minorHAnsi"/>
          <w:b/>
        </w:rPr>
      </w:pPr>
    </w:p>
    <w:p w14:paraId="07D1810E" w14:textId="6760B5E1" w:rsidR="005C3090" w:rsidRPr="000F6190" w:rsidRDefault="005C3090" w:rsidP="00E84613">
      <w:pPr>
        <w:pStyle w:val="Bezriadkovania"/>
        <w:jc w:val="both"/>
        <w:rPr>
          <w:rFonts w:asciiTheme="minorHAnsi" w:hAnsiTheme="minorHAnsi" w:cstheme="minorHAnsi"/>
        </w:rPr>
      </w:pPr>
      <w:r w:rsidRPr="000F6190">
        <w:rPr>
          <w:rFonts w:asciiTheme="minorHAnsi" w:hAnsiTheme="minorHAnsi" w:cstheme="minorHAnsi"/>
          <w:b/>
        </w:rPr>
        <w:t>Neoprávnenými výdavkami sú najmä</w:t>
      </w:r>
      <w:r w:rsidRPr="000F6190">
        <w:rPr>
          <w:rFonts w:asciiTheme="minorHAnsi" w:hAnsiTheme="minorHAnsi" w:cstheme="minorHAnsi"/>
        </w:rPr>
        <w:t>:</w:t>
      </w:r>
    </w:p>
    <w:p w14:paraId="6572D3D7" w14:textId="731C8244"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správne a miestne poplatky, ktoré nemajú priamu väzbu na projekt</w:t>
      </w:r>
      <w:r w:rsidR="00E84613" w:rsidRPr="000F6190">
        <w:rPr>
          <w:rFonts w:asciiTheme="minorHAnsi" w:hAnsiTheme="minorHAnsi" w:cstheme="minorHAnsi"/>
        </w:rPr>
        <w:t>;</w:t>
      </w:r>
    </w:p>
    <w:p w14:paraId="0135C7C9" w14:textId="1CF3F4A2"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výdavky na právne služby prijímateľa voči </w:t>
      </w:r>
      <w:r w:rsidR="00E84613" w:rsidRPr="000F6190">
        <w:rPr>
          <w:rFonts w:asciiTheme="minorHAnsi" w:hAnsiTheme="minorHAnsi" w:cstheme="minorHAnsi"/>
        </w:rPr>
        <w:t>vykonávateľovi</w:t>
      </w:r>
      <w:r w:rsidRPr="000F6190">
        <w:rPr>
          <w:rFonts w:asciiTheme="minorHAnsi" w:hAnsiTheme="minorHAnsi" w:cstheme="minorHAnsi"/>
        </w:rPr>
        <w:t xml:space="preserve"> (napr. vypracovanie stanoviska);</w:t>
      </w:r>
    </w:p>
    <w:p w14:paraId="073E13FC" w14:textId="4262EDE2"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sankčné poplatky, pokuty  a penále, prípadne ďalšie sankčné výdavky, či už dohodnuté v zmluvách alebo vzniknuté z iných príčin; </w:t>
      </w:r>
    </w:p>
    <w:p w14:paraId="7391533B" w14:textId="0286331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manká a škody;</w:t>
      </w:r>
    </w:p>
    <w:p w14:paraId="2932FBFA" w14:textId="217B519F"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úroky z úverov</w:t>
      </w:r>
      <w:r w:rsidR="005E5877" w:rsidRPr="000F6190">
        <w:rPr>
          <w:rFonts w:asciiTheme="minorHAnsi" w:hAnsiTheme="minorHAnsi" w:cstheme="minorHAnsi"/>
        </w:rPr>
        <w:t xml:space="preserve"> a pôžičiek</w:t>
      </w:r>
      <w:r w:rsidRPr="000F6190">
        <w:rPr>
          <w:rFonts w:asciiTheme="minorHAnsi" w:hAnsiTheme="minorHAnsi" w:cstheme="minorHAnsi"/>
        </w:rPr>
        <w:t>;</w:t>
      </w:r>
    </w:p>
    <w:p w14:paraId="12F700AE" w14:textId="6EBC1C30" w:rsidR="005E5877" w:rsidRPr="000F6190" w:rsidRDefault="005E5877"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úroky z dlžných súm, s výnimkou tých, ktoré sa týkajú grantov poskytnutých vo forme úrokových dotácií alebo dotácií na záručné poplatky;</w:t>
      </w:r>
    </w:p>
    <w:p w14:paraId="23F97984" w14:textId="725A4F0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dary;</w:t>
      </w:r>
    </w:p>
    <w:p w14:paraId="5D234F55" w14:textId="50AD730E" w:rsidR="005C3090" w:rsidRPr="000F6190" w:rsidRDefault="005C3090" w:rsidP="00E84613">
      <w:pPr>
        <w:pStyle w:val="Bezriadkovania"/>
        <w:numPr>
          <w:ilvl w:val="0"/>
          <w:numId w:val="39"/>
        </w:numPr>
        <w:ind w:left="426"/>
        <w:jc w:val="both"/>
        <w:rPr>
          <w:rFonts w:asciiTheme="minorHAnsi" w:hAnsiTheme="minorHAnsi" w:cstheme="minorHAnsi"/>
        </w:rPr>
      </w:pPr>
      <w:r w:rsidRPr="000F6190">
        <w:rPr>
          <w:rFonts w:asciiTheme="minorHAnsi" w:hAnsiTheme="minorHAnsi" w:cstheme="minorHAnsi"/>
        </w:rPr>
        <w:t xml:space="preserve">poplatky, resp. iné výdavky prijímateľa (vrátane prípadných kurzových strát), ktoré vznikajú z dôvodu vedenia účtu na príjem </w:t>
      </w:r>
      <w:r w:rsidR="00E84613" w:rsidRPr="000F6190">
        <w:rPr>
          <w:rFonts w:asciiTheme="minorHAnsi" w:hAnsiTheme="minorHAnsi" w:cstheme="minorHAnsi"/>
        </w:rPr>
        <w:t xml:space="preserve">PPM </w:t>
      </w:r>
      <w:r w:rsidRPr="000F6190">
        <w:rPr>
          <w:rFonts w:asciiTheme="minorHAnsi" w:hAnsiTheme="minorHAnsi" w:cstheme="minorHAnsi"/>
        </w:rPr>
        <w:t>v zahraničí.</w:t>
      </w:r>
    </w:p>
    <w:p w14:paraId="0CB3A84D" w14:textId="77777777" w:rsidR="00553D65" w:rsidRPr="000F6190" w:rsidRDefault="00553D65" w:rsidP="00E84613">
      <w:pPr>
        <w:pStyle w:val="Bezriadkovania"/>
        <w:jc w:val="both"/>
        <w:rPr>
          <w:rFonts w:asciiTheme="minorHAnsi" w:hAnsiTheme="minorHAnsi" w:cstheme="minorHAnsi"/>
          <w:b/>
        </w:rPr>
      </w:pPr>
    </w:p>
    <w:p w14:paraId="42D7FC35" w14:textId="0FA36E58" w:rsidR="00EA689F" w:rsidRPr="006622E7" w:rsidRDefault="00F02148" w:rsidP="00C8234B">
      <w:pPr>
        <w:pStyle w:val="Bezriadkovania"/>
        <w:jc w:val="both"/>
        <w:rPr>
          <w:sz w:val="20"/>
          <w:szCs w:val="20"/>
        </w:rPr>
      </w:pPr>
      <w:r w:rsidRPr="000F6190">
        <w:rPr>
          <w:rFonts w:asciiTheme="minorHAnsi" w:hAnsiTheme="minorHAnsi" w:cstheme="minorHAnsi"/>
        </w:rPr>
        <w:t>Odporúčané  doklady preukazujúce oprávnenosť výdavkov:</w:t>
      </w:r>
      <w:r w:rsidR="00EE1B51" w:rsidRPr="000F6190">
        <w:rPr>
          <w:rFonts w:asciiTheme="minorHAnsi" w:hAnsiTheme="minorHAnsi" w:cstheme="minorHAnsi"/>
          <w:b/>
        </w:rPr>
        <w:t xml:space="preserve"> </w:t>
      </w:r>
      <w:r w:rsidRPr="000F6190">
        <w:rPr>
          <w:rFonts w:asciiTheme="minorHAnsi" w:hAnsiTheme="minorHAnsi" w:cstheme="minorHAnsi"/>
        </w:rPr>
        <w:t>Výdavky na bankové poplatky (t. 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r w:rsidR="00EE1B51" w:rsidRPr="000F6190">
        <w:rPr>
          <w:rFonts w:asciiTheme="minorHAnsi" w:hAnsiTheme="minorHAnsi" w:cstheme="minorHAnsi"/>
        </w:rPr>
        <w:t xml:space="preserve"> P</w:t>
      </w:r>
      <w:r w:rsidRPr="000F6190">
        <w:rPr>
          <w:rFonts w:asciiTheme="minorHAnsi" w:hAnsiTheme="minorHAnsi" w:cstheme="minorHAnsi"/>
        </w:rPr>
        <w:t>ri poistení majetku  zmluv</w:t>
      </w:r>
      <w:r w:rsidR="00FD0322" w:rsidRPr="000F6190">
        <w:rPr>
          <w:rFonts w:asciiTheme="minorHAnsi" w:hAnsiTheme="minorHAnsi" w:cstheme="minorHAnsi"/>
        </w:rPr>
        <w:t>a</w:t>
      </w:r>
      <w:r w:rsidRPr="000F6190">
        <w:rPr>
          <w:rFonts w:asciiTheme="minorHAnsi" w:hAnsiTheme="minorHAnsi" w:cstheme="minorHAnsi"/>
        </w:rPr>
        <w:t xml:space="preserve"> o poistení majetku</w:t>
      </w:r>
      <w:r w:rsidR="00EE1B51" w:rsidRPr="000F6190">
        <w:rPr>
          <w:rFonts w:asciiTheme="minorHAnsi" w:hAnsiTheme="minorHAnsi" w:cstheme="minorHAnsi"/>
        </w:rPr>
        <w:t xml:space="preserve"> a doklad o zaplatení poistného a </w:t>
      </w:r>
      <w:r w:rsidRPr="000F6190">
        <w:rPr>
          <w:rFonts w:asciiTheme="minorHAnsi" w:hAnsiTheme="minorHAnsi" w:cstheme="minorHAnsi"/>
        </w:rPr>
        <w:t>v prípade iných poplatkov doklad</w:t>
      </w:r>
      <w:r w:rsidR="00FD0322" w:rsidRPr="000F6190">
        <w:rPr>
          <w:rFonts w:asciiTheme="minorHAnsi" w:hAnsiTheme="minorHAnsi" w:cstheme="minorHAnsi"/>
        </w:rPr>
        <w:t>y</w:t>
      </w:r>
      <w:r w:rsidRPr="000F6190">
        <w:rPr>
          <w:rFonts w:asciiTheme="minorHAnsi" w:hAnsiTheme="minorHAnsi" w:cstheme="minorHAnsi"/>
        </w:rPr>
        <w:t xml:space="preserve"> preukazujúc</w:t>
      </w:r>
      <w:r w:rsidR="00FD0322" w:rsidRPr="000F6190">
        <w:rPr>
          <w:rFonts w:asciiTheme="minorHAnsi" w:hAnsiTheme="minorHAnsi" w:cstheme="minorHAnsi"/>
        </w:rPr>
        <w:t>e</w:t>
      </w:r>
      <w:r w:rsidRPr="000F6190">
        <w:rPr>
          <w:rFonts w:asciiTheme="minorHAnsi" w:hAnsiTheme="minorHAnsi" w:cstheme="minorHAnsi"/>
        </w:rPr>
        <w:t xml:space="preserve"> tak výšku výdavkov, ako aj ich uhradeni</w:t>
      </w:r>
      <w:r w:rsidRPr="006622E7">
        <w:rPr>
          <w:sz w:val="20"/>
          <w:szCs w:val="20"/>
        </w:rPr>
        <w:t>e.</w:t>
      </w:r>
    </w:p>
    <w:sectPr w:rsidR="00EA689F" w:rsidRPr="006622E7" w:rsidSect="00912129">
      <w:footerReference w:type="default" r:id="rId8"/>
      <w:headerReference w:type="first" r:id="rId9"/>
      <w:pgSz w:w="11906" w:h="16838"/>
      <w:pgMar w:top="1218" w:right="1133" w:bottom="993" w:left="1276" w:header="340" w:footer="1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ED91C" w14:textId="77777777" w:rsidR="0010661A" w:rsidRDefault="0010661A" w:rsidP="00D5790C">
      <w:r>
        <w:separator/>
      </w:r>
    </w:p>
    <w:p w14:paraId="527C116A" w14:textId="77777777" w:rsidR="0010661A" w:rsidRDefault="0010661A" w:rsidP="00D5790C"/>
    <w:p w14:paraId="7CB4EE4A" w14:textId="77777777" w:rsidR="0010661A" w:rsidRDefault="0010661A" w:rsidP="00D5790C"/>
  </w:endnote>
  <w:endnote w:type="continuationSeparator" w:id="0">
    <w:p w14:paraId="14B4C58A" w14:textId="77777777" w:rsidR="0010661A" w:rsidRDefault="0010661A" w:rsidP="00D5790C">
      <w:r>
        <w:continuationSeparator/>
      </w:r>
    </w:p>
    <w:p w14:paraId="760AFFB8" w14:textId="77777777" w:rsidR="0010661A" w:rsidRDefault="0010661A" w:rsidP="00D5790C"/>
    <w:p w14:paraId="1F0125B7" w14:textId="77777777" w:rsidR="0010661A" w:rsidRDefault="0010661A"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897964"/>
      <w:docPartObj>
        <w:docPartGallery w:val="Page Numbers (Bottom of Page)"/>
        <w:docPartUnique/>
      </w:docPartObj>
    </w:sdtPr>
    <w:sdtEndPr/>
    <w:sdtContent>
      <w:p w14:paraId="57B644C8" w14:textId="2DAE671F" w:rsidR="006F13D8" w:rsidRDefault="006F13D8" w:rsidP="009C2536">
        <w:pPr>
          <w:pStyle w:val="Pta"/>
          <w:jc w:val="center"/>
        </w:pPr>
        <w:r>
          <w:fldChar w:fldCharType="begin"/>
        </w:r>
        <w:r>
          <w:instrText>PAGE   \* MERGEFORMAT</w:instrText>
        </w:r>
        <w:r>
          <w:fldChar w:fldCharType="separate"/>
        </w:r>
        <w:r w:rsidR="006F579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14BE2" w14:textId="77777777" w:rsidR="0010661A" w:rsidRDefault="0010661A" w:rsidP="00D5790C">
      <w:r>
        <w:separator/>
      </w:r>
    </w:p>
    <w:p w14:paraId="31390AB9" w14:textId="77777777" w:rsidR="0010661A" w:rsidRDefault="0010661A" w:rsidP="00D5790C"/>
    <w:p w14:paraId="745D2B14" w14:textId="77777777" w:rsidR="0010661A" w:rsidRDefault="0010661A" w:rsidP="00D5790C"/>
  </w:footnote>
  <w:footnote w:type="continuationSeparator" w:id="0">
    <w:p w14:paraId="088C0BEB" w14:textId="77777777" w:rsidR="0010661A" w:rsidRDefault="0010661A" w:rsidP="00D5790C">
      <w:r>
        <w:continuationSeparator/>
      </w:r>
    </w:p>
    <w:p w14:paraId="7FB1D9BC" w14:textId="77777777" w:rsidR="0010661A" w:rsidRDefault="0010661A" w:rsidP="00D5790C"/>
    <w:p w14:paraId="64FAF74F" w14:textId="77777777" w:rsidR="0010661A" w:rsidRDefault="0010661A" w:rsidP="00D5790C"/>
  </w:footnote>
  <w:footnote w:id="1">
    <w:p w14:paraId="272FA42F" w14:textId="1A51FAAE" w:rsidR="00B22946" w:rsidRPr="000F6190" w:rsidRDefault="00B22946" w:rsidP="00B22946">
      <w:pPr>
        <w:pStyle w:val="Textpoznmkypodiarou"/>
        <w:rPr>
          <w:rFonts w:asciiTheme="minorHAnsi" w:hAnsiTheme="minorHAnsi" w:cstheme="minorHAnsi"/>
        </w:rPr>
      </w:pPr>
      <w:r w:rsidRPr="000F6190">
        <w:rPr>
          <w:rStyle w:val="Odkaznapoznmkupodiarou"/>
          <w:rFonts w:asciiTheme="minorHAnsi" w:hAnsiTheme="minorHAnsi" w:cstheme="minorHAnsi"/>
        </w:rPr>
        <w:footnoteRef/>
      </w:r>
      <w:r w:rsidRPr="000F6190">
        <w:rPr>
          <w:rFonts w:asciiTheme="minorHAnsi" w:hAnsiTheme="minorHAnsi" w:cstheme="minorHAnsi"/>
        </w:rPr>
        <w:t xml:space="preserve"> Uvedené platí pre subjekty verejnej správy, ktoré aplikujú ekonomickú klasifikáciu rozpočtovej klasifikácie.</w:t>
      </w:r>
    </w:p>
  </w:footnote>
  <w:footnote w:id="2">
    <w:p w14:paraId="4F41F2A6" w14:textId="594F7AA1" w:rsidR="006F13D8" w:rsidRPr="00252B2F" w:rsidRDefault="006F13D8" w:rsidP="00AE13B0">
      <w:pPr>
        <w:pStyle w:val="Textpoznmkypodiarou"/>
        <w:rPr>
          <w:sz w:val="16"/>
          <w:szCs w:val="16"/>
        </w:rPr>
      </w:pPr>
      <w:r w:rsidRPr="00252B2F">
        <w:rPr>
          <w:rStyle w:val="Odkaznapoznmkupodiarou"/>
          <w:rFonts w:eastAsiaTheme="majorEastAsia"/>
          <w:sz w:val="16"/>
          <w:szCs w:val="16"/>
        </w:rPr>
        <w:footnoteRef/>
      </w:r>
      <w:r w:rsidRPr="00252B2F">
        <w:rPr>
          <w:sz w:val="16"/>
          <w:szCs w:val="16"/>
        </w:rPr>
        <w:t xml:space="preserve"> § 24 až 29 zákona č. 595/2013 Z. z. o dani z príjmov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DC147" w14:textId="77777777" w:rsidR="006F13D8" w:rsidRPr="00566EF7" w:rsidRDefault="006F13D8" w:rsidP="00B24447">
    <w:pPr>
      <w:pStyle w:val="Hlavika"/>
      <w:spacing w:after="0"/>
      <w:rPr>
        <w:rFonts w:ascii="Calibri" w:hAnsi="Calibri" w:cs="Calibri"/>
        <w:sz w:val="20"/>
      </w:rPr>
    </w:pPr>
    <w:r>
      <w:rPr>
        <w:noProof/>
        <w:lang w:eastAsia="sk-SK"/>
      </w:rPr>
      <w:drawing>
        <wp:inline distT="0" distB="0" distL="0" distR="0" wp14:anchorId="684D7EB3" wp14:editId="00027DE3">
          <wp:extent cx="5760085" cy="771958"/>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5760085" cy="771958"/>
                  </a:xfrm>
                  <a:prstGeom prst="rect">
                    <a:avLst/>
                  </a:prstGeom>
                </pic:spPr>
              </pic:pic>
            </a:graphicData>
          </a:graphic>
        </wp:inline>
      </w:drawing>
    </w:r>
    <w:r>
      <w:t xml:space="preserve">         </w:t>
    </w:r>
    <w:r>
      <w:rPr>
        <w:b/>
        <w:lang w:val="en-GB"/>
      </w:rPr>
      <w:t xml:space="preserve">                             </w:t>
    </w:r>
    <w:r>
      <w:rPr>
        <w:b/>
        <w:lang w:val="en-GB"/>
      </w:rPr>
      <w:tab/>
      <w:t xml:space="preserve">                                                                                                                                </w:t>
    </w:r>
    <w:r>
      <w:rPr>
        <w:rFonts w:cs="Arial"/>
        <w:color w:val="000080"/>
        <w:sz w:val="19"/>
        <w:szCs w:val="19"/>
      </w:rPr>
      <w:t xml:space="preserve">                                                                                                                  </w:t>
    </w:r>
    <w:r>
      <w:rPr>
        <w:b/>
        <w:lang w:val="en-GB"/>
      </w:rPr>
      <w:t xml:space="preserve">                            </w:t>
    </w:r>
    <w:r w:rsidRPr="00DB28EA">
      <w:rPr>
        <w:rFonts w:ascii="Calibri" w:hAnsi="Calibri" w:cs="Calibri"/>
        <w:sz w:val="20"/>
      </w:rPr>
      <w:t>Príručka pre prijímateľa prostriedkov mechanizmu na podporu obnovy a odolnosti</w:t>
    </w:r>
  </w:p>
  <w:p w14:paraId="5D154467" w14:textId="6CED6943" w:rsidR="006F13D8" w:rsidRDefault="006F13D8" w:rsidP="00B24447">
    <w:pPr>
      <w:pStyle w:val="Hlavika"/>
      <w:spacing w:after="0"/>
    </w:pPr>
    <w:r>
      <w:rPr>
        <w:rFonts w:eastAsiaTheme="minorHAnsi" w:cs="Calibri"/>
        <w:b/>
        <w:sz w:val="20"/>
        <w:szCs w:val="22"/>
      </w:rPr>
      <w:t>Príloha 1</w:t>
    </w:r>
    <w:r w:rsidR="00432D32">
      <w:rPr>
        <w:rFonts w:eastAsiaTheme="minorHAnsi" w:cs="Calibri"/>
        <w:b/>
        <w:sz w:val="20"/>
        <w:szCs w:val="22"/>
      </w:rPr>
      <w:t>0</w:t>
    </w:r>
    <w:r w:rsidRPr="000869AF">
      <w:rPr>
        <w:rFonts w:eastAsiaTheme="minorHAnsi" w:cs="Calibri"/>
        <w:b/>
        <w:sz w:val="20"/>
        <w:szCs w:val="22"/>
      </w:rPr>
      <w:t xml:space="preserve"> - </w:t>
    </w:r>
    <w:r w:rsidRPr="0042562A">
      <w:rPr>
        <w:rFonts w:eastAsiaTheme="minorHAnsi" w:cs="Calibri"/>
        <w:b/>
        <w:sz w:val="20"/>
        <w:szCs w:val="22"/>
      </w:rPr>
      <w:t>Pravidlá oprávnenosti výdavkov podľa jednotlivých skupín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21817"/>
    <w:multiLevelType w:val="hybridMultilevel"/>
    <w:tmpl w:val="A6FEE51A"/>
    <w:lvl w:ilvl="0" w:tplc="6AFA5DB6">
      <w:start w:val="3"/>
      <w:numFmt w:val="bullet"/>
      <w:lvlText w:val="-"/>
      <w:lvlJc w:val="left"/>
      <w:pPr>
        <w:ind w:left="502" w:hanging="360"/>
      </w:pPr>
      <w:rPr>
        <w:rFonts w:ascii="Times New Roman" w:eastAsia="Times New Roman"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 w15:restartNumberingAfterBreak="0">
    <w:nsid w:val="09803007"/>
    <w:multiLevelType w:val="hybridMultilevel"/>
    <w:tmpl w:val="4F6AEFAA"/>
    <w:lvl w:ilvl="0" w:tplc="AE348132">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C90799"/>
    <w:multiLevelType w:val="hybridMultilevel"/>
    <w:tmpl w:val="56546728"/>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B671D34"/>
    <w:multiLevelType w:val="hybridMultilevel"/>
    <w:tmpl w:val="0EDA1698"/>
    <w:lvl w:ilvl="0" w:tplc="FAB80902">
      <w:start w:val="1"/>
      <w:numFmt w:val="decimal"/>
      <w:lvlText w:val="%1."/>
      <w:lvlJc w:val="left"/>
      <w:pPr>
        <w:ind w:left="36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591F85"/>
    <w:multiLevelType w:val="hybridMultilevel"/>
    <w:tmpl w:val="B94AE80A"/>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FEE5B65"/>
    <w:multiLevelType w:val="multilevel"/>
    <w:tmpl w:val="7E727062"/>
    <w:lvl w:ilvl="0">
      <w:start w:val="1"/>
      <w:numFmt w:val="decimal"/>
      <w:lvlText w:val="%1."/>
      <w:lvlJc w:val="right"/>
      <w:pPr>
        <w:ind w:left="720" w:hanging="360"/>
      </w:pPr>
      <w:rPr>
        <w:rFonts w:asciiTheme="minorHAnsi" w:eastAsiaTheme="majorEastAsia" w:hAnsiTheme="minorHAnsi" w:cstheme="minorHAns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0222DA6"/>
    <w:multiLevelType w:val="hybridMultilevel"/>
    <w:tmpl w:val="D45083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A54379"/>
    <w:multiLevelType w:val="hybridMultilevel"/>
    <w:tmpl w:val="8DB272C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1602D2"/>
    <w:multiLevelType w:val="hybridMultilevel"/>
    <w:tmpl w:val="283865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2C3B25"/>
    <w:multiLevelType w:val="hybridMultilevel"/>
    <w:tmpl w:val="7452EDB4"/>
    <w:lvl w:ilvl="0" w:tplc="A41E7AE8">
      <w:numFmt w:val="bullet"/>
      <w:lvlText w:val="-"/>
      <w:lvlJc w:val="left"/>
      <w:pPr>
        <w:ind w:left="360" w:hanging="360"/>
      </w:pPr>
      <w:rPr>
        <w:rFonts w:ascii="Times New Roman" w:eastAsia="Calibri" w:hAnsi="Times New Roman" w:cs="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78D217F"/>
    <w:multiLevelType w:val="hybridMultilevel"/>
    <w:tmpl w:val="756C3BDA"/>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1" w15:restartNumberingAfterBreak="0">
    <w:nsid w:val="18425C4E"/>
    <w:multiLevelType w:val="hybridMultilevel"/>
    <w:tmpl w:val="74160CFE"/>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8A408E8"/>
    <w:multiLevelType w:val="multilevel"/>
    <w:tmpl w:val="CEAC2436"/>
    <w:lvl w:ilvl="0">
      <w:start w:val="4"/>
      <w:numFmt w:val="decimal"/>
      <w:lvlText w:val="%1"/>
      <w:lvlJc w:val="left"/>
      <w:pPr>
        <w:ind w:left="570" w:hanging="570"/>
      </w:pPr>
      <w:rPr>
        <w:rFonts w:hint="default"/>
      </w:rPr>
    </w:lvl>
    <w:lvl w:ilvl="1">
      <w:start w:val="12"/>
      <w:numFmt w:val="decimal"/>
      <w:lvlText w:val="%1.%2"/>
      <w:lvlJc w:val="left"/>
      <w:pPr>
        <w:ind w:left="270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D32362A"/>
    <w:multiLevelType w:val="hybridMultilevel"/>
    <w:tmpl w:val="709A3C72"/>
    <w:lvl w:ilvl="0" w:tplc="6C0C9EE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D64AAE"/>
    <w:multiLevelType w:val="hybridMultilevel"/>
    <w:tmpl w:val="A5E25D76"/>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1D5CA068">
      <w:start w:val="3"/>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4A7522"/>
    <w:multiLevelType w:val="hybridMultilevel"/>
    <w:tmpl w:val="BA9EF79A"/>
    <w:lvl w:ilvl="0" w:tplc="DE1214B8">
      <w:start w:val="16"/>
      <w:numFmt w:val="bullet"/>
      <w:lvlText w:val="-"/>
      <w:lvlJc w:val="left"/>
      <w:pPr>
        <w:ind w:left="644" w:hanging="360"/>
      </w:pPr>
      <w:rPr>
        <w:rFonts w:ascii="Corbel" w:eastAsia="Times New Roman" w:hAnsi="Corbe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25FC6268"/>
    <w:multiLevelType w:val="hybridMultilevel"/>
    <w:tmpl w:val="F4C836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81156DA"/>
    <w:multiLevelType w:val="hybridMultilevel"/>
    <w:tmpl w:val="54DCD09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9171274"/>
    <w:multiLevelType w:val="hybridMultilevel"/>
    <w:tmpl w:val="5A34D6C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95607AF"/>
    <w:multiLevelType w:val="hybridMultilevel"/>
    <w:tmpl w:val="EE70F59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B8A1932"/>
    <w:multiLevelType w:val="multilevel"/>
    <w:tmpl w:val="5A8E805A"/>
    <w:lvl w:ilvl="0">
      <w:start w:val="1"/>
      <w:numFmt w:val="lowerLetter"/>
      <w:lvlText w:val="%1)"/>
      <w:lvlJc w:val="left"/>
      <w:pPr>
        <w:ind w:left="502" w:hanging="360"/>
      </w:pPr>
      <w:rPr>
        <w:rFonts w:hint="default"/>
      </w:rPr>
    </w:lvl>
    <w:lvl w:ilvl="1">
      <w:start w:val="1"/>
      <w:numFmt w:val="lowerLetter"/>
      <w:lvlText w:val="%2)"/>
      <w:lvlJc w:val="left"/>
      <w:pPr>
        <w:ind w:left="644"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21" w15:restartNumberingAfterBreak="0">
    <w:nsid w:val="2BAD3C95"/>
    <w:multiLevelType w:val="hybridMultilevel"/>
    <w:tmpl w:val="CF0821BA"/>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2" w15:restartNumberingAfterBreak="0">
    <w:nsid w:val="2F5503F3"/>
    <w:multiLevelType w:val="hybridMultilevel"/>
    <w:tmpl w:val="69985CC6"/>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3" w15:restartNumberingAfterBreak="0">
    <w:nsid w:val="2F6735FF"/>
    <w:multiLevelType w:val="hybridMultilevel"/>
    <w:tmpl w:val="78C0F0E0"/>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24" w15:restartNumberingAfterBreak="0">
    <w:nsid w:val="34C05863"/>
    <w:multiLevelType w:val="hybridMultilevel"/>
    <w:tmpl w:val="B3927030"/>
    <w:lvl w:ilvl="0" w:tplc="9F12FCD2">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62609CC"/>
    <w:multiLevelType w:val="hybridMultilevel"/>
    <w:tmpl w:val="1C3EC91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3A8C46B1"/>
    <w:multiLevelType w:val="hybridMultilevel"/>
    <w:tmpl w:val="4BAEA5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B7F36D3"/>
    <w:multiLevelType w:val="hybridMultilevel"/>
    <w:tmpl w:val="67BE6DC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3DF64651"/>
    <w:multiLevelType w:val="hybridMultilevel"/>
    <w:tmpl w:val="C854B640"/>
    <w:lvl w:ilvl="0" w:tplc="FFCCEBBA">
      <w:numFmt w:val="bullet"/>
      <w:lvlText w:val="-"/>
      <w:lvlJc w:val="left"/>
      <w:pPr>
        <w:ind w:left="644" w:hanging="360"/>
      </w:pPr>
      <w:rPr>
        <w:rFonts w:ascii="Century Gothic" w:eastAsiaTheme="minorHAnsi" w:hAnsi="Century Gothic"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9" w15:restartNumberingAfterBreak="0">
    <w:nsid w:val="3E806CBF"/>
    <w:multiLevelType w:val="hybridMultilevel"/>
    <w:tmpl w:val="DEEA78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2E6327C"/>
    <w:multiLevelType w:val="hybridMultilevel"/>
    <w:tmpl w:val="9BB4EF08"/>
    <w:lvl w:ilvl="0" w:tplc="B576FF94">
      <w:start w:val="1"/>
      <w:numFmt w:val="lowerLetter"/>
      <w:lvlText w:val="%1)"/>
      <w:lvlJc w:val="left"/>
      <w:pPr>
        <w:tabs>
          <w:tab w:val="num" w:pos="360"/>
        </w:tabs>
        <w:ind w:left="360" w:hanging="360"/>
      </w:pPr>
      <w:rPr>
        <w:rFonts w:asciiTheme="minorHAnsi" w:eastAsia="Calibri" w:hAnsiTheme="minorHAnsi" w:cstheme="minorHAnsi"/>
        <w:b w:val="0"/>
      </w:rPr>
    </w:lvl>
    <w:lvl w:ilvl="1" w:tplc="041B000F">
      <w:start w:val="1"/>
      <w:numFmt w:val="decimal"/>
      <w:lvlText w:val="%2."/>
      <w:lvlJc w:val="left"/>
      <w:pPr>
        <w:tabs>
          <w:tab w:val="num" w:pos="540"/>
        </w:tabs>
        <w:ind w:left="540" w:hanging="360"/>
      </w:pPr>
    </w:lvl>
    <w:lvl w:ilvl="2" w:tplc="041B001B">
      <w:start w:val="1"/>
      <w:numFmt w:val="lowerRoman"/>
      <w:lvlText w:val="%3."/>
      <w:lvlJc w:val="right"/>
      <w:pPr>
        <w:tabs>
          <w:tab w:val="num" w:pos="1260"/>
        </w:tabs>
        <w:ind w:left="1260" w:hanging="180"/>
      </w:pPr>
    </w:lvl>
    <w:lvl w:ilvl="3" w:tplc="041B000F">
      <w:start w:val="1"/>
      <w:numFmt w:val="decimal"/>
      <w:lvlText w:val="%4."/>
      <w:lvlJc w:val="left"/>
      <w:pPr>
        <w:tabs>
          <w:tab w:val="num" w:pos="1980"/>
        </w:tabs>
        <w:ind w:left="1980" w:hanging="360"/>
      </w:pPr>
    </w:lvl>
    <w:lvl w:ilvl="4" w:tplc="041B0019">
      <w:start w:val="1"/>
      <w:numFmt w:val="lowerLetter"/>
      <w:lvlText w:val="%5."/>
      <w:lvlJc w:val="left"/>
      <w:pPr>
        <w:tabs>
          <w:tab w:val="num" w:pos="2700"/>
        </w:tabs>
        <w:ind w:left="2700" w:hanging="360"/>
      </w:pPr>
    </w:lvl>
    <w:lvl w:ilvl="5" w:tplc="041B001B">
      <w:start w:val="1"/>
      <w:numFmt w:val="lowerRoman"/>
      <w:lvlText w:val="%6."/>
      <w:lvlJc w:val="right"/>
      <w:pPr>
        <w:tabs>
          <w:tab w:val="num" w:pos="3420"/>
        </w:tabs>
        <w:ind w:left="3420" w:hanging="180"/>
      </w:pPr>
    </w:lvl>
    <w:lvl w:ilvl="6" w:tplc="041B000F">
      <w:start w:val="1"/>
      <w:numFmt w:val="decimal"/>
      <w:lvlText w:val="%7."/>
      <w:lvlJc w:val="left"/>
      <w:pPr>
        <w:tabs>
          <w:tab w:val="num" w:pos="4140"/>
        </w:tabs>
        <w:ind w:left="4140" w:hanging="360"/>
      </w:pPr>
    </w:lvl>
    <w:lvl w:ilvl="7" w:tplc="041B0019">
      <w:start w:val="1"/>
      <w:numFmt w:val="lowerLetter"/>
      <w:lvlText w:val="%8."/>
      <w:lvlJc w:val="left"/>
      <w:pPr>
        <w:tabs>
          <w:tab w:val="num" w:pos="4860"/>
        </w:tabs>
        <w:ind w:left="4860" w:hanging="360"/>
      </w:pPr>
    </w:lvl>
    <w:lvl w:ilvl="8" w:tplc="041B001B">
      <w:start w:val="1"/>
      <w:numFmt w:val="lowerRoman"/>
      <w:lvlText w:val="%9."/>
      <w:lvlJc w:val="right"/>
      <w:pPr>
        <w:tabs>
          <w:tab w:val="num" w:pos="5580"/>
        </w:tabs>
        <w:ind w:left="5580" w:hanging="180"/>
      </w:pPr>
    </w:lvl>
  </w:abstractNum>
  <w:abstractNum w:abstractNumId="31" w15:restartNumberingAfterBreak="0">
    <w:nsid w:val="43D15BDF"/>
    <w:multiLevelType w:val="multilevel"/>
    <w:tmpl w:val="8F16CEAA"/>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616459"/>
    <w:multiLevelType w:val="hybridMultilevel"/>
    <w:tmpl w:val="DD84CCA2"/>
    <w:lvl w:ilvl="0" w:tplc="C99E388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46C6BB2"/>
    <w:multiLevelType w:val="hybridMultilevel"/>
    <w:tmpl w:val="A74E0A0E"/>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34" w15:restartNumberingAfterBreak="0">
    <w:nsid w:val="576208DB"/>
    <w:multiLevelType w:val="hybridMultilevel"/>
    <w:tmpl w:val="C414A9B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46412CE"/>
    <w:multiLevelType w:val="hybridMultilevel"/>
    <w:tmpl w:val="103AD2A8"/>
    <w:lvl w:ilvl="0" w:tplc="041B000F">
      <w:start w:val="1"/>
      <w:numFmt w:val="decimal"/>
      <w:lvlText w:val="%1."/>
      <w:lvlJc w:val="left"/>
      <w:pPr>
        <w:ind w:left="501" w:hanging="360"/>
      </w:pPr>
      <w:rPr>
        <w:rFonts w:hint="default"/>
      </w:rPr>
    </w:lvl>
    <w:lvl w:ilvl="1" w:tplc="041B0019" w:tentative="1">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6" w15:restartNumberingAfterBreak="0">
    <w:nsid w:val="6A28578D"/>
    <w:multiLevelType w:val="hybridMultilevel"/>
    <w:tmpl w:val="FA38DA2C"/>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01A5C41"/>
    <w:multiLevelType w:val="hybridMultilevel"/>
    <w:tmpl w:val="A542660E"/>
    <w:lvl w:ilvl="0" w:tplc="CF6A8A0E">
      <w:start w:val="110"/>
      <w:numFmt w:val="bullet"/>
      <w:lvlText w:val="-"/>
      <w:lvlJc w:val="left"/>
      <w:pPr>
        <w:ind w:left="36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26019F9"/>
    <w:multiLevelType w:val="hybridMultilevel"/>
    <w:tmpl w:val="17FA49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3014BAB"/>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1" w15:restartNumberingAfterBreak="0">
    <w:nsid w:val="799512D0"/>
    <w:multiLevelType w:val="hybridMultilevel"/>
    <w:tmpl w:val="D2F46B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DB4AAC"/>
    <w:multiLevelType w:val="hybridMultilevel"/>
    <w:tmpl w:val="112C48B2"/>
    <w:lvl w:ilvl="0" w:tplc="5610338C">
      <w:start w:val="1"/>
      <w:numFmt w:val="decimal"/>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num w:numId="1">
    <w:abstractNumId w:val="9"/>
  </w:num>
  <w:num w:numId="2">
    <w:abstractNumId w:val="20"/>
  </w:num>
  <w:num w:numId="3">
    <w:abstractNumId w:val="15"/>
  </w:num>
  <w:num w:numId="4">
    <w:abstractNumId w:val="37"/>
  </w:num>
  <w:num w:numId="5">
    <w:abstractNumId w:val="22"/>
  </w:num>
  <w:num w:numId="6">
    <w:abstractNumId w:val="35"/>
  </w:num>
  <w:num w:numId="7">
    <w:abstractNumId w:val="16"/>
  </w:num>
  <w:num w:numId="8">
    <w:abstractNumId w:val="18"/>
  </w:num>
  <w:num w:numId="9">
    <w:abstractNumId w:val="25"/>
  </w:num>
  <w:num w:numId="10">
    <w:abstractNumId w:val="31"/>
  </w:num>
  <w:num w:numId="11">
    <w:abstractNumId w:val="11"/>
  </w:num>
  <w:num w:numId="12">
    <w:abstractNumId w:val="36"/>
  </w:num>
  <w:num w:numId="13">
    <w:abstractNumId w:val="12"/>
  </w:num>
  <w:num w:numId="14">
    <w:abstractNumId w:val="17"/>
  </w:num>
  <w:num w:numId="15">
    <w:abstractNumId w:val="0"/>
  </w:num>
  <w:num w:numId="16">
    <w:abstractNumId w:val="28"/>
  </w:num>
  <w:num w:numId="17">
    <w:abstractNumId w:val="3"/>
  </w:num>
  <w:num w:numId="18">
    <w:abstractNumId w:val="13"/>
  </w:num>
  <w:num w:numId="19">
    <w:abstractNumId w:val="32"/>
  </w:num>
  <w:num w:numId="20">
    <w:abstractNumId w:val="21"/>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9"/>
  </w:num>
  <w:num w:numId="25">
    <w:abstractNumId w:val="24"/>
  </w:num>
  <w:num w:numId="26">
    <w:abstractNumId w:val="2"/>
  </w:num>
  <w:num w:numId="27">
    <w:abstractNumId w:val="34"/>
  </w:num>
  <w:num w:numId="28">
    <w:abstractNumId w:val="38"/>
  </w:num>
  <w:num w:numId="29">
    <w:abstractNumId w:val="5"/>
  </w:num>
  <w:num w:numId="30">
    <w:abstractNumId w:val="7"/>
  </w:num>
  <w:num w:numId="31">
    <w:abstractNumId w:val="19"/>
  </w:num>
  <w:num w:numId="32">
    <w:abstractNumId w:val="6"/>
  </w:num>
  <w:num w:numId="33">
    <w:abstractNumId w:val="41"/>
  </w:num>
  <w:num w:numId="34">
    <w:abstractNumId w:val="4"/>
  </w:num>
  <w:num w:numId="35">
    <w:abstractNumId w:val="14"/>
  </w:num>
  <w:num w:numId="36">
    <w:abstractNumId w:val="1"/>
  </w:num>
  <w:num w:numId="37">
    <w:abstractNumId w:val="8"/>
  </w:num>
  <w:num w:numId="38">
    <w:abstractNumId w:val="39"/>
  </w:num>
  <w:num w:numId="39">
    <w:abstractNumId w:val="26"/>
  </w:num>
  <w:num w:numId="40">
    <w:abstractNumId w:val="10"/>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1D38"/>
    <w:rsid w:val="000021D3"/>
    <w:rsid w:val="00004B95"/>
    <w:rsid w:val="000079CC"/>
    <w:rsid w:val="00007A55"/>
    <w:rsid w:val="00011511"/>
    <w:rsid w:val="000116D9"/>
    <w:rsid w:val="00013D69"/>
    <w:rsid w:val="000152B2"/>
    <w:rsid w:val="00017582"/>
    <w:rsid w:val="00025DE6"/>
    <w:rsid w:val="000326CA"/>
    <w:rsid w:val="0004146D"/>
    <w:rsid w:val="000435F9"/>
    <w:rsid w:val="000438CE"/>
    <w:rsid w:val="00043E1A"/>
    <w:rsid w:val="00046CFD"/>
    <w:rsid w:val="000477D4"/>
    <w:rsid w:val="00054355"/>
    <w:rsid w:val="00056258"/>
    <w:rsid w:val="0006188D"/>
    <w:rsid w:val="00061BA6"/>
    <w:rsid w:val="0006310C"/>
    <w:rsid w:val="00067158"/>
    <w:rsid w:val="000722B8"/>
    <w:rsid w:val="00072985"/>
    <w:rsid w:val="00073FB5"/>
    <w:rsid w:val="000746BA"/>
    <w:rsid w:val="000778FA"/>
    <w:rsid w:val="00082548"/>
    <w:rsid w:val="00082CCA"/>
    <w:rsid w:val="0008524A"/>
    <w:rsid w:val="00085A9C"/>
    <w:rsid w:val="000862DF"/>
    <w:rsid w:val="00092C1C"/>
    <w:rsid w:val="0009522F"/>
    <w:rsid w:val="000A08A1"/>
    <w:rsid w:val="000A17F5"/>
    <w:rsid w:val="000A230E"/>
    <w:rsid w:val="000A3DA6"/>
    <w:rsid w:val="000A73D8"/>
    <w:rsid w:val="000B0B42"/>
    <w:rsid w:val="000B2570"/>
    <w:rsid w:val="000B2705"/>
    <w:rsid w:val="000B57D5"/>
    <w:rsid w:val="000C1DC2"/>
    <w:rsid w:val="000C7B22"/>
    <w:rsid w:val="000D7548"/>
    <w:rsid w:val="000E0905"/>
    <w:rsid w:val="000E200A"/>
    <w:rsid w:val="000E49F8"/>
    <w:rsid w:val="000F432A"/>
    <w:rsid w:val="000F6190"/>
    <w:rsid w:val="0010661A"/>
    <w:rsid w:val="00111C8D"/>
    <w:rsid w:val="00120CF2"/>
    <w:rsid w:val="00120FD7"/>
    <w:rsid w:val="001253A5"/>
    <w:rsid w:val="00136307"/>
    <w:rsid w:val="00141553"/>
    <w:rsid w:val="00143308"/>
    <w:rsid w:val="00144E44"/>
    <w:rsid w:val="0014771B"/>
    <w:rsid w:val="00153867"/>
    <w:rsid w:val="00153A9F"/>
    <w:rsid w:val="00155B11"/>
    <w:rsid w:val="001574C4"/>
    <w:rsid w:val="001608FE"/>
    <w:rsid w:val="00163716"/>
    <w:rsid w:val="00165116"/>
    <w:rsid w:val="00173E5D"/>
    <w:rsid w:val="001815E2"/>
    <w:rsid w:val="001823C6"/>
    <w:rsid w:val="001837E3"/>
    <w:rsid w:val="001856AB"/>
    <w:rsid w:val="00186263"/>
    <w:rsid w:val="00192C26"/>
    <w:rsid w:val="001936AC"/>
    <w:rsid w:val="001955B2"/>
    <w:rsid w:val="001A28EE"/>
    <w:rsid w:val="001A56DF"/>
    <w:rsid w:val="001B1AFA"/>
    <w:rsid w:val="001B3C7F"/>
    <w:rsid w:val="001B4EED"/>
    <w:rsid w:val="001B72D0"/>
    <w:rsid w:val="001C2BF7"/>
    <w:rsid w:val="001C4253"/>
    <w:rsid w:val="001C4B6C"/>
    <w:rsid w:val="001D0A05"/>
    <w:rsid w:val="001D1992"/>
    <w:rsid w:val="001D7350"/>
    <w:rsid w:val="001D79B0"/>
    <w:rsid w:val="001E15AF"/>
    <w:rsid w:val="001E18D3"/>
    <w:rsid w:val="001E2BF0"/>
    <w:rsid w:val="001E420D"/>
    <w:rsid w:val="001E4258"/>
    <w:rsid w:val="001F0C36"/>
    <w:rsid w:val="001F1819"/>
    <w:rsid w:val="001F2F04"/>
    <w:rsid w:val="001F47DA"/>
    <w:rsid w:val="00202A0B"/>
    <w:rsid w:val="00205D2C"/>
    <w:rsid w:val="00206497"/>
    <w:rsid w:val="00206A38"/>
    <w:rsid w:val="002102E0"/>
    <w:rsid w:val="00213721"/>
    <w:rsid w:val="00215747"/>
    <w:rsid w:val="00215B63"/>
    <w:rsid w:val="00220A55"/>
    <w:rsid w:val="00222E39"/>
    <w:rsid w:val="00224EC1"/>
    <w:rsid w:val="00231C62"/>
    <w:rsid w:val="0023413C"/>
    <w:rsid w:val="00237D3C"/>
    <w:rsid w:val="00240E70"/>
    <w:rsid w:val="00241E51"/>
    <w:rsid w:val="00245CD1"/>
    <w:rsid w:val="00245D8A"/>
    <w:rsid w:val="00251E99"/>
    <w:rsid w:val="00251FFD"/>
    <w:rsid w:val="00252B2F"/>
    <w:rsid w:val="00254761"/>
    <w:rsid w:val="002559F9"/>
    <w:rsid w:val="0026050C"/>
    <w:rsid w:val="0026440F"/>
    <w:rsid w:val="0026591C"/>
    <w:rsid w:val="002670BE"/>
    <w:rsid w:val="0026717C"/>
    <w:rsid w:val="00272F56"/>
    <w:rsid w:val="00275CAD"/>
    <w:rsid w:val="00277173"/>
    <w:rsid w:val="0027781B"/>
    <w:rsid w:val="00277E41"/>
    <w:rsid w:val="0028280A"/>
    <w:rsid w:val="00282ED3"/>
    <w:rsid w:val="00284B8D"/>
    <w:rsid w:val="002857E8"/>
    <w:rsid w:val="00290D34"/>
    <w:rsid w:val="002B306D"/>
    <w:rsid w:val="002B437E"/>
    <w:rsid w:val="002B7B57"/>
    <w:rsid w:val="002C076C"/>
    <w:rsid w:val="002C6BFE"/>
    <w:rsid w:val="002C72B3"/>
    <w:rsid w:val="002D1F7A"/>
    <w:rsid w:val="002D25D3"/>
    <w:rsid w:val="002D2957"/>
    <w:rsid w:val="002D3914"/>
    <w:rsid w:val="002E1E9B"/>
    <w:rsid w:val="002E41F8"/>
    <w:rsid w:val="002E61DA"/>
    <w:rsid w:val="002E666D"/>
    <w:rsid w:val="002E6A28"/>
    <w:rsid w:val="002E6E00"/>
    <w:rsid w:val="002F0990"/>
    <w:rsid w:val="002F5D7C"/>
    <w:rsid w:val="002F71E5"/>
    <w:rsid w:val="003002AE"/>
    <w:rsid w:val="0030380D"/>
    <w:rsid w:val="003149EA"/>
    <w:rsid w:val="00315813"/>
    <w:rsid w:val="00317F16"/>
    <w:rsid w:val="003238CF"/>
    <w:rsid w:val="003246A9"/>
    <w:rsid w:val="00325ABB"/>
    <w:rsid w:val="00325B16"/>
    <w:rsid w:val="0032650F"/>
    <w:rsid w:val="00326C55"/>
    <w:rsid w:val="00331CFB"/>
    <w:rsid w:val="00335D7A"/>
    <w:rsid w:val="00337979"/>
    <w:rsid w:val="00342E20"/>
    <w:rsid w:val="003533EB"/>
    <w:rsid w:val="00353479"/>
    <w:rsid w:val="003548D9"/>
    <w:rsid w:val="0035506D"/>
    <w:rsid w:val="00363E7E"/>
    <w:rsid w:val="00366492"/>
    <w:rsid w:val="00385973"/>
    <w:rsid w:val="003868B6"/>
    <w:rsid w:val="00391DA9"/>
    <w:rsid w:val="0039439F"/>
    <w:rsid w:val="00395640"/>
    <w:rsid w:val="003973CF"/>
    <w:rsid w:val="003A4B88"/>
    <w:rsid w:val="003A5C77"/>
    <w:rsid w:val="003A6EF0"/>
    <w:rsid w:val="003B0568"/>
    <w:rsid w:val="003B5F62"/>
    <w:rsid w:val="003C2034"/>
    <w:rsid w:val="003C3DCF"/>
    <w:rsid w:val="003C402C"/>
    <w:rsid w:val="003E1D40"/>
    <w:rsid w:val="003F13BC"/>
    <w:rsid w:val="003F7088"/>
    <w:rsid w:val="00400BCF"/>
    <w:rsid w:val="00401124"/>
    <w:rsid w:val="00401932"/>
    <w:rsid w:val="0041485F"/>
    <w:rsid w:val="004178BE"/>
    <w:rsid w:val="00417D18"/>
    <w:rsid w:val="00422A5E"/>
    <w:rsid w:val="00424F1D"/>
    <w:rsid w:val="0042562A"/>
    <w:rsid w:val="00426DA0"/>
    <w:rsid w:val="00430472"/>
    <w:rsid w:val="00432D32"/>
    <w:rsid w:val="004407F0"/>
    <w:rsid w:val="00440DE1"/>
    <w:rsid w:val="0044136D"/>
    <w:rsid w:val="00441D85"/>
    <w:rsid w:val="00445271"/>
    <w:rsid w:val="00445D4D"/>
    <w:rsid w:val="00447481"/>
    <w:rsid w:val="004479CB"/>
    <w:rsid w:val="00456F8D"/>
    <w:rsid w:val="004616EB"/>
    <w:rsid w:val="0046500A"/>
    <w:rsid w:val="004664D3"/>
    <w:rsid w:val="00473196"/>
    <w:rsid w:val="004761F4"/>
    <w:rsid w:val="00476C83"/>
    <w:rsid w:val="00477E22"/>
    <w:rsid w:val="0048637D"/>
    <w:rsid w:val="0049387D"/>
    <w:rsid w:val="00496558"/>
    <w:rsid w:val="0049735E"/>
    <w:rsid w:val="004A0C18"/>
    <w:rsid w:val="004A69D1"/>
    <w:rsid w:val="004B5E58"/>
    <w:rsid w:val="004C151B"/>
    <w:rsid w:val="004C64A4"/>
    <w:rsid w:val="004D16B4"/>
    <w:rsid w:val="004D3648"/>
    <w:rsid w:val="004D7CFE"/>
    <w:rsid w:val="004E230A"/>
    <w:rsid w:val="004E7B67"/>
    <w:rsid w:val="004F0079"/>
    <w:rsid w:val="004F107A"/>
    <w:rsid w:val="004F238E"/>
    <w:rsid w:val="004F53FA"/>
    <w:rsid w:val="004F604B"/>
    <w:rsid w:val="00501595"/>
    <w:rsid w:val="00501CA2"/>
    <w:rsid w:val="00503E88"/>
    <w:rsid w:val="00504A10"/>
    <w:rsid w:val="00506D81"/>
    <w:rsid w:val="00506DCB"/>
    <w:rsid w:val="005150DE"/>
    <w:rsid w:val="00516D53"/>
    <w:rsid w:val="0051717B"/>
    <w:rsid w:val="005224EB"/>
    <w:rsid w:val="005247FA"/>
    <w:rsid w:val="00525C80"/>
    <w:rsid w:val="00526D38"/>
    <w:rsid w:val="00535FF9"/>
    <w:rsid w:val="00540E65"/>
    <w:rsid w:val="00541EAE"/>
    <w:rsid w:val="005536C5"/>
    <w:rsid w:val="0055370C"/>
    <w:rsid w:val="00553D65"/>
    <w:rsid w:val="00554415"/>
    <w:rsid w:val="0055740C"/>
    <w:rsid w:val="005602CF"/>
    <w:rsid w:val="00561A45"/>
    <w:rsid w:val="0057654E"/>
    <w:rsid w:val="00576EC0"/>
    <w:rsid w:val="005812A5"/>
    <w:rsid w:val="005819A8"/>
    <w:rsid w:val="0058451F"/>
    <w:rsid w:val="0059073A"/>
    <w:rsid w:val="005A14E9"/>
    <w:rsid w:val="005A1658"/>
    <w:rsid w:val="005A1FDB"/>
    <w:rsid w:val="005A33F5"/>
    <w:rsid w:val="005A5166"/>
    <w:rsid w:val="005A5A01"/>
    <w:rsid w:val="005A5CEF"/>
    <w:rsid w:val="005B3BC3"/>
    <w:rsid w:val="005B4198"/>
    <w:rsid w:val="005B506C"/>
    <w:rsid w:val="005C231E"/>
    <w:rsid w:val="005C305B"/>
    <w:rsid w:val="005C3090"/>
    <w:rsid w:val="005C6191"/>
    <w:rsid w:val="005C6C2C"/>
    <w:rsid w:val="005C746D"/>
    <w:rsid w:val="005D6731"/>
    <w:rsid w:val="005E2010"/>
    <w:rsid w:val="005E4BA0"/>
    <w:rsid w:val="005E5877"/>
    <w:rsid w:val="005F093D"/>
    <w:rsid w:val="005F1ABA"/>
    <w:rsid w:val="005F2C96"/>
    <w:rsid w:val="005F5568"/>
    <w:rsid w:val="00602062"/>
    <w:rsid w:val="00605CDD"/>
    <w:rsid w:val="0061093D"/>
    <w:rsid w:val="00611FE8"/>
    <w:rsid w:val="006140C8"/>
    <w:rsid w:val="00617886"/>
    <w:rsid w:val="006207A8"/>
    <w:rsid w:val="00620EF0"/>
    <w:rsid w:val="0062168D"/>
    <w:rsid w:val="0062220D"/>
    <w:rsid w:val="00624316"/>
    <w:rsid w:val="006259CF"/>
    <w:rsid w:val="0063004B"/>
    <w:rsid w:val="006342A2"/>
    <w:rsid w:val="00634B73"/>
    <w:rsid w:val="006368B7"/>
    <w:rsid w:val="00642DDE"/>
    <w:rsid w:val="00651DC7"/>
    <w:rsid w:val="00653204"/>
    <w:rsid w:val="0066046A"/>
    <w:rsid w:val="006622E7"/>
    <w:rsid w:val="00665600"/>
    <w:rsid w:val="00665DFA"/>
    <w:rsid w:val="006670B0"/>
    <w:rsid w:val="006719C6"/>
    <w:rsid w:val="00671E14"/>
    <w:rsid w:val="006745E4"/>
    <w:rsid w:val="00680F22"/>
    <w:rsid w:val="00683D60"/>
    <w:rsid w:val="00683EE7"/>
    <w:rsid w:val="006922CA"/>
    <w:rsid w:val="00693EC9"/>
    <w:rsid w:val="006942AB"/>
    <w:rsid w:val="0069581D"/>
    <w:rsid w:val="006A32FF"/>
    <w:rsid w:val="006A37B3"/>
    <w:rsid w:val="006A422D"/>
    <w:rsid w:val="006A697F"/>
    <w:rsid w:val="006A6DB1"/>
    <w:rsid w:val="006B4ACE"/>
    <w:rsid w:val="006B565F"/>
    <w:rsid w:val="006B58B2"/>
    <w:rsid w:val="006B65E8"/>
    <w:rsid w:val="006B7FE3"/>
    <w:rsid w:val="006C4E56"/>
    <w:rsid w:val="006C6EF9"/>
    <w:rsid w:val="006D06E4"/>
    <w:rsid w:val="006D371F"/>
    <w:rsid w:val="006D5996"/>
    <w:rsid w:val="006E1815"/>
    <w:rsid w:val="006E2803"/>
    <w:rsid w:val="006E3B86"/>
    <w:rsid w:val="006E48D6"/>
    <w:rsid w:val="006F0609"/>
    <w:rsid w:val="006F072D"/>
    <w:rsid w:val="006F13D8"/>
    <w:rsid w:val="006F3D55"/>
    <w:rsid w:val="006F45B4"/>
    <w:rsid w:val="006F5794"/>
    <w:rsid w:val="006F600E"/>
    <w:rsid w:val="006F7716"/>
    <w:rsid w:val="00703ACA"/>
    <w:rsid w:val="00704AD8"/>
    <w:rsid w:val="00706910"/>
    <w:rsid w:val="00710191"/>
    <w:rsid w:val="0071304B"/>
    <w:rsid w:val="007144C9"/>
    <w:rsid w:val="007164B1"/>
    <w:rsid w:val="00717F1D"/>
    <w:rsid w:val="00722745"/>
    <w:rsid w:val="00730A4F"/>
    <w:rsid w:val="00732291"/>
    <w:rsid w:val="007332C2"/>
    <w:rsid w:val="007365E5"/>
    <w:rsid w:val="00750256"/>
    <w:rsid w:val="00753807"/>
    <w:rsid w:val="0075426B"/>
    <w:rsid w:val="007552BA"/>
    <w:rsid w:val="00757B3B"/>
    <w:rsid w:val="0077190B"/>
    <w:rsid w:val="00774811"/>
    <w:rsid w:val="00783917"/>
    <w:rsid w:val="00783F31"/>
    <w:rsid w:val="00784993"/>
    <w:rsid w:val="00790146"/>
    <w:rsid w:val="0079311C"/>
    <w:rsid w:val="00794406"/>
    <w:rsid w:val="007A0361"/>
    <w:rsid w:val="007A24BC"/>
    <w:rsid w:val="007A43CD"/>
    <w:rsid w:val="007A6A08"/>
    <w:rsid w:val="007B103C"/>
    <w:rsid w:val="007B4A96"/>
    <w:rsid w:val="007C15A9"/>
    <w:rsid w:val="007C179E"/>
    <w:rsid w:val="007C318F"/>
    <w:rsid w:val="007D01AF"/>
    <w:rsid w:val="007D418D"/>
    <w:rsid w:val="007D66C6"/>
    <w:rsid w:val="007D78E0"/>
    <w:rsid w:val="007E51A2"/>
    <w:rsid w:val="007E6361"/>
    <w:rsid w:val="007E67EC"/>
    <w:rsid w:val="007E6E30"/>
    <w:rsid w:val="007E71F4"/>
    <w:rsid w:val="007F5B4E"/>
    <w:rsid w:val="00803F33"/>
    <w:rsid w:val="00804C44"/>
    <w:rsid w:val="00805AA9"/>
    <w:rsid w:val="008070E2"/>
    <w:rsid w:val="0080744D"/>
    <w:rsid w:val="00807F49"/>
    <w:rsid w:val="00821BBB"/>
    <w:rsid w:val="00822246"/>
    <w:rsid w:val="008235A7"/>
    <w:rsid w:val="00825E5F"/>
    <w:rsid w:val="008279C3"/>
    <w:rsid w:val="00834381"/>
    <w:rsid w:val="00834A22"/>
    <w:rsid w:val="008366A7"/>
    <w:rsid w:val="008422F5"/>
    <w:rsid w:val="008469B7"/>
    <w:rsid w:val="00851981"/>
    <w:rsid w:val="00851990"/>
    <w:rsid w:val="00855F50"/>
    <w:rsid w:val="008574D2"/>
    <w:rsid w:val="00857FD3"/>
    <w:rsid w:val="0086179C"/>
    <w:rsid w:val="008625D5"/>
    <w:rsid w:val="00870A0D"/>
    <w:rsid w:val="00872A86"/>
    <w:rsid w:val="00872BCA"/>
    <w:rsid w:val="0087507D"/>
    <w:rsid w:val="008807EE"/>
    <w:rsid w:val="0088327C"/>
    <w:rsid w:val="00885A97"/>
    <w:rsid w:val="008874D5"/>
    <w:rsid w:val="008875BC"/>
    <w:rsid w:val="008A1626"/>
    <w:rsid w:val="008A2FCE"/>
    <w:rsid w:val="008A4401"/>
    <w:rsid w:val="008A4B94"/>
    <w:rsid w:val="008A54A1"/>
    <w:rsid w:val="008A668F"/>
    <w:rsid w:val="008B6FFE"/>
    <w:rsid w:val="008C049B"/>
    <w:rsid w:val="008C0ECF"/>
    <w:rsid w:val="008C451A"/>
    <w:rsid w:val="008C694D"/>
    <w:rsid w:val="008D0065"/>
    <w:rsid w:val="008D37C7"/>
    <w:rsid w:val="008D41DC"/>
    <w:rsid w:val="008D537E"/>
    <w:rsid w:val="008E136B"/>
    <w:rsid w:val="008E1756"/>
    <w:rsid w:val="008E7FAC"/>
    <w:rsid w:val="008F492D"/>
    <w:rsid w:val="008F624C"/>
    <w:rsid w:val="00900F0F"/>
    <w:rsid w:val="00903329"/>
    <w:rsid w:val="009056DF"/>
    <w:rsid w:val="00906716"/>
    <w:rsid w:val="00912129"/>
    <w:rsid w:val="00920AA3"/>
    <w:rsid w:val="00921123"/>
    <w:rsid w:val="009230BC"/>
    <w:rsid w:val="00923503"/>
    <w:rsid w:val="0092559B"/>
    <w:rsid w:val="0092586C"/>
    <w:rsid w:val="00926E5B"/>
    <w:rsid w:val="0092764A"/>
    <w:rsid w:val="00930BED"/>
    <w:rsid w:val="009313CF"/>
    <w:rsid w:val="00941AAF"/>
    <w:rsid w:val="009433D1"/>
    <w:rsid w:val="009441F7"/>
    <w:rsid w:val="00945FFA"/>
    <w:rsid w:val="009550CD"/>
    <w:rsid w:val="00960363"/>
    <w:rsid w:val="00964BC2"/>
    <w:rsid w:val="00965F37"/>
    <w:rsid w:val="00966FC5"/>
    <w:rsid w:val="009675CE"/>
    <w:rsid w:val="00973DED"/>
    <w:rsid w:val="00982789"/>
    <w:rsid w:val="00986075"/>
    <w:rsid w:val="0098644C"/>
    <w:rsid w:val="00990105"/>
    <w:rsid w:val="00991355"/>
    <w:rsid w:val="009918D0"/>
    <w:rsid w:val="009919EC"/>
    <w:rsid w:val="0099693F"/>
    <w:rsid w:val="009A510B"/>
    <w:rsid w:val="009A77A1"/>
    <w:rsid w:val="009B172F"/>
    <w:rsid w:val="009B7213"/>
    <w:rsid w:val="009C0D78"/>
    <w:rsid w:val="009C2536"/>
    <w:rsid w:val="009C2674"/>
    <w:rsid w:val="009C3C4D"/>
    <w:rsid w:val="009C5B8A"/>
    <w:rsid w:val="009D090F"/>
    <w:rsid w:val="009D484B"/>
    <w:rsid w:val="009D7CAC"/>
    <w:rsid w:val="009E4210"/>
    <w:rsid w:val="009E4B19"/>
    <w:rsid w:val="009E7BD2"/>
    <w:rsid w:val="009F111A"/>
    <w:rsid w:val="009F6679"/>
    <w:rsid w:val="009F71DB"/>
    <w:rsid w:val="00A031DF"/>
    <w:rsid w:val="00A07A2C"/>
    <w:rsid w:val="00A106CD"/>
    <w:rsid w:val="00A1312C"/>
    <w:rsid w:val="00A13741"/>
    <w:rsid w:val="00A14054"/>
    <w:rsid w:val="00A2400E"/>
    <w:rsid w:val="00A26DB2"/>
    <w:rsid w:val="00A326FA"/>
    <w:rsid w:val="00A32C15"/>
    <w:rsid w:val="00A37036"/>
    <w:rsid w:val="00A4051F"/>
    <w:rsid w:val="00A413A5"/>
    <w:rsid w:val="00A457FF"/>
    <w:rsid w:val="00A45F6F"/>
    <w:rsid w:val="00A50694"/>
    <w:rsid w:val="00A547DA"/>
    <w:rsid w:val="00A65EA2"/>
    <w:rsid w:val="00A66C4C"/>
    <w:rsid w:val="00A726C7"/>
    <w:rsid w:val="00A77B85"/>
    <w:rsid w:val="00A8023D"/>
    <w:rsid w:val="00A80294"/>
    <w:rsid w:val="00A82A0D"/>
    <w:rsid w:val="00A82D35"/>
    <w:rsid w:val="00A8617C"/>
    <w:rsid w:val="00A8779D"/>
    <w:rsid w:val="00A907D6"/>
    <w:rsid w:val="00A92988"/>
    <w:rsid w:val="00A9663F"/>
    <w:rsid w:val="00A96E08"/>
    <w:rsid w:val="00AA314E"/>
    <w:rsid w:val="00AA44F5"/>
    <w:rsid w:val="00AB1678"/>
    <w:rsid w:val="00AB6E41"/>
    <w:rsid w:val="00AC2281"/>
    <w:rsid w:val="00AC2423"/>
    <w:rsid w:val="00AC4322"/>
    <w:rsid w:val="00AC6C90"/>
    <w:rsid w:val="00AD0BAF"/>
    <w:rsid w:val="00AD2585"/>
    <w:rsid w:val="00AD31C0"/>
    <w:rsid w:val="00AD4FF7"/>
    <w:rsid w:val="00AE13B0"/>
    <w:rsid w:val="00AE25DE"/>
    <w:rsid w:val="00AE7BBE"/>
    <w:rsid w:val="00AF3B3A"/>
    <w:rsid w:val="00AF3E6F"/>
    <w:rsid w:val="00AF597B"/>
    <w:rsid w:val="00AF5D08"/>
    <w:rsid w:val="00AF5F48"/>
    <w:rsid w:val="00B0194B"/>
    <w:rsid w:val="00B02A2A"/>
    <w:rsid w:val="00B03A7A"/>
    <w:rsid w:val="00B04E6B"/>
    <w:rsid w:val="00B0578A"/>
    <w:rsid w:val="00B07A3B"/>
    <w:rsid w:val="00B120AE"/>
    <w:rsid w:val="00B1294F"/>
    <w:rsid w:val="00B15A9B"/>
    <w:rsid w:val="00B17695"/>
    <w:rsid w:val="00B22946"/>
    <w:rsid w:val="00B243DA"/>
    <w:rsid w:val="00B24447"/>
    <w:rsid w:val="00B25254"/>
    <w:rsid w:val="00B26B4F"/>
    <w:rsid w:val="00B275AE"/>
    <w:rsid w:val="00B301BF"/>
    <w:rsid w:val="00B36606"/>
    <w:rsid w:val="00B37C6E"/>
    <w:rsid w:val="00B47F10"/>
    <w:rsid w:val="00B54B4A"/>
    <w:rsid w:val="00B56BFC"/>
    <w:rsid w:val="00B61641"/>
    <w:rsid w:val="00B678BD"/>
    <w:rsid w:val="00B80AC9"/>
    <w:rsid w:val="00B908F0"/>
    <w:rsid w:val="00BA6C3C"/>
    <w:rsid w:val="00BA764A"/>
    <w:rsid w:val="00BB1D2F"/>
    <w:rsid w:val="00BB77FA"/>
    <w:rsid w:val="00BC00B1"/>
    <w:rsid w:val="00BC0FB1"/>
    <w:rsid w:val="00BC21A6"/>
    <w:rsid w:val="00BC2E83"/>
    <w:rsid w:val="00BC5978"/>
    <w:rsid w:val="00BC5C97"/>
    <w:rsid w:val="00BC6034"/>
    <w:rsid w:val="00BC6757"/>
    <w:rsid w:val="00BD01D8"/>
    <w:rsid w:val="00BD0848"/>
    <w:rsid w:val="00BE261E"/>
    <w:rsid w:val="00BE27B6"/>
    <w:rsid w:val="00BE56A0"/>
    <w:rsid w:val="00BF3B85"/>
    <w:rsid w:val="00BF3E67"/>
    <w:rsid w:val="00BF4A01"/>
    <w:rsid w:val="00C11B4C"/>
    <w:rsid w:val="00C16A71"/>
    <w:rsid w:val="00C207D0"/>
    <w:rsid w:val="00C22128"/>
    <w:rsid w:val="00C26882"/>
    <w:rsid w:val="00C3257F"/>
    <w:rsid w:val="00C3384F"/>
    <w:rsid w:val="00C37933"/>
    <w:rsid w:val="00C45320"/>
    <w:rsid w:val="00C54743"/>
    <w:rsid w:val="00C55916"/>
    <w:rsid w:val="00C57DDD"/>
    <w:rsid w:val="00C62A4A"/>
    <w:rsid w:val="00C669C5"/>
    <w:rsid w:val="00C75DD8"/>
    <w:rsid w:val="00C8065F"/>
    <w:rsid w:val="00C80704"/>
    <w:rsid w:val="00C8234B"/>
    <w:rsid w:val="00C835E2"/>
    <w:rsid w:val="00C85CB6"/>
    <w:rsid w:val="00C92E0C"/>
    <w:rsid w:val="00C93745"/>
    <w:rsid w:val="00C938EC"/>
    <w:rsid w:val="00C94AA3"/>
    <w:rsid w:val="00C9530F"/>
    <w:rsid w:val="00CA3D2D"/>
    <w:rsid w:val="00CB2548"/>
    <w:rsid w:val="00CB3D24"/>
    <w:rsid w:val="00CC332A"/>
    <w:rsid w:val="00CC4E39"/>
    <w:rsid w:val="00CC4FC6"/>
    <w:rsid w:val="00CC5F1E"/>
    <w:rsid w:val="00CD50A1"/>
    <w:rsid w:val="00CD50F5"/>
    <w:rsid w:val="00CD5A88"/>
    <w:rsid w:val="00CD5D46"/>
    <w:rsid w:val="00CD5E30"/>
    <w:rsid w:val="00CE2E4B"/>
    <w:rsid w:val="00CE5442"/>
    <w:rsid w:val="00CE6642"/>
    <w:rsid w:val="00CF2EC8"/>
    <w:rsid w:val="00CF572A"/>
    <w:rsid w:val="00CF6496"/>
    <w:rsid w:val="00D001A4"/>
    <w:rsid w:val="00D0345E"/>
    <w:rsid w:val="00D12874"/>
    <w:rsid w:val="00D12FC7"/>
    <w:rsid w:val="00D1612D"/>
    <w:rsid w:val="00D1677D"/>
    <w:rsid w:val="00D20951"/>
    <w:rsid w:val="00D213DB"/>
    <w:rsid w:val="00D25050"/>
    <w:rsid w:val="00D25407"/>
    <w:rsid w:val="00D345AA"/>
    <w:rsid w:val="00D34646"/>
    <w:rsid w:val="00D34760"/>
    <w:rsid w:val="00D37153"/>
    <w:rsid w:val="00D40095"/>
    <w:rsid w:val="00D433E8"/>
    <w:rsid w:val="00D45886"/>
    <w:rsid w:val="00D516E1"/>
    <w:rsid w:val="00D522CF"/>
    <w:rsid w:val="00D52DF9"/>
    <w:rsid w:val="00D5790C"/>
    <w:rsid w:val="00D63802"/>
    <w:rsid w:val="00D64CBA"/>
    <w:rsid w:val="00D66278"/>
    <w:rsid w:val="00D66EC9"/>
    <w:rsid w:val="00D70C11"/>
    <w:rsid w:val="00D70EA8"/>
    <w:rsid w:val="00D73E09"/>
    <w:rsid w:val="00D74EB7"/>
    <w:rsid w:val="00D7733A"/>
    <w:rsid w:val="00D8382B"/>
    <w:rsid w:val="00D841A8"/>
    <w:rsid w:val="00D90ABC"/>
    <w:rsid w:val="00D92395"/>
    <w:rsid w:val="00D92D03"/>
    <w:rsid w:val="00D95C42"/>
    <w:rsid w:val="00D97AC0"/>
    <w:rsid w:val="00DA453D"/>
    <w:rsid w:val="00DA6DF4"/>
    <w:rsid w:val="00DB1705"/>
    <w:rsid w:val="00DB1B64"/>
    <w:rsid w:val="00DB50BD"/>
    <w:rsid w:val="00DB63F7"/>
    <w:rsid w:val="00DB6538"/>
    <w:rsid w:val="00DB76DE"/>
    <w:rsid w:val="00DC5041"/>
    <w:rsid w:val="00DC7B89"/>
    <w:rsid w:val="00DD2FD9"/>
    <w:rsid w:val="00DD4D71"/>
    <w:rsid w:val="00DE1D3F"/>
    <w:rsid w:val="00DE300A"/>
    <w:rsid w:val="00DF255A"/>
    <w:rsid w:val="00DF3A12"/>
    <w:rsid w:val="00DF3FBD"/>
    <w:rsid w:val="00DF6476"/>
    <w:rsid w:val="00DF6F6B"/>
    <w:rsid w:val="00DF79D5"/>
    <w:rsid w:val="00E02CE2"/>
    <w:rsid w:val="00E02DE5"/>
    <w:rsid w:val="00E04315"/>
    <w:rsid w:val="00E11D9F"/>
    <w:rsid w:val="00E15444"/>
    <w:rsid w:val="00E17F3E"/>
    <w:rsid w:val="00E20330"/>
    <w:rsid w:val="00E21742"/>
    <w:rsid w:val="00E237FC"/>
    <w:rsid w:val="00E31B94"/>
    <w:rsid w:val="00E320C3"/>
    <w:rsid w:val="00E33240"/>
    <w:rsid w:val="00E373FD"/>
    <w:rsid w:val="00E43856"/>
    <w:rsid w:val="00E46601"/>
    <w:rsid w:val="00E54522"/>
    <w:rsid w:val="00E60D8A"/>
    <w:rsid w:val="00E61F9D"/>
    <w:rsid w:val="00E6210B"/>
    <w:rsid w:val="00E627C4"/>
    <w:rsid w:val="00E66CD7"/>
    <w:rsid w:val="00E751A7"/>
    <w:rsid w:val="00E841C1"/>
    <w:rsid w:val="00E84613"/>
    <w:rsid w:val="00E84E54"/>
    <w:rsid w:val="00E914D6"/>
    <w:rsid w:val="00E9477E"/>
    <w:rsid w:val="00EA0712"/>
    <w:rsid w:val="00EA689F"/>
    <w:rsid w:val="00EA74A7"/>
    <w:rsid w:val="00EB635D"/>
    <w:rsid w:val="00EC2515"/>
    <w:rsid w:val="00EC538F"/>
    <w:rsid w:val="00EC623B"/>
    <w:rsid w:val="00EC7891"/>
    <w:rsid w:val="00ED12CF"/>
    <w:rsid w:val="00ED1A6C"/>
    <w:rsid w:val="00EE1744"/>
    <w:rsid w:val="00EE1B51"/>
    <w:rsid w:val="00EE6B11"/>
    <w:rsid w:val="00EE762B"/>
    <w:rsid w:val="00EF104F"/>
    <w:rsid w:val="00EF119D"/>
    <w:rsid w:val="00EF3E92"/>
    <w:rsid w:val="00EF57A3"/>
    <w:rsid w:val="00EF5BF8"/>
    <w:rsid w:val="00EF72DE"/>
    <w:rsid w:val="00F008EB"/>
    <w:rsid w:val="00F0090A"/>
    <w:rsid w:val="00F02148"/>
    <w:rsid w:val="00F0233A"/>
    <w:rsid w:val="00F04662"/>
    <w:rsid w:val="00F204D3"/>
    <w:rsid w:val="00F25624"/>
    <w:rsid w:val="00F30CB8"/>
    <w:rsid w:val="00F3675F"/>
    <w:rsid w:val="00F370DC"/>
    <w:rsid w:val="00F40F21"/>
    <w:rsid w:val="00F459BC"/>
    <w:rsid w:val="00F47AF9"/>
    <w:rsid w:val="00F5369C"/>
    <w:rsid w:val="00F56399"/>
    <w:rsid w:val="00F6318B"/>
    <w:rsid w:val="00F73860"/>
    <w:rsid w:val="00F75F67"/>
    <w:rsid w:val="00F826C5"/>
    <w:rsid w:val="00F8415C"/>
    <w:rsid w:val="00F855BE"/>
    <w:rsid w:val="00F90419"/>
    <w:rsid w:val="00F9350B"/>
    <w:rsid w:val="00FA31D6"/>
    <w:rsid w:val="00FA35B3"/>
    <w:rsid w:val="00FA4215"/>
    <w:rsid w:val="00FA72AC"/>
    <w:rsid w:val="00FA78A2"/>
    <w:rsid w:val="00FB1AAC"/>
    <w:rsid w:val="00FB5E26"/>
    <w:rsid w:val="00FC04CD"/>
    <w:rsid w:val="00FC49E0"/>
    <w:rsid w:val="00FC567E"/>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90C"/>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Intenzvny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4"/>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3FD78-909D-4362-987C-AC815515C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2793</Words>
  <Characters>15924</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18680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Pochaba Branislav /ZU Dublin/MZV</dc:creator>
  <cp:keywords/>
  <dc:description/>
  <cp:lastModifiedBy>Ferstlová, Renata</cp:lastModifiedBy>
  <cp:revision>16</cp:revision>
  <cp:lastPrinted>2022-11-10T15:39:00Z</cp:lastPrinted>
  <dcterms:created xsi:type="dcterms:W3CDTF">2024-05-28T02:29:00Z</dcterms:created>
  <dcterms:modified xsi:type="dcterms:W3CDTF">2024-07-29T12:33:00Z</dcterms:modified>
</cp:coreProperties>
</file>