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C5B9C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4B234EC1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24912F36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70CCF013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0122F15B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3491EBA1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5D094279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47481022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329FC75D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36AFFA8D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182BBCCE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60F6EC8C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7BDD9C29" w14:textId="77777777" w:rsidR="001E391D" w:rsidRPr="001762CF" w:rsidRDefault="001E391D" w:rsidP="0088731B">
      <w:pPr>
        <w:jc w:val="center"/>
        <w:rPr>
          <w:rFonts w:ascii="Arial Narrow" w:hAnsi="Arial Narrow"/>
          <w:color w:val="2F5496"/>
          <w:sz w:val="44"/>
          <w:szCs w:val="44"/>
        </w:rPr>
      </w:pPr>
      <w:r w:rsidRPr="001762CF">
        <w:rPr>
          <w:rFonts w:ascii="Arial Narrow" w:hAnsi="Arial Narrow"/>
          <w:color w:val="2F5496"/>
          <w:sz w:val="44"/>
          <w:szCs w:val="44"/>
        </w:rPr>
        <w:t xml:space="preserve">Analýza dopadov </w:t>
      </w:r>
      <w:r w:rsidR="0088731B" w:rsidRPr="001762CF">
        <w:rPr>
          <w:rFonts w:ascii="Arial Narrow" w:hAnsi="Arial Narrow"/>
          <w:color w:val="2F5496"/>
          <w:sz w:val="44"/>
          <w:szCs w:val="44"/>
        </w:rPr>
        <w:t>rozširovania EÚ 27 o krajiny západného Balkánu a Ukrajiny na „Národnú obálku“</w:t>
      </w:r>
    </w:p>
    <w:p w14:paraId="7FBCC0E9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074199C4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7AB4B610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01B9770E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431915A6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346058AD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6F36A762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1EC03FD5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505D9124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3095E5D9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019F9286" w14:textId="77777777" w:rsidR="0088731B" w:rsidRPr="00A2293C" w:rsidRDefault="0088731B" w:rsidP="001E391D">
      <w:pPr>
        <w:jc w:val="both"/>
        <w:rPr>
          <w:rFonts w:ascii="Arial Narrow" w:hAnsi="Arial Narrow"/>
        </w:rPr>
      </w:pPr>
    </w:p>
    <w:p w14:paraId="61C4C63D" w14:textId="77777777" w:rsidR="0088731B" w:rsidRPr="00A2293C" w:rsidRDefault="0088731B" w:rsidP="0088731B">
      <w:pPr>
        <w:tabs>
          <w:tab w:val="left" w:pos="6379"/>
          <w:tab w:val="left" w:pos="7513"/>
        </w:tabs>
        <w:spacing w:after="0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Inštitút digitálnych a regionálnych politík</w:t>
      </w:r>
      <w:r w:rsidRPr="00A2293C">
        <w:rPr>
          <w:rFonts w:ascii="Arial Narrow" w:hAnsi="Arial Narrow"/>
        </w:rPr>
        <w:tab/>
        <w:t xml:space="preserve">Vypracoval: </w:t>
      </w:r>
      <w:r w:rsidRPr="00A2293C">
        <w:rPr>
          <w:rFonts w:ascii="Arial Narrow" w:hAnsi="Arial Narrow"/>
        </w:rPr>
        <w:tab/>
        <w:t>Ing. Jozef Horák</w:t>
      </w:r>
    </w:p>
    <w:p w14:paraId="54F60EC4" w14:textId="77777777" w:rsidR="0088731B" w:rsidRPr="00A2293C" w:rsidRDefault="00396B3F" w:rsidP="0088731B">
      <w:pPr>
        <w:tabs>
          <w:tab w:val="left" w:pos="5529"/>
          <w:tab w:val="left" w:pos="7513"/>
        </w:tabs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December 2024</w:t>
      </w:r>
      <w:r w:rsidR="0088731B" w:rsidRPr="00A2293C">
        <w:rPr>
          <w:rFonts w:ascii="Arial Narrow" w:hAnsi="Arial Narrow"/>
        </w:rPr>
        <w:tab/>
      </w:r>
      <w:r w:rsidR="0088731B" w:rsidRPr="00A2293C">
        <w:rPr>
          <w:rFonts w:ascii="Arial Narrow" w:hAnsi="Arial Narrow"/>
        </w:rPr>
        <w:tab/>
        <w:t>Ing. Šimon Šesták</w:t>
      </w:r>
    </w:p>
    <w:p w14:paraId="7EA15D20" w14:textId="77777777" w:rsidR="0088731B" w:rsidRPr="00A2293C" w:rsidRDefault="0088731B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sdt>
      <w:sdtPr>
        <w:rPr>
          <w:rFonts w:ascii="Arial Narrow" w:eastAsiaTheme="minorHAnsi" w:hAnsi="Arial Narrow" w:cstheme="minorBidi"/>
          <w:color w:val="auto"/>
          <w:sz w:val="22"/>
          <w:szCs w:val="22"/>
          <w:lang w:eastAsia="en-US"/>
        </w:rPr>
        <w:id w:val="1428552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7E925C" w14:textId="77777777" w:rsidR="0088731B" w:rsidRPr="00A2293C" w:rsidRDefault="0088731B">
          <w:pPr>
            <w:pStyle w:val="Hlavikaobsahu"/>
            <w:rPr>
              <w:rFonts w:ascii="Arial Narrow" w:hAnsi="Arial Narrow"/>
              <w:sz w:val="22"/>
              <w:szCs w:val="22"/>
            </w:rPr>
          </w:pPr>
          <w:r w:rsidRPr="00A2293C">
            <w:rPr>
              <w:rFonts w:ascii="Arial Narrow" w:hAnsi="Arial Narrow"/>
              <w:sz w:val="22"/>
              <w:szCs w:val="22"/>
            </w:rPr>
            <w:t>Obsah</w:t>
          </w:r>
        </w:p>
        <w:p w14:paraId="0EB445F4" w14:textId="1E24F0AD" w:rsidR="004C5B0A" w:rsidRDefault="0088731B">
          <w:pPr>
            <w:pStyle w:val="Obsah1"/>
            <w:tabs>
              <w:tab w:val="right" w:leader="dot" w:pos="9323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r w:rsidRPr="00A2293C">
            <w:rPr>
              <w:rFonts w:ascii="Arial Narrow" w:hAnsi="Arial Narrow"/>
            </w:rPr>
            <w:fldChar w:fldCharType="begin"/>
          </w:r>
          <w:r w:rsidRPr="00A2293C">
            <w:rPr>
              <w:rFonts w:ascii="Arial Narrow" w:hAnsi="Arial Narrow"/>
            </w:rPr>
            <w:instrText xml:space="preserve"> TOC \o "1-3" \h \z \u </w:instrText>
          </w:r>
          <w:r w:rsidRPr="00A2293C">
            <w:rPr>
              <w:rFonts w:ascii="Arial Narrow" w:hAnsi="Arial Narrow"/>
            </w:rPr>
            <w:fldChar w:fldCharType="separate"/>
          </w:r>
          <w:hyperlink w:anchor="_Toc188863196" w:history="1">
            <w:r w:rsidR="004C5B0A" w:rsidRPr="00A032D8">
              <w:rPr>
                <w:rStyle w:val="Hypertextovprepojenie"/>
                <w:noProof/>
              </w:rPr>
              <w:t>Zadanie / Poverenie</w:t>
            </w:r>
            <w:r w:rsidR="004C5B0A">
              <w:rPr>
                <w:noProof/>
                <w:webHidden/>
              </w:rPr>
              <w:tab/>
            </w:r>
            <w:r w:rsidR="004C5B0A">
              <w:rPr>
                <w:noProof/>
                <w:webHidden/>
              </w:rPr>
              <w:fldChar w:fldCharType="begin"/>
            </w:r>
            <w:r w:rsidR="004C5B0A">
              <w:rPr>
                <w:noProof/>
                <w:webHidden/>
              </w:rPr>
              <w:instrText xml:space="preserve"> PAGEREF _Toc188863196 \h </w:instrText>
            </w:r>
            <w:r w:rsidR="004C5B0A">
              <w:rPr>
                <w:noProof/>
                <w:webHidden/>
              </w:rPr>
            </w:r>
            <w:r w:rsidR="004C5B0A">
              <w:rPr>
                <w:noProof/>
                <w:webHidden/>
              </w:rPr>
              <w:fldChar w:fldCharType="separate"/>
            </w:r>
            <w:r w:rsidR="004C5B0A">
              <w:rPr>
                <w:noProof/>
                <w:webHidden/>
              </w:rPr>
              <w:t>3</w:t>
            </w:r>
            <w:r w:rsidR="004C5B0A">
              <w:rPr>
                <w:noProof/>
                <w:webHidden/>
              </w:rPr>
              <w:fldChar w:fldCharType="end"/>
            </w:r>
          </w:hyperlink>
        </w:p>
        <w:p w14:paraId="34EC5E42" w14:textId="458A1826" w:rsidR="004C5B0A" w:rsidRDefault="00000000">
          <w:pPr>
            <w:pStyle w:val="Obsah1"/>
            <w:tabs>
              <w:tab w:val="right" w:leader="dot" w:pos="9323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8863197" w:history="1">
            <w:r w:rsidR="004C5B0A" w:rsidRPr="00A032D8">
              <w:rPr>
                <w:rStyle w:val="Hypertextovprepojenie"/>
                <w:noProof/>
              </w:rPr>
              <w:t>Menežérske zhrnutie a hlavné zistenia</w:t>
            </w:r>
            <w:r w:rsidR="004C5B0A">
              <w:rPr>
                <w:noProof/>
                <w:webHidden/>
              </w:rPr>
              <w:tab/>
            </w:r>
            <w:r w:rsidR="004C5B0A">
              <w:rPr>
                <w:noProof/>
                <w:webHidden/>
              </w:rPr>
              <w:fldChar w:fldCharType="begin"/>
            </w:r>
            <w:r w:rsidR="004C5B0A">
              <w:rPr>
                <w:noProof/>
                <w:webHidden/>
              </w:rPr>
              <w:instrText xml:space="preserve"> PAGEREF _Toc188863197 \h </w:instrText>
            </w:r>
            <w:r w:rsidR="004C5B0A">
              <w:rPr>
                <w:noProof/>
                <w:webHidden/>
              </w:rPr>
            </w:r>
            <w:r w:rsidR="004C5B0A">
              <w:rPr>
                <w:noProof/>
                <w:webHidden/>
              </w:rPr>
              <w:fldChar w:fldCharType="separate"/>
            </w:r>
            <w:r w:rsidR="004C5B0A">
              <w:rPr>
                <w:noProof/>
                <w:webHidden/>
              </w:rPr>
              <w:t>3</w:t>
            </w:r>
            <w:r w:rsidR="004C5B0A">
              <w:rPr>
                <w:noProof/>
                <w:webHidden/>
              </w:rPr>
              <w:fldChar w:fldCharType="end"/>
            </w:r>
          </w:hyperlink>
        </w:p>
        <w:p w14:paraId="6AE8E1CA" w14:textId="534684DA" w:rsidR="004C5B0A" w:rsidRDefault="00000000">
          <w:pPr>
            <w:pStyle w:val="Obsah1"/>
            <w:tabs>
              <w:tab w:val="right" w:leader="dot" w:pos="9323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8863198" w:history="1">
            <w:r w:rsidR="004C5B0A" w:rsidRPr="00A032D8">
              <w:rPr>
                <w:rStyle w:val="Hypertextovprepojenie"/>
                <w:noProof/>
              </w:rPr>
              <w:t>Odporúčania</w:t>
            </w:r>
            <w:r w:rsidR="004C5B0A">
              <w:rPr>
                <w:noProof/>
                <w:webHidden/>
              </w:rPr>
              <w:tab/>
            </w:r>
            <w:r w:rsidR="004C5B0A">
              <w:rPr>
                <w:noProof/>
                <w:webHidden/>
              </w:rPr>
              <w:fldChar w:fldCharType="begin"/>
            </w:r>
            <w:r w:rsidR="004C5B0A">
              <w:rPr>
                <w:noProof/>
                <w:webHidden/>
              </w:rPr>
              <w:instrText xml:space="preserve"> PAGEREF _Toc188863198 \h </w:instrText>
            </w:r>
            <w:r w:rsidR="004C5B0A">
              <w:rPr>
                <w:noProof/>
                <w:webHidden/>
              </w:rPr>
            </w:r>
            <w:r w:rsidR="004C5B0A">
              <w:rPr>
                <w:noProof/>
                <w:webHidden/>
              </w:rPr>
              <w:fldChar w:fldCharType="separate"/>
            </w:r>
            <w:r w:rsidR="004C5B0A">
              <w:rPr>
                <w:noProof/>
                <w:webHidden/>
              </w:rPr>
              <w:t>6</w:t>
            </w:r>
            <w:r w:rsidR="004C5B0A">
              <w:rPr>
                <w:noProof/>
                <w:webHidden/>
              </w:rPr>
              <w:fldChar w:fldCharType="end"/>
            </w:r>
          </w:hyperlink>
        </w:p>
        <w:p w14:paraId="032AFE18" w14:textId="70B78902" w:rsidR="004C5B0A" w:rsidRDefault="00000000">
          <w:pPr>
            <w:pStyle w:val="Obsah1"/>
            <w:tabs>
              <w:tab w:val="right" w:leader="dot" w:pos="9323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8863199" w:history="1">
            <w:r w:rsidR="004C5B0A" w:rsidRPr="00A032D8">
              <w:rPr>
                <w:rStyle w:val="Hypertextovprepojenie"/>
                <w:noProof/>
              </w:rPr>
              <w:t>Kohézny fond</w:t>
            </w:r>
            <w:r w:rsidR="004C5B0A">
              <w:rPr>
                <w:noProof/>
                <w:webHidden/>
              </w:rPr>
              <w:tab/>
            </w:r>
            <w:r w:rsidR="004C5B0A">
              <w:rPr>
                <w:noProof/>
                <w:webHidden/>
              </w:rPr>
              <w:fldChar w:fldCharType="begin"/>
            </w:r>
            <w:r w:rsidR="004C5B0A">
              <w:rPr>
                <w:noProof/>
                <w:webHidden/>
              </w:rPr>
              <w:instrText xml:space="preserve"> PAGEREF _Toc188863199 \h </w:instrText>
            </w:r>
            <w:r w:rsidR="004C5B0A">
              <w:rPr>
                <w:noProof/>
                <w:webHidden/>
              </w:rPr>
            </w:r>
            <w:r w:rsidR="004C5B0A">
              <w:rPr>
                <w:noProof/>
                <w:webHidden/>
              </w:rPr>
              <w:fldChar w:fldCharType="separate"/>
            </w:r>
            <w:r w:rsidR="004C5B0A">
              <w:rPr>
                <w:noProof/>
                <w:webHidden/>
              </w:rPr>
              <w:t>7</w:t>
            </w:r>
            <w:r w:rsidR="004C5B0A">
              <w:rPr>
                <w:noProof/>
                <w:webHidden/>
              </w:rPr>
              <w:fldChar w:fldCharType="end"/>
            </w:r>
          </w:hyperlink>
        </w:p>
        <w:p w14:paraId="23628E00" w14:textId="25873502" w:rsidR="004C5B0A" w:rsidRDefault="00000000">
          <w:pPr>
            <w:pStyle w:val="Obsah1"/>
            <w:tabs>
              <w:tab w:val="right" w:leader="dot" w:pos="9323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8863200" w:history="1">
            <w:r w:rsidR="004C5B0A" w:rsidRPr="00A032D8">
              <w:rPr>
                <w:rStyle w:val="Hypertextovprepojenie"/>
                <w:noProof/>
              </w:rPr>
              <w:t>Menej rozvinuté regióny</w:t>
            </w:r>
            <w:r w:rsidR="004C5B0A">
              <w:rPr>
                <w:noProof/>
                <w:webHidden/>
              </w:rPr>
              <w:tab/>
            </w:r>
            <w:r w:rsidR="004C5B0A">
              <w:rPr>
                <w:noProof/>
                <w:webHidden/>
              </w:rPr>
              <w:fldChar w:fldCharType="begin"/>
            </w:r>
            <w:r w:rsidR="004C5B0A">
              <w:rPr>
                <w:noProof/>
                <w:webHidden/>
              </w:rPr>
              <w:instrText xml:space="preserve"> PAGEREF _Toc188863200 \h </w:instrText>
            </w:r>
            <w:r w:rsidR="004C5B0A">
              <w:rPr>
                <w:noProof/>
                <w:webHidden/>
              </w:rPr>
            </w:r>
            <w:r w:rsidR="004C5B0A">
              <w:rPr>
                <w:noProof/>
                <w:webHidden/>
              </w:rPr>
              <w:fldChar w:fldCharType="separate"/>
            </w:r>
            <w:r w:rsidR="004C5B0A">
              <w:rPr>
                <w:noProof/>
                <w:webHidden/>
              </w:rPr>
              <w:t>12</w:t>
            </w:r>
            <w:r w:rsidR="004C5B0A">
              <w:rPr>
                <w:noProof/>
                <w:webHidden/>
              </w:rPr>
              <w:fldChar w:fldCharType="end"/>
            </w:r>
          </w:hyperlink>
        </w:p>
        <w:p w14:paraId="16EE6115" w14:textId="2B9724FE" w:rsidR="004C5B0A" w:rsidRDefault="00000000">
          <w:pPr>
            <w:pStyle w:val="Obsah1"/>
            <w:tabs>
              <w:tab w:val="right" w:leader="dot" w:pos="9323"/>
            </w:tabs>
            <w:rPr>
              <w:rFonts w:eastAsiaTheme="minorEastAsia"/>
              <w:noProof/>
              <w:kern w:val="2"/>
              <w:sz w:val="24"/>
              <w:szCs w:val="24"/>
              <w:lang w:eastAsia="sk-SK"/>
              <w14:ligatures w14:val="standardContextual"/>
            </w:rPr>
          </w:pPr>
          <w:hyperlink w:anchor="_Toc188863201" w:history="1">
            <w:r w:rsidR="004C5B0A" w:rsidRPr="00A032D8">
              <w:rPr>
                <w:rStyle w:val="Hypertextovprepojenie"/>
                <w:noProof/>
              </w:rPr>
              <w:t>Prílohy</w:t>
            </w:r>
            <w:r w:rsidR="004C5B0A">
              <w:rPr>
                <w:noProof/>
                <w:webHidden/>
              </w:rPr>
              <w:tab/>
            </w:r>
            <w:r w:rsidR="004C5B0A">
              <w:rPr>
                <w:noProof/>
                <w:webHidden/>
              </w:rPr>
              <w:fldChar w:fldCharType="begin"/>
            </w:r>
            <w:r w:rsidR="004C5B0A">
              <w:rPr>
                <w:noProof/>
                <w:webHidden/>
              </w:rPr>
              <w:instrText xml:space="preserve"> PAGEREF _Toc188863201 \h </w:instrText>
            </w:r>
            <w:r w:rsidR="004C5B0A">
              <w:rPr>
                <w:noProof/>
                <w:webHidden/>
              </w:rPr>
            </w:r>
            <w:r w:rsidR="004C5B0A">
              <w:rPr>
                <w:noProof/>
                <w:webHidden/>
              </w:rPr>
              <w:fldChar w:fldCharType="separate"/>
            </w:r>
            <w:r w:rsidR="004C5B0A">
              <w:rPr>
                <w:noProof/>
                <w:webHidden/>
              </w:rPr>
              <w:t>15</w:t>
            </w:r>
            <w:r w:rsidR="004C5B0A">
              <w:rPr>
                <w:noProof/>
                <w:webHidden/>
              </w:rPr>
              <w:fldChar w:fldCharType="end"/>
            </w:r>
          </w:hyperlink>
        </w:p>
        <w:p w14:paraId="30DFABB5" w14:textId="520F2D42" w:rsidR="0088731B" w:rsidRPr="00A2293C" w:rsidRDefault="0088731B">
          <w:pPr>
            <w:rPr>
              <w:rFonts w:ascii="Arial Narrow" w:hAnsi="Arial Narrow"/>
            </w:rPr>
          </w:pPr>
          <w:r w:rsidRPr="00A2293C">
            <w:rPr>
              <w:rFonts w:ascii="Arial Narrow" w:hAnsi="Arial Narrow"/>
              <w:b/>
              <w:bCs/>
            </w:rPr>
            <w:fldChar w:fldCharType="end"/>
          </w:r>
        </w:p>
      </w:sdtContent>
    </w:sdt>
    <w:p w14:paraId="0FCB1466" w14:textId="77777777" w:rsidR="0088731B" w:rsidRPr="00A2293C" w:rsidRDefault="0088731B" w:rsidP="0088731B">
      <w:pPr>
        <w:tabs>
          <w:tab w:val="left" w:pos="5529"/>
        </w:tabs>
        <w:jc w:val="both"/>
        <w:rPr>
          <w:rFonts w:ascii="Arial Narrow" w:hAnsi="Arial Narrow"/>
        </w:rPr>
      </w:pPr>
    </w:p>
    <w:p w14:paraId="7CDA5821" w14:textId="77777777" w:rsidR="001E391D" w:rsidRPr="00A2293C" w:rsidRDefault="001E391D" w:rsidP="001E391D">
      <w:pPr>
        <w:jc w:val="both"/>
        <w:rPr>
          <w:rFonts w:ascii="Arial Narrow" w:eastAsiaTheme="majorEastAsia" w:hAnsi="Arial Narrow" w:cstheme="majorBidi"/>
          <w:color w:val="2F5496" w:themeColor="accent1" w:themeShade="BF"/>
        </w:rPr>
      </w:pPr>
      <w:r w:rsidRPr="00A2293C">
        <w:rPr>
          <w:rFonts w:ascii="Arial Narrow" w:hAnsi="Arial Narrow"/>
        </w:rPr>
        <w:br w:type="page"/>
      </w:r>
    </w:p>
    <w:p w14:paraId="5F73EA57" w14:textId="77777777" w:rsidR="003C607F" w:rsidRPr="00A2293C" w:rsidRDefault="003C607F" w:rsidP="001E391D">
      <w:pPr>
        <w:pStyle w:val="Nadpis1"/>
        <w:rPr>
          <w:sz w:val="22"/>
          <w:szCs w:val="22"/>
        </w:rPr>
      </w:pPr>
      <w:bookmarkStart w:id="0" w:name="_Toc188863196"/>
      <w:r w:rsidRPr="00A2293C">
        <w:rPr>
          <w:sz w:val="22"/>
          <w:szCs w:val="22"/>
        </w:rPr>
        <w:lastRenderedPageBreak/>
        <w:t>Zadanie / Poverenie</w:t>
      </w:r>
      <w:bookmarkEnd w:id="0"/>
    </w:p>
    <w:p w14:paraId="7CF1EB49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V zmysle úlohy B.1. uznesenia vlády SR č. 587/2024 z 02.10.2024 je ÚPPVL v spolupráci s 10 ministerstvami zodpovedný za predloženie dopadov a príležitostí súvisiacich s integráciou Ukrajiny do EÚ. IDRP participuje na uvedenej úlohe a zaoberá sa v tomto komentáre otázkou ako ovplyvní vstup Ukrajiny ale tiež aj západného Balkánu do EÚ oprávnenosť Slovenska, resp. jeho NUTS2 regiónov na Kohézny fond, začlenenie regiónov  k jednotlivým stupňom rozvinutosti a následne vývoj tzv. „Národnej obálky“. Národná obálka zahŕňa výšku finančného príspevku EÚ pre Slovensko pre tri základné fondy tvoriace kohéznu politiku EÚ, t. j. Európsky fond regionálneho rozvoja, Kohézny fond a Európsky sociálny fond.</w:t>
      </w:r>
    </w:p>
    <w:p w14:paraId="67DC4DFF" w14:textId="28B71AE2" w:rsidR="003C607F" w:rsidRPr="00A2293C" w:rsidRDefault="00393217" w:rsidP="001E391D">
      <w:pPr>
        <w:pStyle w:val="Nadpis1"/>
        <w:rPr>
          <w:sz w:val="22"/>
          <w:szCs w:val="22"/>
        </w:rPr>
      </w:pPr>
      <w:bookmarkStart w:id="1" w:name="_Toc188863197"/>
      <w:r w:rsidRPr="00A2293C">
        <w:rPr>
          <w:sz w:val="22"/>
          <w:szCs w:val="22"/>
        </w:rPr>
        <w:t>Menežérske zhrnutie a hlavné zistenia</w:t>
      </w:r>
      <w:bookmarkEnd w:id="1"/>
    </w:p>
    <w:p w14:paraId="48227187" w14:textId="5EF777AF" w:rsidR="00393217" w:rsidRPr="001762CF" w:rsidRDefault="003C607F" w:rsidP="001762CF">
      <w:pPr>
        <w:spacing w:line="276" w:lineRule="auto"/>
        <w:jc w:val="both"/>
        <w:rPr>
          <w:rFonts w:ascii="Arial Narrow" w:hAnsi="Arial Narrow"/>
        </w:rPr>
      </w:pPr>
      <w:r w:rsidRPr="001762CF">
        <w:rPr>
          <w:rFonts w:ascii="Arial Narrow" w:hAnsi="Arial Narrow"/>
        </w:rPr>
        <w:t>Vývoj Národnej obálky</w:t>
      </w:r>
      <w:r w:rsidR="00BA6B38" w:rsidRPr="001762CF">
        <w:rPr>
          <w:rFonts w:ascii="Arial Narrow" w:hAnsi="Arial Narrow"/>
        </w:rPr>
        <w:t xml:space="preserve"> - nami vypracovaná </w:t>
      </w:r>
      <w:r w:rsidR="00393217" w:rsidRPr="001762CF">
        <w:rPr>
          <w:rFonts w:ascii="Arial Narrow" w:hAnsi="Arial Narrow"/>
        </w:rPr>
        <w:t xml:space="preserve">analýza má za cieľ vyhodnotiť vplyvy na „Národnú obálku“ a odhadnúť vplyv na národné EŠIF zdroje. V súčasnosti je zložité odhadnúť </w:t>
      </w:r>
      <w:proofErr w:type="spellStart"/>
      <w:r w:rsidR="00393217" w:rsidRPr="001762CF">
        <w:rPr>
          <w:rFonts w:ascii="Arial Narrow" w:hAnsi="Arial Narrow"/>
        </w:rPr>
        <w:t>externality</w:t>
      </w:r>
      <w:proofErr w:type="spellEnd"/>
      <w:r w:rsidR="00393217" w:rsidRPr="001762CF">
        <w:rPr>
          <w:rFonts w:ascii="Arial Narrow" w:hAnsi="Arial Narrow"/>
        </w:rPr>
        <w:t xml:space="preserve"> a vplyvy v druhom a treťom rade vstupu hodnotených krajín do EÚ a teda odporúčania a vplyvy sú odvodené len vo vzťahu k Národnej obálke a prípadným odhadovaným zmenám objemu fondov pre Slovenskú republiku.</w:t>
      </w:r>
    </w:p>
    <w:p w14:paraId="0C1E8ADC" w14:textId="6B1543E5" w:rsidR="00393217" w:rsidRPr="001762CF" w:rsidRDefault="00A2293C" w:rsidP="001762C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1762CF">
        <w:rPr>
          <w:rFonts w:ascii="Arial Narrow" w:hAnsi="Arial Narrow"/>
        </w:rPr>
        <w:t>Analýzou</w:t>
      </w:r>
      <w:r w:rsidR="00393217" w:rsidRPr="001762CF">
        <w:rPr>
          <w:rFonts w:ascii="Arial Narrow" w:hAnsi="Arial Narrow"/>
        </w:rPr>
        <w:t xml:space="preserve"> </w:t>
      </w:r>
      <w:r w:rsidRPr="001762CF">
        <w:rPr>
          <w:rFonts w:ascii="Arial Narrow" w:hAnsi="Arial Narrow"/>
        </w:rPr>
        <w:t>aktuálnych</w:t>
      </w:r>
      <w:r w:rsidR="00393217" w:rsidRPr="001762CF">
        <w:rPr>
          <w:rFonts w:ascii="Arial Narrow" w:hAnsi="Arial Narrow"/>
        </w:rPr>
        <w:t xml:space="preserve"> údajov, ktoré </w:t>
      </w:r>
      <w:r w:rsidRPr="001762CF">
        <w:rPr>
          <w:rFonts w:ascii="Arial Narrow" w:hAnsi="Arial Narrow"/>
        </w:rPr>
        <w:t>vstupujú</w:t>
      </w:r>
      <w:r w:rsidR="00393217" w:rsidRPr="001762CF">
        <w:rPr>
          <w:rFonts w:ascii="Arial Narrow" w:hAnsi="Arial Narrow"/>
        </w:rPr>
        <w:t xml:space="preserve"> do </w:t>
      </w:r>
      <w:r w:rsidRPr="001762CF">
        <w:rPr>
          <w:rFonts w:ascii="Arial Narrow" w:hAnsi="Arial Narrow"/>
        </w:rPr>
        <w:t>výpočtu</w:t>
      </w:r>
      <w:r w:rsidR="00393217" w:rsidRPr="001762CF">
        <w:rPr>
          <w:rFonts w:ascii="Arial Narrow" w:hAnsi="Arial Narrow"/>
        </w:rPr>
        <w:t xml:space="preserve"> národnej obálky sme zistili, že pri ich aplikácii by SR získalo </w:t>
      </w:r>
      <w:r w:rsidR="00DB44AC">
        <w:rPr>
          <w:rFonts w:ascii="Arial Narrow" w:hAnsi="Arial Narrow"/>
        </w:rPr>
        <w:t xml:space="preserve">v súčasnosti </w:t>
      </w:r>
      <w:r w:rsidR="00393217" w:rsidRPr="001762CF">
        <w:rPr>
          <w:rFonts w:ascii="Arial Narrow" w:hAnsi="Arial Narrow"/>
        </w:rPr>
        <w:t>o</w:t>
      </w:r>
      <w:r w:rsidR="00D6267B">
        <w:rPr>
          <w:rFonts w:ascii="Arial Narrow" w:hAnsi="Arial Narrow"/>
        </w:rPr>
        <w:t> 2,044</w:t>
      </w:r>
      <w:r w:rsidR="00393217" w:rsidRPr="001762CF">
        <w:rPr>
          <w:rFonts w:ascii="Arial Narrow" w:hAnsi="Arial Narrow"/>
        </w:rPr>
        <w:t xml:space="preserve"> mld</w:t>
      </w:r>
      <w:r w:rsidR="00D6267B">
        <w:rPr>
          <w:rFonts w:ascii="Arial Narrow" w:hAnsi="Arial Narrow"/>
        </w:rPr>
        <w:t>.</w:t>
      </w:r>
      <w:r w:rsidR="00393217" w:rsidRPr="001762CF">
        <w:rPr>
          <w:rFonts w:ascii="Arial Narrow" w:hAnsi="Arial Narrow"/>
        </w:rPr>
        <w:t xml:space="preserve"> eur viac ako na začiatku </w:t>
      </w:r>
      <w:r w:rsidR="00DB44AC">
        <w:rPr>
          <w:rFonts w:ascii="Arial Narrow" w:hAnsi="Arial Narrow"/>
        </w:rPr>
        <w:t xml:space="preserve">programového </w:t>
      </w:r>
      <w:r w:rsidR="00393217" w:rsidRPr="001762CF">
        <w:rPr>
          <w:rFonts w:ascii="Arial Narrow" w:hAnsi="Arial Narrow"/>
        </w:rPr>
        <w:t>obdobia</w:t>
      </w:r>
      <w:r w:rsidR="00DB44AC">
        <w:rPr>
          <w:rFonts w:ascii="Arial Narrow" w:hAnsi="Arial Narrow"/>
        </w:rPr>
        <w:t xml:space="preserve"> 2021 - 2027.</w:t>
      </w:r>
    </w:p>
    <w:p w14:paraId="373C7CC4" w14:textId="2DBDDA52" w:rsidR="00393217" w:rsidRPr="001762CF" w:rsidRDefault="00A2293C" w:rsidP="001762C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1762CF">
        <w:rPr>
          <w:rFonts w:ascii="Arial Narrow" w:hAnsi="Arial Narrow"/>
        </w:rPr>
        <w:t>Dosiahnuté výsledky</w:t>
      </w:r>
      <w:r w:rsidR="00393217" w:rsidRPr="001762CF">
        <w:rPr>
          <w:rFonts w:ascii="Arial Narrow" w:hAnsi="Arial Narrow"/>
        </w:rPr>
        <w:t xml:space="preserve"> okol</w:t>
      </w:r>
      <w:r w:rsidRPr="001762CF">
        <w:rPr>
          <w:rFonts w:ascii="Arial Narrow" w:hAnsi="Arial Narrow"/>
        </w:rPr>
        <w:t>itých regiónov</w:t>
      </w:r>
      <w:r w:rsidR="00393217" w:rsidRPr="001762CF">
        <w:rPr>
          <w:rFonts w:ascii="Arial Narrow" w:hAnsi="Arial Narrow"/>
        </w:rPr>
        <w:t xml:space="preserve"> </w:t>
      </w:r>
      <w:r w:rsidRPr="001762CF">
        <w:rPr>
          <w:rFonts w:ascii="Arial Narrow" w:hAnsi="Arial Narrow"/>
        </w:rPr>
        <w:t>najmä</w:t>
      </w:r>
      <w:r w:rsidR="00393217" w:rsidRPr="001762CF">
        <w:rPr>
          <w:rFonts w:ascii="Arial Narrow" w:hAnsi="Arial Narrow"/>
        </w:rPr>
        <w:t xml:space="preserve"> ČR a PL nám hovoria, že sa zvyšuje počet prechodných región</w:t>
      </w:r>
      <w:r w:rsidR="00DB44AC">
        <w:rPr>
          <w:rFonts w:ascii="Arial Narrow" w:hAnsi="Arial Narrow"/>
        </w:rPr>
        <w:t>o</w:t>
      </w:r>
      <w:r w:rsidR="00393217" w:rsidRPr="001762CF">
        <w:rPr>
          <w:rFonts w:ascii="Arial Narrow" w:hAnsi="Arial Narrow"/>
        </w:rPr>
        <w:t xml:space="preserve">v v týchto štátoch, čo znamená zníženie </w:t>
      </w:r>
      <w:r w:rsidRPr="001762CF">
        <w:rPr>
          <w:rFonts w:ascii="Arial Narrow" w:hAnsi="Arial Narrow"/>
        </w:rPr>
        <w:t>zdrojov</w:t>
      </w:r>
      <w:r w:rsidR="00393217" w:rsidRPr="001762CF">
        <w:rPr>
          <w:rFonts w:ascii="Arial Narrow" w:hAnsi="Arial Narrow"/>
        </w:rPr>
        <w:t xml:space="preserve"> </w:t>
      </w:r>
      <w:r w:rsidR="00DB44AC">
        <w:rPr>
          <w:rFonts w:ascii="Arial Narrow" w:hAnsi="Arial Narrow"/>
        </w:rPr>
        <w:t>pre</w:t>
      </w:r>
      <w:r w:rsidR="00393217" w:rsidRPr="001762CF">
        <w:rPr>
          <w:rFonts w:ascii="Arial Narrow" w:hAnsi="Arial Narrow"/>
        </w:rPr>
        <w:t> ich národn</w:t>
      </w:r>
      <w:r w:rsidR="00DB44AC">
        <w:rPr>
          <w:rFonts w:ascii="Arial Narrow" w:hAnsi="Arial Narrow"/>
        </w:rPr>
        <w:t>é</w:t>
      </w:r>
      <w:r w:rsidR="00393217" w:rsidRPr="001762CF">
        <w:rPr>
          <w:rFonts w:ascii="Arial Narrow" w:hAnsi="Arial Narrow"/>
        </w:rPr>
        <w:t xml:space="preserve"> obálk</w:t>
      </w:r>
      <w:r w:rsidR="00DB44AC">
        <w:rPr>
          <w:rFonts w:ascii="Arial Narrow" w:hAnsi="Arial Narrow"/>
        </w:rPr>
        <w:t>y.</w:t>
      </w:r>
    </w:p>
    <w:p w14:paraId="53A5ED25" w14:textId="676D576D" w:rsidR="00393217" w:rsidRPr="001762CF" w:rsidRDefault="00DB44AC" w:rsidP="001762C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>V</w:t>
      </w:r>
      <w:r w:rsidR="00393217" w:rsidRPr="001762CF">
        <w:rPr>
          <w:rFonts w:ascii="Arial Narrow" w:hAnsi="Arial Narrow"/>
        </w:rPr>
        <w:t> prípade vstupu krajín západného Balkánu, nedôjde k výraznému poklesu zdrojov vyčlenených pre SR (- 3,23 %)</w:t>
      </w:r>
      <w:r>
        <w:rPr>
          <w:rFonts w:ascii="Arial Narrow" w:hAnsi="Arial Narrow"/>
        </w:rPr>
        <w:t>.</w:t>
      </w:r>
    </w:p>
    <w:p w14:paraId="1F87778A" w14:textId="68BFD00E" w:rsidR="00393217" w:rsidRPr="001762CF" w:rsidRDefault="00DB44AC" w:rsidP="001762C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>V</w:t>
      </w:r>
      <w:r w:rsidR="00393217" w:rsidRPr="001762CF">
        <w:rPr>
          <w:rFonts w:ascii="Arial Narrow" w:hAnsi="Arial Narrow"/>
        </w:rPr>
        <w:t> prípade vstupu krajín západného Balkánu a Ukrajiny by došlo k najvyššiemu poklesu príspevku EÚ zdrojov pre SR (- 14,12 %)</w:t>
      </w:r>
      <w:r>
        <w:rPr>
          <w:rFonts w:ascii="Arial Narrow" w:hAnsi="Arial Narrow"/>
        </w:rPr>
        <w:t>.</w:t>
      </w:r>
    </w:p>
    <w:p w14:paraId="26ADA38B" w14:textId="5E25D4A9" w:rsidR="00393217" w:rsidRPr="001762CF" w:rsidRDefault="00393217" w:rsidP="001762C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1762CF">
        <w:rPr>
          <w:rFonts w:ascii="Arial Narrow" w:hAnsi="Arial Narrow"/>
        </w:rPr>
        <w:t xml:space="preserve">Pri </w:t>
      </w:r>
      <w:r w:rsidR="00BA6B38" w:rsidRPr="001762CF">
        <w:rPr>
          <w:rFonts w:ascii="Arial Narrow" w:hAnsi="Arial Narrow"/>
        </w:rPr>
        <w:t>zohľadnení</w:t>
      </w:r>
      <w:r w:rsidRPr="001762CF">
        <w:rPr>
          <w:rFonts w:ascii="Arial Narrow" w:hAnsi="Arial Narrow"/>
        </w:rPr>
        <w:t xml:space="preserve"> </w:t>
      </w:r>
      <w:r w:rsidR="00BA6B38" w:rsidRPr="001762CF">
        <w:rPr>
          <w:rFonts w:ascii="Arial Narrow" w:hAnsi="Arial Narrow"/>
        </w:rPr>
        <w:t>údajov</w:t>
      </w:r>
      <w:r w:rsidRPr="001762CF">
        <w:rPr>
          <w:rFonts w:ascii="Arial Narrow" w:hAnsi="Arial Narrow"/>
        </w:rPr>
        <w:t xml:space="preserve"> vstupu krajín </w:t>
      </w:r>
      <w:r w:rsidR="00A2293C" w:rsidRPr="001762CF">
        <w:rPr>
          <w:rFonts w:ascii="Arial Narrow" w:hAnsi="Arial Narrow"/>
        </w:rPr>
        <w:t>západného</w:t>
      </w:r>
      <w:r w:rsidRPr="001762CF">
        <w:rPr>
          <w:rFonts w:ascii="Arial Narrow" w:hAnsi="Arial Narrow"/>
        </w:rPr>
        <w:t xml:space="preserve"> </w:t>
      </w:r>
      <w:r w:rsidR="00BA6B38" w:rsidRPr="001762CF">
        <w:rPr>
          <w:rFonts w:ascii="Arial Narrow" w:hAnsi="Arial Narrow"/>
        </w:rPr>
        <w:t>B</w:t>
      </w:r>
      <w:r w:rsidRPr="001762CF">
        <w:rPr>
          <w:rFonts w:ascii="Arial Narrow" w:hAnsi="Arial Narrow"/>
        </w:rPr>
        <w:t xml:space="preserve">alkánu do </w:t>
      </w:r>
      <w:r w:rsidR="00DB44AC">
        <w:rPr>
          <w:rFonts w:ascii="Arial Narrow" w:hAnsi="Arial Narrow"/>
        </w:rPr>
        <w:t>EÚ</w:t>
      </w:r>
      <w:r w:rsidRPr="001762CF">
        <w:rPr>
          <w:rFonts w:ascii="Arial Narrow" w:hAnsi="Arial Narrow"/>
        </w:rPr>
        <w:t xml:space="preserve"> sa zvyšuje počet </w:t>
      </w:r>
      <w:r w:rsidR="00BA6B38" w:rsidRPr="001762CF">
        <w:rPr>
          <w:rFonts w:ascii="Arial Narrow" w:hAnsi="Arial Narrow"/>
        </w:rPr>
        <w:t>prechodných</w:t>
      </w:r>
      <w:r w:rsidRPr="001762CF">
        <w:rPr>
          <w:rFonts w:ascii="Arial Narrow" w:hAnsi="Arial Narrow"/>
        </w:rPr>
        <w:t xml:space="preserve"> </w:t>
      </w:r>
      <w:r w:rsidR="00BA6B38" w:rsidRPr="001762CF">
        <w:rPr>
          <w:rFonts w:ascii="Arial Narrow" w:hAnsi="Arial Narrow"/>
        </w:rPr>
        <w:t>región</w:t>
      </w:r>
      <w:r w:rsidRPr="001762CF">
        <w:rPr>
          <w:rFonts w:ascii="Arial Narrow" w:hAnsi="Arial Narrow"/>
        </w:rPr>
        <w:t>ov v </w:t>
      </w:r>
      <w:r w:rsidR="00DB44AC">
        <w:rPr>
          <w:rFonts w:ascii="Arial Narrow" w:hAnsi="Arial Narrow"/>
        </w:rPr>
        <w:t>EÚ</w:t>
      </w:r>
      <w:r w:rsidRPr="001762CF">
        <w:rPr>
          <w:rFonts w:ascii="Arial Narrow" w:hAnsi="Arial Narrow"/>
        </w:rPr>
        <w:t xml:space="preserve"> a tým sa zvyšuje obálka</w:t>
      </w:r>
      <w:r w:rsidR="00DB44AC">
        <w:rPr>
          <w:rFonts w:ascii="Arial Narrow" w:hAnsi="Arial Narrow"/>
        </w:rPr>
        <w:t>,</w:t>
      </w:r>
      <w:r w:rsidRPr="001762CF">
        <w:rPr>
          <w:rFonts w:ascii="Arial Narrow" w:hAnsi="Arial Narrow"/>
        </w:rPr>
        <w:t xml:space="preserve"> z ktore</w:t>
      </w:r>
      <w:r w:rsidR="00DB44AC">
        <w:rPr>
          <w:rFonts w:ascii="Arial Narrow" w:hAnsi="Arial Narrow"/>
        </w:rPr>
        <w:t>j</w:t>
      </w:r>
      <w:r w:rsidRPr="001762CF">
        <w:rPr>
          <w:rFonts w:ascii="Arial Narrow" w:hAnsi="Arial Narrow"/>
        </w:rPr>
        <w:t xml:space="preserve"> môže čerpať SR</w:t>
      </w:r>
      <w:r w:rsidR="00DB44AC">
        <w:rPr>
          <w:rFonts w:ascii="Arial Narrow" w:hAnsi="Arial Narrow"/>
        </w:rPr>
        <w:t>.</w:t>
      </w:r>
    </w:p>
    <w:p w14:paraId="5580D98D" w14:textId="219D92A9" w:rsidR="00BA6B38" w:rsidRPr="001762CF" w:rsidRDefault="00BA6B38" w:rsidP="001762C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Najvyšší pokles </w:t>
      </w:r>
      <w:r w:rsidR="00DB44AC">
        <w:rPr>
          <w:rFonts w:ascii="Arial Narrow" w:hAnsi="Arial Narrow"/>
        </w:rPr>
        <w:t>N</w:t>
      </w:r>
      <w:r>
        <w:rPr>
          <w:rFonts w:ascii="Arial Narrow" w:hAnsi="Arial Narrow"/>
        </w:rPr>
        <w:t xml:space="preserve">árodnej obálky pri súčasnom vstupe krajín západného Balkánu a Ukrajiny do </w:t>
      </w:r>
      <w:r w:rsidR="00DB44AC">
        <w:rPr>
          <w:rFonts w:ascii="Arial Narrow" w:hAnsi="Arial Narrow"/>
        </w:rPr>
        <w:t>EÚ</w:t>
      </w:r>
      <w:r>
        <w:rPr>
          <w:rFonts w:ascii="Arial Narrow" w:hAnsi="Arial Narrow"/>
        </w:rPr>
        <w:t xml:space="preserve"> znamená </w:t>
      </w:r>
      <w:r w:rsidR="0035017D">
        <w:rPr>
          <w:rFonts w:ascii="Arial Narrow" w:hAnsi="Arial Narrow"/>
        </w:rPr>
        <w:t xml:space="preserve">zníženie </w:t>
      </w:r>
      <w:r>
        <w:rPr>
          <w:rFonts w:ascii="Arial Narrow" w:hAnsi="Arial Narrow"/>
        </w:rPr>
        <w:t xml:space="preserve">zdrojov o 23 mil. </w:t>
      </w:r>
      <w:r w:rsidR="0035017D">
        <w:rPr>
          <w:rFonts w:ascii="Arial Narrow" w:hAnsi="Arial Narrow"/>
        </w:rPr>
        <w:t>eur</w:t>
      </w:r>
      <w:r>
        <w:rPr>
          <w:rFonts w:ascii="Arial Narrow" w:hAnsi="Arial Narrow"/>
        </w:rPr>
        <w:t xml:space="preserve"> oproti Národnej obálke na roky 2021 -2027</w:t>
      </w:r>
      <w:r w:rsidR="00DB44AC">
        <w:rPr>
          <w:rFonts w:ascii="Arial Narrow" w:hAnsi="Arial Narrow"/>
        </w:rPr>
        <w:t>.</w:t>
      </w:r>
    </w:p>
    <w:p w14:paraId="32B88321" w14:textId="77777777" w:rsidR="00393217" w:rsidRPr="00A2293C" w:rsidRDefault="00393217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p w14:paraId="385E36A5" w14:textId="1AF48C56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lastRenderedPageBreak/>
        <w:t>Slovensko uzavrelo pre programové obdobie 2021 – 2027 partnerskú dohodu s Európskou komisiou v hodnote 12,6 miliardy eur. IDRP spracovalo rôzne scenáre vývoja tejto Národnej obálky s tým, že aktualizovalo údaje, ktoré vstupovali do jej výpočtu pri jej zostavovaní pred začiatkom programového obdobia 2021 – 2027. Pri aktualizácii došlo k navýšeniu Národnej obálky o 16,23 %. Toto zvýšenie je spôsobené primárne vysokou infláciou v posledných rokoch, ktorá nominálne navýšila hodnoty HDP. Pri ostatných scenároch vývoja sa táto aktualizovaná hodnota berie za novú východiskovú hodnotu.</w:t>
      </w:r>
    </w:p>
    <w:p w14:paraId="11631D8E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IDRP sa venoval 4 scenárom vývoja Národnej obálky a síce:</w:t>
      </w:r>
    </w:p>
    <w:p w14:paraId="22717A40" w14:textId="77777777" w:rsidR="003C607F" w:rsidRPr="00A2293C" w:rsidRDefault="003C607F" w:rsidP="00396B3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pri zachovaní súčasných členských štátov EÚ, kde došlo len k aktualizácii údajov;</w:t>
      </w:r>
    </w:p>
    <w:p w14:paraId="766B9C6C" w14:textId="77777777" w:rsidR="003C607F" w:rsidRPr="00A2293C" w:rsidRDefault="003C607F" w:rsidP="00396B3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v prípade rozšírenia EÚ o krajiny: Albánsko, Bosna a Hercegovina, Čierna Hora, Srbsko, Severné Macedónsko (krajiny západného Balkánu);</w:t>
      </w:r>
    </w:p>
    <w:p w14:paraId="195CDDC3" w14:textId="77777777" w:rsidR="003C607F" w:rsidRPr="00A2293C" w:rsidRDefault="003C607F" w:rsidP="00396B3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v prípade rozšírenia EÚ o Ukrajinu,</w:t>
      </w:r>
    </w:p>
    <w:p w14:paraId="1AB44581" w14:textId="77777777" w:rsidR="003C607F" w:rsidRPr="00A2293C" w:rsidRDefault="003C607F" w:rsidP="00396B3F">
      <w:pPr>
        <w:pStyle w:val="Odsekzoznamu"/>
        <w:numPr>
          <w:ilvl w:val="0"/>
          <w:numId w:val="1"/>
        </w:numPr>
        <w:spacing w:line="276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v prípade rozšírenia EÚ o Ukrajinu a krajiny západného Balkánu .</w:t>
      </w:r>
    </w:p>
    <w:p w14:paraId="10DB1A2B" w14:textId="77777777" w:rsidR="003C607F" w:rsidRPr="00A2293C" w:rsidRDefault="003C607F" w:rsidP="00396B3F">
      <w:pPr>
        <w:pStyle w:val="Odsekzoznamu"/>
        <w:spacing w:line="276" w:lineRule="auto"/>
        <w:ind w:left="765"/>
        <w:rPr>
          <w:rFonts w:ascii="Arial Narrow" w:hAnsi="Arial Narrow"/>
        </w:rPr>
      </w:pPr>
    </w:p>
    <w:p w14:paraId="40878EDB" w14:textId="77777777" w:rsidR="001E391D" w:rsidRPr="00A2293C" w:rsidRDefault="001E391D" w:rsidP="00396B3F">
      <w:pPr>
        <w:pStyle w:val="Odsekzoznamu"/>
        <w:spacing w:line="276" w:lineRule="auto"/>
        <w:ind w:left="0"/>
        <w:rPr>
          <w:rFonts w:ascii="Arial Narrow" w:hAnsi="Arial Narrow"/>
        </w:rPr>
      </w:pPr>
      <w:r w:rsidRPr="00A2293C">
        <w:rPr>
          <w:rFonts w:ascii="Arial Narrow" w:hAnsi="Arial Narrow"/>
        </w:rPr>
        <w:t>Tabuľka č. 1: Porovnanie výšky Národnej obálky pri rôznych</w:t>
      </w:r>
      <w:r w:rsidR="001F20C7" w:rsidRPr="00A2293C">
        <w:rPr>
          <w:rFonts w:ascii="Arial Narrow" w:hAnsi="Arial Narrow"/>
        </w:rPr>
        <w:t xml:space="preserve"> scenároch rozširovania EÚ</w:t>
      </w:r>
    </w:p>
    <w:tbl>
      <w:tblPr>
        <w:tblStyle w:val="Tabukasozoznamom4zvraznenie5"/>
        <w:tblW w:w="8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2"/>
        <w:gridCol w:w="2873"/>
        <w:gridCol w:w="3105"/>
      </w:tblGrid>
      <w:tr w:rsidR="00BA6B38" w:rsidRPr="00A2293C" w14:paraId="51AF40C9" w14:textId="33B6EDAA" w:rsidTr="00BA6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B8039FB" w14:textId="77777777" w:rsidR="00BA6B38" w:rsidRPr="00A2293C" w:rsidRDefault="00BA6B38" w:rsidP="007032B1">
            <w:pPr>
              <w:spacing w:after="120"/>
              <w:rPr>
                <w:rFonts w:ascii="Arial Narrow" w:hAnsi="Arial Narrow"/>
              </w:rPr>
            </w:pPr>
          </w:p>
        </w:tc>
        <w:tc>
          <w:tcPr>
            <w:tcW w:w="2873" w:type="dxa"/>
            <w:tcBorders>
              <w:top w:val="none" w:sz="0" w:space="0" w:color="auto"/>
              <w:bottom w:val="none" w:sz="0" w:space="0" w:color="auto"/>
            </w:tcBorders>
          </w:tcPr>
          <w:p w14:paraId="713D2487" w14:textId="7AD16077" w:rsidR="00BA6B38" w:rsidRPr="00A2293C" w:rsidRDefault="00BA6B38" w:rsidP="007032B1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A2293C">
              <w:rPr>
                <w:rFonts w:ascii="Arial Narrow" w:hAnsi="Arial Narrow"/>
              </w:rPr>
              <w:t>Národná obálka</w:t>
            </w:r>
            <w:r>
              <w:rPr>
                <w:rFonts w:ascii="Arial Narrow" w:hAnsi="Arial Narrow"/>
              </w:rPr>
              <w:t>-rok 2025</w:t>
            </w:r>
          </w:p>
        </w:tc>
        <w:tc>
          <w:tcPr>
            <w:tcW w:w="310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BC87212" w14:textId="2C9261F5" w:rsidR="00BA6B38" w:rsidRPr="00A2293C" w:rsidRDefault="00BA6B38" w:rsidP="007032B1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Rozdiel scenárov oproti Národná obálka na roky 2021 až 2027 (súčasné obdobie)</w:t>
            </w:r>
          </w:p>
        </w:tc>
      </w:tr>
      <w:tr w:rsidR="00BA6B38" w:rsidRPr="00A2293C" w14:paraId="09745C7B" w14:textId="23CCD1D1" w:rsidTr="00BA6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</w:tcPr>
          <w:p w14:paraId="4B552EAB" w14:textId="77777777" w:rsidR="00BA6B38" w:rsidRPr="00A2293C" w:rsidRDefault="00BA6B38" w:rsidP="007032B1">
            <w:pPr>
              <w:spacing w:after="120"/>
              <w:rPr>
                <w:rFonts w:ascii="Arial Narrow" w:hAnsi="Arial Narrow"/>
              </w:rPr>
            </w:pPr>
            <w:r w:rsidRPr="00A2293C">
              <w:rPr>
                <w:rFonts w:ascii="Arial Narrow" w:hAnsi="Arial Narrow"/>
              </w:rPr>
              <w:t>EÚ 27 aktualizácia</w:t>
            </w:r>
          </w:p>
        </w:tc>
        <w:tc>
          <w:tcPr>
            <w:tcW w:w="2873" w:type="dxa"/>
          </w:tcPr>
          <w:p w14:paraId="1DEC332F" w14:textId="27071595" w:rsidR="00BA6B38" w:rsidRPr="00A2293C" w:rsidRDefault="00BA6B38" w:rsidP="007032B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A2293C">
              <w:rPr>
                <w:rFonts w:ascii="Arial Narrow" w:hAnsi="Arial Narrow"/>
                <w:b/>
              </w:rPr>
              <w:t xml:space="preserve">14,638 mld. </w:t>
            </w:r>
            <w:r w:rsidR="0035017D">
              <w:rPr>
                <w:rFonts w:ascii="Arial Narrow" w:hAnsi="Arial Narrow"/>
                <w:b/>
              </w:rPr>
              <w:t>eur</w:t>
            </w:r>
          </w:p>
        </w:tc>
        <w:tc>
          <w:tcPr>
            <w:tcW w:w="3105" w:type="dxa"/>
          </w:tcPr>
          <w:p w14:paraId="0399F806" w14:textId="549F47F7" w:rsidR="00BA6B38" w:rsidRPr="00A2293C" w:rsidRDefault="00BA6B38" w:rsidP="007032B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BA6B38">
              <w:rPr>
                <w:rFonts w:ascii="Arial Narrow" w:hAnsi="Arial Narrow"/>
                <w:b/>
                <w:color w:val="538135" w:themeColor="accent6" w:themeShade="BF"/>
              </w:rPr>
              <w:t>+ 2,044</w:t>
            </w:r>
            <w:r>
              <w:rPr>
                <w:rFonts w:ascii="Arial Narrow" w:hAnsi="Arial Narrow"/>
                <w:b/>
                <w:color w:val="538135" w:themeColor="accent6" w:themeShade="BF"/>
              </w:rPr>
              <w:t xml:space="preserve"> mld. </w:t>
            </w:r>
            <w:r w:rsidR="0035017D">
              <w:rPr>
                <w:rFonts w:ascii="Arial Narrow" w:hAnsi="Arial Narrow"/>
                <w:b/>
                <w:color w:val="538135" w:themeColor="accent6" w:themeShade="BF"/>
              </w:rPr>
              <w:t>eur</w:t>
            </w:r>
          </w:p>
        </w:tc>
      </w:tr>
      <w:tr w:rsidR="00BA6B38" w:rsidRPr="00A2293C" w14:paraId="3C379D67" w14:textId="44CCC164" w:rsidTr="00BA6B38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</w:tcPr>
          <w:p w14:paraId="500C9C52" w14:textId="77777777" w:rsidR="00BA6B38" w:rsidRPr="00A2293C" w:rsidRDefault="00BA6B38" w:rsidP="007032B1">
            <w:pPr>
              <w:spacing w:after="120"/>
              <w:rPr>
                <w:rFonts w:ascii="Arial Narrow" w:hAnsi="Arial Narrow"/>
              </w:rPr>
            </w:pPr>
            <w:r w:rsidRPr="00A2293C">
              <w:rPr>
                <w:rFonts w:ascii="Arial Narrow" w:hAnsi="Arial Narrow"/>
              </w:rPr>
              <w:t>EÚ 27 + Balkán</w:t>
            </w:r>
          </w:p>
        </w:tc>
        <w:tc>
          <w:tcPr>
            <w:tcW w:w="2873" w:type="dxa"/>
          </w:tcPr>
          <w:p w14:paraId="0ED5D421" w14:textId="55D3CC45" w:rsidR="00BA6B38" w:rsidRPr="00A2293C" w:rsidRDefault="00BA6B38" w:rsidP="007032B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A2293C">
              <w:rPr>
                <w:rFonts w:ascii="Arial Narrow" w:hAnsi="Arial Narrow"/>
                <w:b/>
              </w:rPr>
              <w:t xml:space="preserve">14,165 mld. </w:t>
            </w:r>
            <w:r w:rsidR="0035017D">
              <w:rPr>
                <w:rFonts w:ascii="Arial Narrow" w:hAnsi="Arial Narrow"/>
                <w:b/>
              </w:rPr>
              <w:t>eur</w:t>
            </w:r>
          </w:p>
        </w:tc>
        <w:tc>
          <w:tcPr>
            <w:tcW w:w="3105" w:type="dxa"/>
          </w:tcPr>
          <w:p w14:paraId="7E23F08B" w14:textId="2E08DDAC" w:rsidR="00BA6B38" w:rsidRPr="00CA5F85" w:rsidRDefault="00BA6B38" w:rsidP="007032B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color w:val="538135" w:themeColor="accent6" w:themeShade="BF"/>
              </w:rPr>
            </w:pPr>
            <w:r w:rsidRPr="00CA5F85">
              <w:rPr>
                <w:rFonts w:ascii="Arial Narrow" w:hAnsi="Arial Narrow"/>
                <w:b/>
                <w:color w:val="538135" w:themeColor="accent6" w:themeShade="BF"/>
              </w:rPr>
              <w:t xml:space="preserve">+ 1,571 mld. </w:t>
            </w:r>
            <w:r w:rsidR="0035017D">
              <w:rPr>
                <w:rFonts w:ascii="Arial Narrow" w:hAnsi="Arial Narrow"/>
                <w:b/>
                <w:color w:val="538135" w:themeColor="accent6" w:themeShade="BF"/>
              </w:rPr>
              <w:t>eur</w:t>
            </w:r>
          </w:p>
        </w:tc>
      </w:tr>
      <w:tr w:rsidR="00BA6B38" w:rsidRPr="00A2293C" w14:paraId="2DBF1248" w14:textId="43CFEED2" w:rsidTr="00BA6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</w:tcPr>
          <w:p w14:paraId="3C9E40B9" w14:textId="77777777" w:rsidR="00BA6B38" w:rsidRPr="00A2293C" w:rsidRDefault="00BA6B38" w:rsidP="007032B1">
            <w:pPr>
              <w:spacing w:after="120"/>
              <w:rPr>
                <w:rFonts w:ascii="Arial Narrow" w:hAnsi="Arial Narrow"/>
              </w:rPr>
            </w:pPr>
            <w:r w:rsidRPr="00A2293C">
              <w:rPr>
                <w:rFonts w:ascii="Arial Narrow" w:hAnsi="Arial Narrow"/>
              </w:rPr>
              <w:t>EÚ 27 + Ukrajina</w:t>
            </w:r>
          </w:p>
        </w:tc>
        <w:tc>
          <w:tcPr>
            <w:tcW w:w="2873" w:type="dxa"/>
          </w:tcPr>
          <w:p w14:paraId="1E25DDEA" w14:textId="3950566C" w:rsidR="00BA6B38" w:rsidRPr="00A2293C" w:rsidRDefault="00BA6B38" w:rsidP="007032B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A2293C">
              <w:rPr>
                <w:rFonts w:ascii="Arial Narrow" w:hAnsi="Arial Narrow"/>
                <w:b/>
              </w:rPr>
              <w:t xml:space="preserve">13,074 mld. </w:t>
            </w:r>
            <w:r w:rsidR="0035017D">
              <w:rPr>
                <w:rFonts w:ascii="Arial Narrow" w:hAnsi="Arial Narrow"/>
                <w:b/>
              </w:rPr>
              <w:t>eur</w:t>
            </w:r>
          </w:p>
        </w:tc>
        <w:tc>
          <w:tcPr>
            <w:tcW w:w="3105" w:type="dxa"/>
          </w:tcPr>
          <w:p w14:paraId="1B09BE8A" w14:textId="0BCC35C7" w:rsidR="00BA6B38" w:rsidRPr="00CA5F85" w:rsidRDefault="00BA6B38" w:rsidP="007032B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color w:val="538135" w:themeColor="accent6" w:themeShade="BF"/>
              </w:rPr>
            </w:pPr>
            <w:r w:rsidRPr="00CA5F85">
              <w:rPr>
                <w:rFonts w:ascii="Arial Narrow" w:hAnsi="Arial Narrow"/>
                <w:b/>
                <w:color w:val="538135" w:themeColor="accent6" w:themeShade="BF"/>
              </w:rPr>
              <w:t xml:space="preserve">+ 0,48 mld. </w:t>
            </w:r>
            <w:r w:rsidR="0035017D">
              <w:rPr>
                <w:rFonts w:ascii="Arial Narrow" w:hAnsi="Arial Narrow"/>
                <w:b/>
                <w:color w:val="538135" w:themeColor="accent6" w:themeShade="BF"/>
              </w:rPr>
              <w:t>eur</w:t>
            </w:r>
          </w:p>
        </w:tc>
      </w:tr>
      <w:tr w:rsidR="00BA6B38" w:rsidRPr="00A2293C" w14:paraId="3DB96C00" w14:textId="5FDF7C36" w:rsidTr="00BA6B38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2" w:type="dxa"/>
          </w:tcPr>
          <w:p w14:paraId="162D1772" w14:textId="77777777" w:rsidR="00BA6B38" w:rsidRPr="00A2293C" w:rsidRDefault="00BA6B38" w:rsidP="007032B1">
            <w:pPr>
              <w:spacing w:after="120"/>
              <w:rPr>
                <w:rFonts w:ascii="Arial Narrow" w:hAnsi="Arial Narrow"/>
              </w:rPr>
            </w:pPr>
            <w:r w:rsidRPr="00A2293C">
              <w:rPr>
                <w:rFonts w:ascii="Arial Narrow" w:hAnsi="Arial Narrow"/>
              </w:rPr>
              <w:t>EÚ 27 + Balkán a Ukrajina</w:t>
            </w:r>
          </w:p>
        </w:tc>
        <w:tc>
          <w:tcPr>
            <w:tcW w:w="2873" w:type="dxa"/>
          </w:tcPr>
          <w:p w14:paraId="5AE9283C" w14:textId="5A104187" w:rsidR="00BA6B38" w:rsidRPr="00A2293C" w:rsidRDefault="00BA6B38" w:rsidP="007032B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A2293C">
              <w:rPr>
                <w:rFonts w:ascii="Arial Narrow" w:hAnsi="Arial Narrow"/>
                <w:b/>
              </w:rPr>
              <w:t xml:space="preserve">12,571 mld. </w:t>
            </w:r>
            <w:r w:rsidR="0035017D">
              <w:rPr>
                <w:rFonts w:ascii="Arial Narrow" w:hAnsi="Arial Narrow"/>
                <w:b/>
              </w:rPr>
              <w:t>eur</w:t>
            </w:r>
          </w:p>
        </w:tc>
        <w:tc>
          <w:tcPr>
            <w:tcW w:w="3105" w:type="dxa"/>
          </w:tcPr>
          <w:p w14:paraId="1BAD19C8" w14:textId="4125A82C" w:rsidR="00BA6B38" w:rsidRPr="00CA5F85" w:rsidRDefault="00CA5F85" w:rsidP="00CA5F85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</w:rPr>
            </w:pPr>
            <w:r w:rsidRPr="00CA5F85">
              <w:rPr>
                <w:rFonts w:ascii="Arial Narrow" w:hAnsi="Arial Narrow"/>
                <w:b/>
                <w:color w:val="FF0000"/>
              </w:rPr>
              <w:sym w:font="Symbol" w:char="F02D"/>
            </w:r>
            <w:r w:rsidRPr="00CA5F85">
              <w:rPr>
                <w:rFonts w:ascii="Arial Narrow" w:hAnsi="Arial Narrow"/>
                <w:b/>
                <w:color w:val="FF0000"/>
              </w:rPr>
              <w:t xml:space="preserve"> 0,023 mld. </w:t>
            </w:r>
            <w:r w:rsidR="0035017D">
              <w:rPr>
                <w:rFonts w:ascii="Arial Narrow" w:hAnsi="Arial Narrow"/>
                <w:b/>
                <w:color w:val="FF0000"/>
              </w:rPr>
              <w:t>eur</w:t>
            </w:r>
          </w:p>
        </w:tc>
      </w:tr>
    </w:tbl>
    <w:p w14:paraId="0D710C8D" w14:textId="77777777" w:rsidR="001E391D" w:rsidRPr="00A2293C" w:rsidRDefault="001E391D" w:rsidP="003C607F">
      <w:pPr>
        <w:rPr>
          <w:rFonts w:ascii="Arial Narrow" w:hAnsi="Arial Narrow"/>
        </w:rPr>
      </w:pPr>
    </w:p>
    <w:p w14:paraId="750C233D" w14:textId="77777777" w:rsidR="003C607F" w:rsidRPr="00A2293C" w:rsidRDefault="001E391D" w:rsidP="003C607F">
      <w:pPr>
        <w:rPr>
          <w:rFonts w:ascii="Arial Narrow" w:hAnsi="Arial Narrow"/>
        </w:rPr>
      </w:pPr>
      <w:r w:rsidRPr="00A2293C">
        <w:rPr>
          <w:rFonts w:ascii="Arial Narrow" w:hAnsi="Arial Narrow"/>
        </w:rPr>
        <w:t xml:space="preserve">Graf č. 1: </w:t>
      </w:r>
      <w:r w:rsidR="001F20C7" w:rsidRPr="00A2293C">
        <w:rPr>
          <w:rFonts w:ascii="Arial Narrow" w:hAnsi="Arial Narrow"/>
        </w:rPr>
        <w:t>Percentuálna zmena výšky Národnej obálky pri rôznych scenároch rozširovania EÚ</w:t>
      </w:r>
    </w:p>
    <w:p w14:paraId="6DB0C7A7" w14:textId="77777777" w:rsidR="003C607F" w:rsidRPr="00A2293C" w:rsidRDefault="003C607F" w:rsidP="003C607F">
      <w:pPr>
        <w:rPr>
          <w:rFonts w:ascii="Arial Narrow" w:hAnsi="Arial Narrow"/>
        </w:rPr>
      </w:pP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176BAE1A" wp14:editId="6B431865">
            <wp:extent cx="5891514" cy="2806861"/>
            <wp:effectExtent l="0" t="0" r="14605" b="1270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B377BDB" w14:textId="77777777" w:rsidR="00BA6B38" w:rsidRDefault="00BA6B38" w:rsidP="00BA6B38">
      <w:pPr>
        <w:spacing w:line="276" w:lineRule="auto"/>
        <w:jc w:val="both"/>
        <w:rPr>
          <w:rFonts w:ascii="Arial Narrow" w:hAnsi="Arial Narrow"/>
        </w:rPr>
      </w:pPr>
    </w:p>
    <w:p w14:paraId="2DBE326C" w14:textId="3510349D" w:rsidR="00BA6B38" w:rsidRDefault="00BA6B38" w:rsidP="00BA6B38">
      <w:pPr>
        <w:spacing w:line="27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Prvý scenár </w:t>
      </w:r>
      <w:r w:rsidR="00DB44AC">
        <w:rPr>
          <w:rFonts w:ascii="Arial Narrow" w:hAnsi="Arial Narrow"/>
        </w:rPr>
        <w:t>EÚ</w:t>
      </w:r>
      <w:r>
        <w:rPr>
          <w:rFonts w:ascii="Arial Narrow" w:hAnsi="Arial Narrow"/>
        </w:rPr>
        <w:t xml:space="preserve"> 27 aktualizácia nám navýšil zdroje</w:t>
      </w:r>
      <w:r w:rsidR="00C83D11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o ktoré sa SR môže uchádzať v rámci „Národnej obálky“</w:t>
      </w:r>
      <w:r w:rsidR="005C0813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Nárast je vo výške 2,044 mld. </w:t>
      </w:r>
      <w:r w:rsidR="00432233">
        <w:rPr>
          <w:rFonts w:ascii="Arial Narrow" w:hAnsi="Arial Narrow"/>
        </w:rPr>
        <w:t>eur</w:t>
      </w:r>
      <w:r>
        <w:rPr>
          <w:rFonts w:ascii="Arial Narrow" w:hAnsi="Arial Narrow"/>
        </w:rPr>
        <w:t xml:space="preserve">. Ďalšie posudzované scenáre vychádzajú z aktualizovanej hodnoty vo výške 14,638 mld. </w:t>
      </w:r>
      <w:r w:rsidR="00432233">
        <w:rPr>
          <w:rFonts w:ascii="Arial Narrow" w:hAnsi="Arial Narrow"/>
        </w:rPr>
        <w:t>eur</w:t>
      </w:r>
      <w:r>
        <w:rPr>
          <w:rFonts w:ascii="Arial Narrow" w:hAnsi="Arial Narrow"/>
        </w:rPr>
        <w:t xml:space="preserve">. Najvyšší pokles národnej obálky pri súčasnom vstupe krajín západného Balkánu a Ukrajiny do </w:t>
      </w:r>
      <w:r w:rsidR="00DB44AC">
        <w:rPr>
          <w:rFonts w:ascii="Arial Narrow" w:hAnsi="Arial Narrow"/>
        </w:rPr>
        <w:t>EÚ</w:t>
      </w:r>
      <w:r>
        <w:rPr>
          <w:rFonts w:ascii="Arial Narrow" w:hAnsi="Arial Narrow"/>
        </w:rPr>
        <w:t xml:space="preserve"> znamená </w:t>
      </w:r>
      <w:r w:rsidR="00C83D11">
        <w:rPr>
          <w:rFonts w:ascii="Arial Narrow" w:hAnsi="Arial Narrow"/>
        </w:rPr>
        <w:t xml:space="preserve">zníženie </w:t>
      </w:r>
      <w:r>
        <w:rPr>
          <w:rFonts w:ascii="Arial Narrow" w:hAnsi="Arial Narrow"/>
        </w:rPr>
        <w:t xml:space="preserve">zdrojov o 23 mil. </w:t>
      </w:r>
      <w:r w:rsidR="00432233">
        <w:rPr>
          <w:rFonts w:ascii="Arial Narrow" w:hAnsi="Arial Narrow"/>
        </w:rPr>
        <w:t>eur</w:t>
      </w:r>
      <w:r>
        <w:rPr>
          <w:rFonts w:ascii="Arial Narrow" w:hAnsi="Arial Narrow"/>
        </w:rPr>
        <w:t xml:space="preserve"> oproti „Národnej obálke“ na roky 2021 -2027 </w:t>
      </w:r>
    </w:p>
    <w:p w14:paraId="31E85279" w14:textId="4A9769AF" w:rsidR="003C607F" w:rsidRPr="00A2293C" w:rsidRDefault="003C607F" w:rsidP="00BA6B38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V prípade rozšírenia EÚ 27 o západný Balkán dochádza k zníženiu Národnej obálky o 3,23 %, v prípade rozšírenia o Ukrajinu o 10,68 % a v prípade rozšírenia o západný Balkán aj Ukrajinu o 14,12 %.</w:t>
      </w:r>
    </w:p>
    <w:p w14:paraId="38B0A8BA" w14:textId="5694C1FD" w:rsidR="003C607F" w:rsidRPr="00A2293C" w:rsidRDefault="003C607F" w:rsidP="00BA6B38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 xml:space="preserve">Pri pohľade na uvedené údaje je možné konštatovať, že dochádza síce k zníženiu výšky finančných zdrojov, ktoré by Slovensko mohlo získať ale pokles nie je až natoľko výrazný ako by sa mohlo zdať z niektorých verejne prezentovaných obáv dopadu členstva týchto štátov v EÚ. Treba tiež zdôrazniť, že uvedené údaje sú hypotetické za predpokladu, že tieto krajiny by boli členskými štátmi EÚ v súčasnosti. Reálne sa ale dá predpokladať, že k tomu dôjde pravdepodobne až v ďalšom desaťročí. Vtedy je už reálne očakávať, že úroveň HDP týchto krajín sa viac priblíži úrovni EÚ a teda aj dopad na Národnú obálku Slovenska by bol nižší. </w:t>
      </w:r>
    </w:p>
    <w:p w14:paraId="6C45A6F5" w14:textId="4B26E6FD" w:rsidR="0088731B" w:rsidRPr="00A2293C" w:rsidRDefault="0088731B" w:rsidP="00BA6B38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K vypracovaniu Národných obálok členských štátov EU27 boli použité dáta zo všetkých regiónov úrovne NUTS 2 za obdobie 2019 – 2022, ktoré sa aktualizovali na ceny z roku 2023. Tieto dáta pozostávali z údajov o demografii, nezamestnanosti, vzdelanosti, ekonomických ukazovateľov ako HDP a HND</w:t>
      </w:r>
      <w:r w:rsidR="00BA6B38">
        <w:rPr>
          <w:rStyle w:val="Odkaznapoznmkupodiarou"/>
          <w:rFonts w:ascii="Arial Narrow" w:hAnsi="Arial Narrow"/>
        </w:rPr>
        <w:footnoteReference w:id="1"/>
      </w:r>
      <w:r w:rsidRPr="00A2293C">
        <w:rPr>
          <w:rFonts w:ascii="Arial Narrow" w:hAnsi="Arial Narrow"/>
        </w:rPr>
        <w:t xml:space="preserve"> v parite kúpneho štandardu. Táto „dátová časť“ obsahuje spolu 25 536 údajov (EU27), následne matematickými vzorcami a výpočtami simuluje prehľad o veľkosti Národných obálok členských štátov.</w:t>
      </w:r>
    </w:p>
    <w:p w14:paraId="4722F878" w14:textId="77777777" w:rsidR="003C607F" w:rsidRPr="00A2293C" w:rsidRDefault="003C607F" w:rsidP="003C607F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p w14:paraId="4C984D14" w14:textId="5A8727AE" w:rsidR="00ED7642" w:rsidRPr="00A2293C" w:rsidRDefault="00A2293C" w:rsidP="00ED7642">
      <w:pPr>
        <w:pStyle w:val="Nadpis1"/>
        <w:rPr>
          <w:sz w:val="22"/>
          <w:szCs w:val="22"/>
        </w:rPr>
      </w:pPr>
      <w:bookmarkStart w:id="2" w:name="_Toc188863198"/>
      <w:r>
        <w:rPr>
          <w:sz w:val="22"/>
          <w:szCs w:val="22"/>
        </w:rPr>
        <w:lastRenderedPageBreak/>
        <w:t>O</w:t>
      </w:r>
      <w:r w:rsidR="00ED7642" w:rsidRPr="00A2293C">
        <w:rPr>
          <w:sz w:val="22"/>
          <w:szCs w:val="22"/>
        </w:rPr>
        <w:t>dporúčania</w:t>
      </w:r>
      <w:bookmarkEnd w:id="2"/>
    </w:p>
    <w:p w14:paraId="63436DF5" w14:textId="7058A5EB" w:rsidR="00C41630" w:rsidRPr="00A2293C" w:rsidRDefault="00C41630" w:rsidP="00C41630">
      <w:pPr>
        <w:pStyle w:val="Odsekzoznamu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odporúčame ponechať súčasnú štruktúru spôsobu výpočtu Národnej obálky keďže:</w:t>
      </w:r>
    </w:p>
    <w:p w14:paraId="668BDD87" w14:textId="519CC132" w:rsidR="00C41630" w:rsidRPr="00A2293C" w:rsidRDefault="00C41630" w:rsidP="00C41630">
      <w:pPr>
        <w:pStyle w:val="Odsekzoznamu"/>
        <w:numPr>
          <w:ilvl w:val="0"/>
          <w:numId w:val="5"/>
        </w:numPr>
        <w:spacing w:line="360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súčasné socioekonomické ukazovatele opráv</w:t>
      </w:r>
      <w:r w:rsidR="00AE7AB8">
        <w:rPr>
          <w:rFonts w:ascii="Arial Narrow" w:hAnsi="Arial Narrow"/>
        </w:rPr>
        <w:t>ňujú</w:t>
      </w:r>
      <w:r w:rsidRPr="00A2293C">
        <w:rPr>
          <w:rFonts w:ascii="Arial Narrow" w:hAnsi="Arial Narrow"/>
        </w:rPr>
        <w:t xml:space="preserve"> SR sa uchád</w:t>
      </w:r>
      <w:r w:rsidR="00AE7AB8">
        <w:rPr>
          <w:rFonts w:ascii="Arial Narrow" w:hAnsi="Arial Narrow"/>
        </w:rPr>
        <w:t>z</w:t>
      </w:r>
      <w:r w:rsidRPr="00A2293C">
        <w:rPr>
          <w:rFonts w:ascii="Arial Narrow" w:hAnsi="Arial Narrow"/>
        </w:rPr>
        <w:t>ať o v</w:t>
      </w:r>
      <w:r w:rsidR="00AE7AB8">
        <w:rPr>
          <w:rFonts w:ascii="Arial Narrow" w:hAnsi="Arial Narrow"/>
        </w:rPr>
        <w:t>yš</w:t>
      </w:r>
      <w:r w:rsidRPr="00A2293C">
        <w:rPr>
          <w:rFonts w:ascii="Arial Narrow" w:hAnsi="Arial Narrow"/>
        </w:rPr>
        <w:t>ší balík zdrojov z</w:t>
      </w:r>
      <w:r w:rsidR="00AE7AB8">
        <w:rPr>
          <w:rFonts w:ascii="Arial Narrow" w:hAnsi="Arial Narrow"/>
        </w:rPr>
        <w:t> </w:t>
      </w:r>
      <w:r w:rsidR="00DB44AC">
        <w:rPr>
          <w:rFonts w:ascii="Arial Narrow" w:hAnsi="Arial Narrow"/>
        </w:rPr>
        <w:t>EÚ</w:t>
      </w:r>
      <w:r w:rsidR="00AE7AB8">
        <w:rPr>
          <w:rFonts w:ascii="Arial Narrow" w:hAnsi="Arial Narrow"/>
        </w:rPr>
        <w:t>,</w:t>
      </w:r>
      <w:r w:rsidRPr="00A2293C">
        <w:rPr>
          <w:rFonts w:ascii="Arial Narrow" w:hAnsi="Arial Narrow"/>
        </w:rPr>
        <w:t xml:space="preserve"> ako nám bol pridelený na súčasné programové obdobie</w:t>
      </w:r>
    </w:p>
    <w:p w14:paraId="456EF0E1" w14:textId="79F249CC" w:rsidR="00C41630" w:rsidRPr="00A2293C" w:rsidRDefault="00C41630" w:rsidP="00C41630">
      <w:pPr>
        <w:pStyle w:val="Odsekzoznamu"/>
        <w:numPr>
          <w:ilvl w:val="0"/>
          <w:numId w:val="5"/>
        </w:numPr>
        <w:spacing w:line="360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 xml:space="preserve">posledné ekonomické údaje o tvorbe hrubého národného dôchodku (HND) nepresiahli hodnotu 90% priemeru </w:t>
      </w:r>
      <w:r w:rsidR="00DB44AC">
        <w:rPr>
          <w:rFonts w:ascii="Arial Narrow" w:hAnsi="Arial Narrow"/>
        </w:rPr>
        <w:t>EÚ</w:t>
      </w:r>
      <w:r w:rsidRPr="00A2293C">
        <w:rPr>
          <w:rFonts w:ascii="Arial Narrow" w:hAnsi="Arial Narrow"/>
        </w:rPr>
        <w:t>, čo pre SR znamená, že je stále opr</w:t>
      </w:r>
      <w:r w:rsidR="00AE7AB8">
        <w:rPr>
          <w:rFonts w:ascii="Arial Narrow" w:hAnsi="Arial Narrow"/>
        </w:rPr>
        <w:t>á</w:t>
      </w:r>
      <w:r w:rsidRPr="00A2293C">
        <w:rPr>
          <w:rFonts w:ascii="Arial Narrow" w:hAnsi="Arial Narrow"/>
        </w:rPr>
        <w:t>v</w:t>
      </w:r>
      <w:r w:rsidR="00AE7AB8">
        <w:rPr>
          <w:rFonts w:ascii="Arial Narrow" w:hAnsi="Arial Narrow"/>
        </w:rPr>
        <w:t>n</w:t>
      </w:r>
      <w:r w:rsidRPr="00A2293C">
        <w:rPr>
          <w:rFonts w:ascii="Arial Narrow" w:hAnsi="Arial Narrow"/>
        </w:rPr>
        <w:t>eným prijímateľom zdrojov z Kohézneho fondu</w:t>
      </w:r>
    </w:p>
    <w:p w14:paraId="26D420AD" w14:textId="432E6341" w:rsidR="00C41630" w:rsidRPr="00A2293C" w:rsidRDefault="00C41630" w:rsidP="00C41630">
      <w:pPr>
        <w:pStyle w:val="Odsekzoznamu"/>
        <w:numPr>
          <w:ilvl w:val="0"/>
          <w:numId w:val="5"/>
        </w:numPr>
        <w:spacing w:line="360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SR okrem BA kraja neprekročí hranicu 82</w:t>
      </w:r>
      <w:r w:rsidR="00AE7AB8">
        <w:rPr>
          <w:rFonts w:ascii="Arial Narrow" w:hAnsi="Arial Narrow"/>
        </w:rPr>
        <w:t xml:space="preserve"> </w:t>
      </w:r>
      <w:r w:rsidRPr="00A2293C">
        <w:rPr>
          <w:rFonts w:ascii="Arial Narrow" w:hAnsi="Arial Narrow"/>
        </w:rPr>
        <w:t>% HND, čo oprávňuje tieto regióny sa uchádzať o v</w:t>
      </w:r>
      <w:r w:rsidR="00AE7AB8">
        <w:rPr>
          <w:rFonts w:ascii="Arial Narrow" w:hAnsi="Arial Narrow"/>
        </w:rPr>
        <w:t>y</w:t>
      </w:r>
      <w:r w:rsidRPr="00A2293C">
        <w:rPr>
          <w:rFonts w:ascii="Arial Narrow" w:hAnsi="Arial Narrow"/>
        </w:rPr>
        <w:t>š</w:t>
      </w:r>
      <w:r w:rsidR="00AE7AB8">
        <w:rPr>
          <w:rFonts w:ascii="Arial Narrow" w:hAnsi="Arial Narrow"/>
        </w:rPr>
        <w:t>ší</w:t>
      </w:r>
      <w:r w:rsidRPr="00A2293C">
        <w:rPr>
          <w:rFonts w:ascii="Arial Narrow" w:hAnsi="Arial Narrow"/>
        </w:rPr>
        <w:t xml:space="preserve"> pomer zdrojov z EŠIF. (rozdiel v koeficiente je 1,60</w:t>
      </w:r>
      <w:r w:rsidR="00AE7AB8">
        <w:rPr>
          <w:rFonts w:ascii="Arial Narrow" w:hAnsi="Arial Narrow"/>
        </w:rPr>
        <w:t xml:space="preserve"> </w:t>
      </w:r>
      <w:r w:rsidRPr="00A2293C">
        <w:rPr>
          <w:rFonts w:ascii="Arial Narrow" w:hAnsi="Arial Narrow"/>
        </w:rPr>
        <w:t xml:space="preserve">% v prospech SR regiónov)  </w:t>
      </w:r>
    </w:p>
    <w:p w14:paraId="5B89BC17" w14:textId="08DAB891" w:rsidR="00C41630" w:rsidRPr="00A2293C" w:rsidRDefault="00C41630" w:rsidP="00C41630">
      <w:pPr>
        <w:pStyle w:val="Odsekzoznamu"/>
        <w:numPr>
          <w:ilvl w:val="0"/>
          <w:numId w:val="5"/>
        </w:numPr>
        <w:spacing w:line="360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aj napriek vstupu krajín západného Balkánu a UA nedôjde k poklesu zdrojov na kohéznu politiku o viac ako  14,12</w:t>
      </w:r>
      <w:r w:rsidR="00AE7AB8">
        <w:rPr>
          <w:rFonts w:ascii="Arial Narrow" w:hAnsi="Arial Narrow"/>
        </w:rPr>
        <w:t xml:space="preserve"> </w:t>
      </w:r>
      <w:r w:rsidRPr="00A2293C">
        <w:rPr>
          <w:rFonts w:ascii="Arial Narrow" w:hAnsi="Arial Narrow"/>
        </w:rPr>
        <w:t>% oproti navýšen</w:t>
      </w:r>
      <w:r w:rsidR="00AE7AB8">
        <w:rPr>
          <w:rFonts w:ascii="Arial Narrow" w:hAnsi="Arial Narrow"/>
        </w:rPr>
        <w:t>ej</w:t>
      </w:r>
      <w:r w:rsidRPr="00A2293C">
        <w:rPr>
          <w:rFonts w:ascii="Arial Narrow" w:hAnsi="Arial Narrow"/>
        </w:rPr>
        <w:t xml:space="preserve"> predpokladan</w:t>
      </w:r>
      <w:r w:rsidR="00AE7AB8">
        <w:rPr>
          <w:rFonts w:ascii="Arial Narrow" w:hAnsi="Arial Narrow"/>
        </w:rPr>
        <w:t>ej</w:t>
      </w:r>
      <w:r w:rsidRPr="00A2293C">
        <w:rPr>
          <w:rFonts w:ascii="Arial Narrow" w:hAnsi="Arial Narrow"/>
        </w:rPr>
        <w:t xml:space="preserve"> pridelenej alokácii. </w:t>
      </w:r>
    </w:p>
    <w:p w14:paraId="2B8B98FC" w14:textId="5C255337" w:rsidR="00C41630" w:rsidRPr="00A2293C" w:rsidRDefault="008C3441" w:rsidP="00C41630">
      <w:pPr>
        <w:pStyle w:val="Odsekzoznamu"/>
        <w:numPr>
          <w:ilvl w:val="0"/>
          <w:numId w:val="5"/>
        </w:numPr>
        <w:spacing w:line="360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 xml:space="preserve">aj napriek vstupu krajín západného Balkánu a UA </w:t>
      </w:r>
      <w:r w:rsidRPr="00A2293C">
        <w:rPr>
          <w:rFonts w:ascii="Arial Narrow" w:hAnsi="Arial Narrow"/>
          <w:b/>
          <w:bCs/>
        </w:rPr>
        <w:t xml:space="preserve">dôjde k poklesu „iba“ o 23 mil. </w:t>
      </w:r>
      <w:r w:rsidR="00AE7AB8">
        <w:rPr>
          <w:rFonts w:ascii="Arial Narrow" w:hAnsi="Arial Narrow"/>
          <w:b/>
          <w:bCs/>
        </w:rPr>
        <w:t>eur</w:t>
      </w:r>
      <w:r w:rsidR="00AE7AB8" w:rsidRPr="00A2293C">
        <w:rPr>
          <w:rFonts w:ascii="Arial Narrow" w:hAnsi="Arial Narrow"/>
        </w:rPr>
        <w:t xml:space="preserve"> </w:t>
      </w:r>
      <w:r w:rsidRPr="00A2293C">
        <w:rPr>
          <w:rFonts w:ascii="Arial Narrow" w:hAnsi="Arial Narrow"/>
        </w:rPr>
        <w:t>oproti prideleným zdrojov na súčasn</w:t>
      </w:r>
      <w:r w:rsidR="00AE7AB8">
        <w:rPr>
          <w:rFonts w:ascii="Arial Narrow" w:hAnsi="Arial Narrow"/>
        </w:rPr>
        <w:t>é</w:t>
      </w:r>
      <w:r w:rsidRPr="00A2293C">
        <w:rPr>
          <w:rFonts w:ascii="Arial Narrow" w:hAnsi="Arial Narrow"/>
        </w:rPr>
        <w:t xml:space="preserve"> obdobie 2021-2027</w:t>
      </w:r>
    </w:p>
    <w:p w14:paraId="77E5146E" w14:textId="2A4DADCF" w:rsidR="00846AF9" w:rsidRDefault="00F32A42" w:rsidP="00C41630">
      <w:pPr>
        <w:pStyle w:val="Odsekzoznamu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zvyšovanie váhy kritéria nezamestnanosti a nezamestnanosti mladých nie je pre SR výhodné, keďže už v súčasnosti vzhľadom k relatívne nízkej nezamestnanosti v SR v porovnaní s priemernou úrovňou v EÚ, je pre </w:t>
      </w:r>
      <w:r w:rsidR="005E2491">
        <w:rPr>
          <w:rFonts w:ascii="Arial Narrow" w:hAnsi="Arial Narrow"/>
        </w:rPr>
        <w:t>SR pridelená nízka alokácia, ktorá by sa po rozšírení o krajiny západného Balkánu a UA ďalej znížila</w:t>
      </w:r>
    </w:p>
    <w:p w14:paraId="01119CC5" w14:textId="1CA76319" w:rsidR="00846AF9" w:rsidRDefault="00846AF9" w:rsidP="00C41630">
      <w:pPr>
        <w:pStyle w:val="Odsekzoznamu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zvyšovanie váhy kritéria imigrácie je pre SR takisto nevýhodné vzhľadom k jej relatívne nízkej úrovni v SR a z toho vyplývajúcej nízkej alokácie</w:t>
      </w:r>
    </w:p>
    <w:p w14:paraId="5C917E03" w14:textId="4AC56088" w:rsidR="00846AF9" w:rsidRDefault="00846AF9" w:rsidP="00C41630">
      <w:pPr>
        <w:pStyle w:val="Odsekzoznamu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rovnako nevýhodné je pre SR zvyšovanie váhy kritérií vypúšťaného CO2 a vzdelanostnej úrovne (dokončený len základný stupeň vzdelávania), keďže pri nich vzhľadom k ich dobrému plneniu vychádza pre SR taktiež nízka alokácia</w:t>
      </w:r>
    </w:p>
    <w:p w14:paraId="37357A5A" w14:textId="1ED54C84" w:rsidR="00ED7642" w:rsidRPr="00A2293C" w:rsidRDefault="00AE7AB8" w:rsidP="00C41630">
      <w:pPr>
        <w:pStyle w:val="Odsekzoznamu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o</w:t>
      </w:r>
      <w:r w:rsidR="008C3441" w:rsidRPr="00A2293C">
        <w:rPr>
          <w:rFonts w:ascii="Arial Narrow" w:hAnsi="Arial Narrow"/>
        </w:rPr>
        <w:t xml:space="preserve">rientovanie sa na zvyšovanie </w:t>
      </w:r>
      <w:r w:rsidR="00ED7642" w:rsidRPr="00A2293C">
        <w:rPr>
          <w:rFonts w:ascii="Arial Narrow" w:hAnsi="Arial Narrow"/>
        </w:rPr>
        <w:t>váhy ostatných kritérií (produkcia CO2, miera nezamestnanosti, vzdelanostná úroveň...) by prinieslo zníženie alokácie pre Národnú obálku</w:t>
      </w:r>
    </w:p>
    <w:p w14:paraId="19A39056" w14:textId="49E74819" w:rsidR="00ED7642" w:rsidRPr="00A2293C" w:rsidRDefault="00ED7642" w:rsidP="00C41630">
      <w:pPr>
        <w:pStyle w:val="Odsekzoznamu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 xml:space="preserve">zachovanie min. terajšej úrovni </w:t>
      </w:r>
      <w:r w:rsidR="00A2293C" w:rsidRPr="00A2293C">
        <w:rPr>
          <w:rFonts w:ascii="Arial Narrow" w:hAnsi="Arial Narrow"/>
        </w:rPr>
        <w:t>„</w:t>
      </w:r>
      <w:proofErr w:type="spellStart"/>
      <w:r w:rsidR="00A2293C" w:rsidRPr="00A2293C">
        <w:rPr>
          <w:rFonts w:ascii="Arial Narrow" w:hAnsi="Arial Narrow"/>
        </w:rPr>
        <w:t>S</w:t>
      </w:r>
      <w:r w:rsidRPr="00A2293C">
        <w:rPr>
          <w:rFonts w:ascii="Arial Narrow" w:hAnsi="Arial Narrow"/>
        </w:rPr>
        <w:t>afety</w:t>
      </w:r>
      <w:proofErr w:type="spellEnd"/>
      <w:r w:rsidRPr="00A2293C">
        <w:rPr>
          <w:rFonts w:ascii="Arial Narrow" w:hAnsi="Arial Narrow"/>
        </w:rPr>
        <w:t xml:space="preserve"> net</w:t>
      </w:r>
      <w:r w:rsidR="00A2293C" w:rsidRPr="00A2293C">
        <w:rPr>
          <w:rFonts w:ascii="Arial Narrow" w:hAnsi="Arial Narrow"/>
        </w:rPr>
        <w:t>“</w:t>
      </w:r>
      <w:r w:rsidR="00A2293C" w:rsidRPr="00A2293C">
        <w:rPr>
          <w:rStyle w:val="Odkaznapoznmkupodiarou"/>
          <w:rFonts w:ascii="Arial Narrow" w:hAnsi="Arial Narrow"/>
        </w:rPr>
        <w:footnoteReference w:id="2"/>
      </w:r>
      <w:r w:rsidR="00A2293C" w:rsidRPr="00A2293C">
        <w:rPr>
          <w:rFonts w:ascii="Arial Narrow" w:hAnsi="Arial Narrow"/>
        </w:rPr>
        <w:t xml:space="preserve"> (vo výške 24%</w:t>
      </w:r>
      <w:r w:rsidRPr="00A2293C">
        <w:rPr>
          <w:rFonts w:ascii="Arial Narrow" w:hAnsi="Arial Narrow"/>
        </w:rPr>
        <w:t>, ktorá predstavuje bezpečnostnú poistku pri prípadných výraznejších zmenách v alokácii pre SR</w:t>
      </w:r>
      <w:r w:rsidR="00AE7AB8">
        <w:rPr>
          <w:rFonts w:ascii="Arial Narrow" w:hAnsi="Arial Narrow"/>
        </w:rPr>
        <w:t>)</w:t>
      </w:r>
    </w:p>
    <w:p w14:paraId="33FE7C5E" w14:textId="77777777" w:rsidR="00ED7642" w:rsidRPr="00A2293C" w:rsidRDefault="00ED7642" w:rsidP="00ED7642">
      <w:pPr>
        <w:spacing w:line="276" w:lineRule="auto"/>
        <w:rPr>
          <w:rFonts w:ascii="Arial Narrow" w:hAnsi="Arial Narrow"/>
          <w:highlight w:val="yellow"/>
        </w:rPr>
      </w:pPr>
    </w:p>
    <w:p w14:paraId="14E5E2E7" w14:textId="77777777" w:rsidR="002065D0" w:rsidRPr="00A2293C" w:rsidRDefault="002065D0" w:rsidP="002065D0">
      <w:pPr>
        <w:spacing w:line="276" w:lineRule="auto"/>
        <w:rPr>
          <w:rFonts w:ascii="Arial Narrow" w:hAnsi="Arial Narrow"/>
        </w:rPr>
      </w:pPr>
    </w:p>
    <w:p w14:paraId="523E63D3" w14:textId="77777777" w:rsidR="002065D0" w:rsidRPr="00A2293C" w:rsidRDefault="002065D0" w:rsidP="002065D0">
      <w:pPr>
        <w:spacing w:line="276" w:lineRule="auto"/>
        <w:rPr>
          <w:rFonts w:ascii="Arial Narrow" w:hAnsi="Arial Narrow"/>
        </w:rPr>
      </w:pPr>
    </w:p>
    <w:p w14:paraId="3E88806D" w14:textId="77777777" w:rsidR="002065D0" w:rsidRPr="00A2293C" w:rsidRDefault="002065D0" w:rsidP="002065D0">
      <w:pPr>
        <w:spacing w:line="276" w:lineRule="auto"/>
        <w:rPr>
          <w:rFonts w:ascii="Arial Narrow" w:hAnsi="Arial Narrow"/>
        </w:rPr>
      </w:pPr>
    </w:p>
    <w:p w14:paraId="15B3A938" w14:textId="77777777" w:rsidR="002065D0" w:rsidRPr="00A2293C" w:rsidRDefault="002065D0" w:rsidP="002065D0">
      <w:pPr>
        <w:spacing w:line="276" w:lineRule="auto"/>
        <w:rPr>
          <w:rFonts w:ascii="Arial Narrow" w:hAnsi="Arial Narrow"/>
        </w:rPr>
      </w:pPr>
    </w:p>
    <w:p w14:paraId="286F9818" w14:textId="77777777" w:rsidR="002065D0" w:rsidRPr="00A2293C" w:rsidRDefault="002065D0" w:rsidP="002065D0">
      <w:pPr>
        <w:spacing w:line="276" w:lineRule="auto"/>
        <w:rPr>
          <w:rFonts w:ascii="Arial Narrow" w:hAnsi="Arial Narrow"/>
        </w:rPr>
      </w:pPr>
    </w:p>
    <w:p w14:paraId="75F0C6BB" w14:textId="77777777" w:rsidR="00C41630" w:rsidRPr="00A2293C" w:rsidRDefault="00C41630">
      <w:pPr>
        <w:rPr>
          <w:rFonts w:ascii="Arial Narrow" w:eastAsiaTheme="majorEastAsia" w:hAnsi="Arial Narrow" w:cstheme="majorBidi"/>
          <w:color w:val="2F5496" w:themeColor="accent1" w:themeShade="BF"/>
        </w:rPr>
      </w:pPr>
      <w:r w:rsidRPr="00A2293C">
        <w:rPr>
          <w:rFonts w:ascii="Arial Narrow" w:hAnsi="Arial Narrow"/>
        </w:rPr>
        <w:br w:type="page"/>
      </w:r>
    </w:p>
    <w:p w14:paraId="1E83EE76" w14:textId="762B4B32" w:rsidR="003C607F" w:rsidRPr="00A2293C" w:rsidRDefault="003C607F" w:rsidP="001E391D">
      <w:pPr>
        <w:pStyle w:val="Nadpis1"/>
        <w:rPr>
          <w:sz w:val="22"/>
          <w:szCs w:val="22"/>
        </w:rPr>
      </w:pPr>
      <w:bookmarkStart w:id="3" w:name="_Toc188863199"/>
      <w:r w:rsidRPr="00A2293C">
        <w:rPr>
          <w:sz w:val="22"/>
          <w:szCs w:val="22"/>
        </w:rPr>
        <w:lastRenderedPageBreak/>
        <w:t>Kohézny fond</w:t>
      </w:r>
      <w:bookmarkEnd w:id="3"/>
    </w:p>
    <w:p w14:paraId="465FDD5D" w14:textId="77777777" w:rsidR="00396B3F" w:rsidRPr="00A2293C" w:rsidRDefault="00396B3F" w:rsidP="003C607F">
      <w:pPr>
        <w:jc w:val="both"/>
        <w:rPr>
          <w:rFonts w:ascii="Arial Narrow" w:hAnsi="Arial Narrow"/>
        </w:rPr>
      </w:pPr>
    </w:p>
    <w:p w14:paraId="66BC10F9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 xml:space="preserve">KF je vyhradený pre členské krajiny, ktorých hrubý národný dôchodok na obyvateľa </w:t>
      </w:r>
      <w:r w:rsidRPr="00A2293C">
        <w:rPr>
          <w:rFonts w:ascii="Arial Narrow" w:hAnsi="Arial Narrow"/>
          <w:b/>
          <w:bCs/>
        </w:rPr>
        <w:t>je nižší ako 90 % priemeru EÚ</w:t>
      </w:r>
      <w:r w:rsidRPr="00A2293C">
        <w:rPr>
          <w:rFonts w:ascii="Arial Narrow" w:hAnsi="Arial Narrow"/>
        </w:rPr>
        <w:t xml:space="preserve">. Slovensko je v súčasnosti oprávnená krajina na čerpanie pomoci z Kohézneho fondu (ďalej len „KF“). </w:t>
      </w:r>
    </w:p>
    <w:p w14:paraId="57E418A4" w14:textId="77777777" w:rsidR="003C607F" w:rsidRPr="00A2293C" w:rsidRDefault="003C607F" w:rsidP="003C607F">
      <w:pPr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Graf č. 2: Varianty vývoja podielu HND SR</w:t>
      </w:r>
    </w:p>
    <w:p w14:paraId="649232E7" w14:textId="77777777" w:rsidR="003C607F" w:rsidRPr="00A2293C" w:rsidRDefault="003C607F" w:rsidP="003C607F">
      <w:pPr>
        <w:jc w:val="both"/>
        <w:rPr>
          <w:rFonts w:ascii="Arial Narrow" w:hAnsi="Arial Narrow"/>
        </w:rPr>
      </w:pP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1DC5CE85" wp14:editId="489076D1">
            <wp:extent cx="5486400" cy="3200400"/>
            <wp:effectExtent l="0" t="0" r="0" b="952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7B7B443" w14:textId="77777777" w:rsidR="003C607F" w:rsidRPr="00A2293C" w:rsidRDefault="003C607F" w:rsidP="003C607F">
      <w:pPr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Vo všetkých modelovaných scenároch je úroveň HND v SR na obyvateľa relatívne výrazne pod 90 % hranicou, ktorá je určujúca pre oprávnenosť čerpania z Kohézneho fondu.</w:t>
      </w:r>
    </w:p>
    <w:p w14:paraId="3D8B6135" w14:textId="77777777" w:rsidR="003C607F" w:rsidRPr="00A2293C" w:rsidRDefault="003C607F" w:rsidP="003C607F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p w14:paraId="271CF331" w14:textId="77777777" w:rsidR="003C607F" w:rsidRPr="00A2293C" w:rsidRDefault="003C607F" w:rsidP="00396B3F">
      <w:pPr>
        <w:spacing w:line="276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lastRenderedPageBreak/>
        <w:t xml:space="preserve">Na nasledujúcich mapách prezentujeme vývoj na európskej úrovni na základe jednotlivých scenárov </w:t>
      </w:r>
    </w:p>
    <w:p w14:paraId="1CAA567A" w14:textId="77777777" w:rsidR="003C607F" w:rsidRPr="00A2293C" w:rsidRDefault="003C607F" w:rsidP="00396B3F">
      <w:pPr>
        <w:spacing w:line="276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Obrázok č. 1: Predpokladaná oprávnenosť členských štátov na KF po aktualizácii údajov:</w:t>
      </w:r>
    </w:p>
    <w:p w14:paraId="4DC43839" w14:textId="77777777" w:rsidR="003C607F" w:rsidRPr="00A2293C" w:rsidRDefault="003C607F" w:rsidP="003C607F">
      <w:pPr>
        <w:jc w:val="center"/>
        <w:rPr>
          <w:rFonts w:ascii="Arial Narrow" w:hAnsi="Arial Narrow"/>
        </w:rPr>
      </w:pP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692B1A19" wp14:editId="359519AF">
            <wp:extent cx="4320000" cy="4320000"/>
            <wp:effectExtent l="0" t="0" r="4445" b="444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BB7E" w14:textId="77777777" w:rsidR="003C607F" w:rsidRPr="00A2293C" w:rsidRDefault="003C607F" w:rsidP="003C607F">
      <w:pPr>
        <w:jc w:val="both"/>
        <w:rPr>
          <w:rFonts w:ascii="Arial Narrow" w:hAnsi="Arial Narrow"/>
        </w:rPr>
      </w:pPr>
    </w:p>
    <w:p w14:paraId="52FEDA57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Počet oprávnených krajín : 15</w:t>
      </w:r>
    </w:p>
    <w:p w14:paraId="160B2854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Počet obyvateľov oprávnených krajín: 170 mil.</w:t>
      </w:r>
    </w:p>
    <w:p w14:paraId="4516E77F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 aktualizácií dostupných údajov nastala zmena v oprávnenosti na KF a to pri Španielsku, ktoré s hodnotou 84,61 % HNP priemeru EÚ by získala nárok. S hodnotou 91,22 % HNP priemeru EÚ by stratila nárok Malta.</w:t>
      </w:r>
    </w:p>
    <w:p w14:paraId="1ABBC9D5" w14:textId="77777777" w:rsidR="003C607F" w:rsidRPr="00A2293C" w:rsidRDefault="003C607F" w:rsidP="003C607F">
      <w:pPr>
        <w:jc w:val="center"/>
        <w:rPr>
          <w:rFonts w:ascii="Arial Narrow" w:hAnsi="Arial Narrow"/>
        </w:rPr>
      </w:pPr>
    </w:p>
    <w:p w14:paraId="313AA9ED" w14:textId="77777777" w:rsidR="003C607F" w:rsidRPr="00A2293C" w:rsidRDefault="003C607F" w:rsidP="003C607F">
      <w:pPr>
        <w:jc w:val="center"/>
        <w:rPr>
          <w:rFonts w:ascii="Arial Narrow" w:hAnsi="Arial Narrow"/>
        </w:rPr>
      </w:pPr>
    </w:p>
    <w:p w14:paraId="3295AFC2" w14:textId="77777777" w:rsidR="003C607F" w:rsidRPr="00A2293C" w:rsidRDefault="003C607F" w:rsidP="003C607F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p w14:paraId="338463F8" w14:textId="77777777" w:rsidR="003C607F" w:rsidRPr="00A2293C" w:rsidRDefault="003C607F" w:rsidP="003C607F">
      <w:pPr>
        <w:ind w:right="-284"/>
        <w:rPr>
          <w:rFonts w:ascii="Arial Narrow" w:hAnsi="Arial Narrow"/>
        </w:rPr>
      </w:pPr>
      <w:r w:rsidRPr="00A2293C">
        <w:rPr>
          <w:rFonts w:ascii="Arial Narrow" w:hAnsi="Arial Narrow"/>
        </w:rPr>
        <w:lastRenderedPageBreak/>
        <w:t>Obrázok č. 2: Predpokladaná oprávnenosť členských štátov na KF v prípade rozšírenia o západný Balkán</w:t>
      </w:r>
    </w:p>
    <w:p w14:paraId="78FBE74C" w14:textId="77777777" w:rsidR="003C607F" w:rsidRPr="00A2293C" w:rsidRDefault="003C607F" w:rsidP="003C607F">
      <w:pPr>
        <w:ind w:right="-284"/>
        <w:jc w:val="center"/>
        <w:rPr>
          <w:rFonts w:ascii="Arial Narrow" w:hAnsi="Arial Narrow"/>
        </w:rPr>
      </w:pP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340717EE" wp14:editId="0F2DD8A2">
            <wp:extent cx="4320000" cy="4320000"/>
            <wp:effectExtent l="0" t="0" r="4445" b="444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5660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Počet oprávnených krajín: 20</w:t>
      </w:r>
    </w:p>
    <w:p w14:paraId="632FA62C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Počet obyvateľov oprávnených krajín: 185,7 mil.</w:t>
      </w:r>
    </w:p>
    <w:p w14:paraId="3606C538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 aktualizácií dostupných údajov nastala zmena v oprávnenosti na KF a to pri Španielsku, ktoré s hodnotou 86,36 % HNP priemeru EÚ by získala nárok. S hodnotou 93,10 % HNP priemeru EÚ by stratila nárok Malta. Počet oprávnených krajín na KF by sa v tomto prípade rozšíril na 20. Všetky krajiny západného Balkánu by boli oprávnené na KF.</w:t>
      </w:r>
    </w:p>
    <w:p w14:paraId="3CC8CA03" w14:textId="77777777" w:rsidR="001E391D" w:rsidRPr="00A2293C" w:rsidRDefault="001E391D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p w14:paraId="7DFAB8AB" w14:textId="77777777" w:rsidR="003C607F" w:rsidRPr="00A2293C" w:rsidRDefault="003C607F" w:rsidP="003C607F">
      <w:pPr>
        <w:ind w:right="-284"/>
        <w:rPr>
          <w:rFonts w:ascii="Arial Narrow" w:hAnsi="Arial Narrow"/>
        </w:rPr>
      </w:pPr>
      <w:r w:rsidRPr="00A2293C">
        <w:rPr>
          <w:rFonts w:ascii="Arial Narrow" w:hAnsi="Arial Narrow"/>
        </w:rPr>
        <w:lastRenderedPageBreak/>
        <w:t>Obrázok č. 3: Predpokladaná oprávnenosť členských štátov na KF v prípade rozšírenia o Ukrajinu</w:t>
      </w:r>
    </w:p>
    <w:p w14:paraId="168B6153" w14:textId="77777777" w:rsidR="003C607F" w:rsidRPr="00A2293C" w:rsidRDefault="003C607F" w:rsidP="003C607F">
      <w:pPr>
        <w:jc w:val="center"/>
        <w:rPr>
          <w:rFonts w:ascii="Arial Narrow" w:hAnsi="Arial Narrow"/>
        </w:rPr>
      </w:pP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6CDC8A27" wp14:editId="63ACE90F">
            <wp:extent cx="4320000" cy="4320000"/>
            <wp:effectExtent l="0" t="0" r="4445" b="444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6186" w14:textId="77777777" w:rsidR="003C607F" w:rsidRPr="00A2293C" w:rsidRDefault="003C607F" w:rsidP="003C607F">
      <w:pPr>
        <w:jc w:val="both"/>
        <w:rPr>
          <w:rFonts w:ascii="Arial Narrow" w:hAnsi="Arial Narrow"/>
        </w:rPr>
      </w:pPr>
    </w:p>
    <w:p w14:paraId="27A7509C" w14:textId="77777777" w:rsidR="003C607F" w:rsidRPr="00A2293C" w:rsidRDefault="003C607F" w:rsidP="00396B3F">
      <w:pPr>
        <w:spacing w:line="276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>Počet oprávnených krajín: 12</w:t>
      </w:r>
    </w:p>
    <w:p w14:paraId="58CC3F1F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Počet obyvateľov oprávnených krajín: 195 mil.</w:t>
      </w:r>
    </w:p>
    <w:p w14:paraId="2E9E68EC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 aktualizácií dostupných údajov nastala zmena v oprávnenosti na KF a to pri Českej republike (92,71 % HND), Cypre (90,78 % HND), Litve (90,72% HND), Malte (96,70 % HND), Slovinsku (93,41% HND), tieto krajiny by neboli oprávnené, oprávnenosť by získali Španielsko (89,70 % HND) a nový členský štát Ukrajina (35,60 % HND).</w:t>
      </w:r>
    </w:p>
    <w:p w14:paraId="0E2BE55A" w14:textId="77777777" w:rsidR="001E391D" w:rsidRPr="00A2293C" w:rsidRDefault="001E391D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p w14:paraId="450A6957" w14:textId="77777777" w:rsidR="003C607F" w:rsidRPr="00A2293C" w:rsidRDefault="003C607F" w:rsidP="003C607F">
      <w:pPr>
        <w:ind w:right="-284"/>
        <w:rPr>
          <w:rFonts w:ascii="Arial Narrow" w:hAnsi="Arial Narrow"/>
        </w:rPr>
      </w:pPr>
      <w:r w:rsidRPr="00A2293C">
        <w:rPr>
          <w:rFonts w:ascii="Arial Narrow" w:hAnsi="Arial Narrow"/>
        </w:rPr>
        <w:lastRenderedPageBreak/>
        <w:t>Obrázok č. 4: Predpokladaná oprávnenosť členských štátov na KF v prípade rozšírenia o Ukrajinu a západný Balkán</w:t>
      </w:r>
    </w:p>
    <w:p w14:paraId="3B77F88F" w14:textId="77777777" w:rsidR="003C607F" w:rsidRPr="00A2293C" w:rsidRDefault="003C607F" w:rsidP="003C607F">
      <w:pPr>
        <w:jc w:val="center"/>
        <w:rPr>
          <w:rFonts w:ascii="Arial Narrow" w:hAnsi="Arial Narrow"/>
        </w:rPr>
      </w:pP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7B75DE0E" wp14:editId="73D4B7B8">
            <wp:extent cx="4320000" cy="4320000"/>
            <wp:effectExtent l="0" t="0" r="4445" b="444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6A82" w14:textId="77777777" w:rsidR="003C607F" w:rsidRPr="00A2293C" w:rsidRDefault="003C607F" w:rsidP="003C607F">
      <w:pPr>
        <w:jc w:val="both"/>
        <w:rPr>
          <w:rFonts w:ascii="Arial Narrow" w:hAnsi="Arial Narrow"/>
        </w:rPr>
      </w:pPr>
    </w:p>
    <w:p w14:paraId="5A0DA78F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Počet oprávnených krajín: 15</w:t>
      </w:r>
    </w:p>
    <w:p w14:paraId="58E20AD7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Počet obyvateľov oprávnených krajín: 162,1 mil.</w:t>
      </w:r>
    </w:p>
    <w:p w14:paraId="72C6B78A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Po aktualizácií dostupných údajov nastala zmena v oprávnenosti na KF a to pri Českej republike (94,46% HND), Estónsku (90,50 % HND), Cypre (92,49 % HND), Litve (92,43 % HND), Malte (98,53 % HND), Slovinsku (95,17 % HND) tieto krajiny by neboli oprávnené, oprávnenosť by získali nové členské krajiny Albánsko, Bosna a Hercegovina, Severné Macedónsko, Čierna Hora, Srbsko a Ukrajina</w:t>
      </w:r>
    </w:p>
    <w:p w14:paraId="4C7C1661" w14:textId="77777777" w:rsidR="003C607F" w:rsidRPr="00A2293C" w:rsidRDefault="003C607F" w:rsidP="003C607F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p w14:paraId="4F735AC8" w14:textId="77777777" w:rsidR="003C607F" w:rsidRPr="00A2293C" w:rsidRDefault="003C607F" w:rsidP="001E391D">
      <w:pPr>
        <w:pStyle w:val="Nadpis1"/>
        <w:rPr>
          <w:sz w:val="22"/>
          <w:szCs w:val="22"/>
        </w:rPr>
      </w:pPr>
      <w:bookmarkStart w:id="4" w:name="_Toc188863200"/>
      <w:r w:rsidRPr="00A2293C">
        <w:rPr>
          <w:sz w:val="22"/>
          <w:szCs w:val="22"/>
        </w:rPr>
        <w:lastRenderedPageBreak/>
        <w:t>Menej rozvinuté regióny</w:t>
      </w:r>
      <w:bookmarkEnd w:id="4"/>
    </w:p>
    <w:p w14:paraId="176E98CE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 xml:space="preserve">Delenie regiónov podľa HDP vyjadreného ako percentuálny podiel priemeru EÚ. (do 75 % menej rozvinutý región, od 75 % do 100 % prechodný región a od 100 % viac rozvinutý región). </w:t>
      </w:r>
    </w:p>
    <w:p w14:paraId="08E8CAC4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Graf č. 3: Varianty vývoja podielu HDP SR v PKŠ na obyvateľa</w:t>
      </w:r>
    </w:p>
    <w:p w14:paraId="65B76FF5" w14:textId="77777777" w:rsidR="003C607F" w:rsidRPr="00A2293C" w:rsidRDefault="003C607F" w:rsidP="003C607F">
      <w:pPr>
        <w:jc w:val="both"/>
        <w:rPr>
          <w:rFonts w:ascii="Arial Narrow" w:hAnsi="Arial Narrow"/>
        </w:rPr>
      </w:pP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4298F8C4" wp14:editId="018C58D7">
            <wp:extent cx="5486400" cy="3200400"/>
            <wp:effectExtent l="0" t="0" r="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94EF108" w14:textId="77777777" w:rsidR="003C607F" w:rsidRPr="00A2293C" w:rsidRDefault="003C607F" w:rsidP="00396B3F">
      <w:pPr>
        <w:spacing w:line="276" w:lineRule="auto"/>
        <w:jc w:val="both"/>
        <w:rPr>
          <w:rFonts w:ascii="Arial Narrow" w:hAnsi="Arial Narrow"/>
        </w:rPr>
      </w:pPr>
      <w:r w:rsidRPr="00A2293C">
        <w:rPr>
          <w:rFonts w:ascii="Arial Narrow" w:hAnsi="Arial Narrow"/>
        </w:rPr>
        <w:t>Regióny NUTS 2 okrem Bratislavského kraja by boli začlenené do menej rozvinutých regiónov pri všetkých scenároch rozširovania EÚ, pričom max. úroveň pri regióne Západné Slovensko je 72,18 %, čo sa už približuje úrovni 75 %, ktorá je hraničnou pre prechodné regióny.</w:t>
      </w:r>
    </w:p>
    <w:p w14:paraId="74819060" w14:textId="77777777" w:rsidR="003C607F" w:rsidRPr="00A2293C" w:rsidRDefault="003C607F" w:rsidP="003C607F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p w14:paraId="298CB63A" w14:textId="77777777" w:rsidR="003C607F" w:rsidRPr="00A2293C" w:rsidRDefault="003C607F" w:rsidP="00396B3F">
      <w:pPr>
        <w:spacing w:line="276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lastRenderedPageBreak/>
        <w:t xml:space="preserve">Na nasledujúcich mapách prezentujeme vývoj na úrovni NUTS2 v krajinách V4 na základe jednotlivých scenárov </w:t>
      </w:r>
    </w:p>
    <w:p w14:paraId="16379295" w14:textId="77777777" w:rsidR="003C607F" w:rsidRPr="00A2293C" w:rsidRDefault="003C607F" w:rsidP="003C607F">
      <w:pPr>
        <w:rPr>
          <w:rFonts w:ascii="Arial Narrow" w:hAnsi="Arial Narrow"/>
        </w:rPr>
      </w:pPr>
      <w:bookmarkStart w:id="5" w:name="_Hlk185236838"/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0038D739" wp14:editId="1FA55225">
            <wp:extent cx="2581275" cy="3624042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96" cy="366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3C">
        <w:rPr>
          <w:rFonts w:ascii="Arial Narrow" w:hAnsi="Arial Narrow"/>
        </w:rPr>
        <w:t xml:space="preserve">                  </w:t>
      </w: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244D0967" wp14:editId="3A6E8C16">
            <wp:extent cx="2581780" cy="3629025"/>
            <wp:effectExtent l="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82" cy="36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2ADA" w14:textId="77777777" w:rsidR="003C607F" w:rsidRPr="00A2293C" w:rsidRDefault="003C607F" w:rsidP="003C607F">
      <w:pPr>
        <w:rPr>
          <w:rFonts w:ascii="Arial Narrow" w:hAnsi="Arial Narrow"/>
        </w:rPr>
      </w:pP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3E00EF66" wp14:editId="44ECF9DD">
            <wp:extent cx="2595333" cy="364807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48" cy="36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3C">
        <w:rPr>
          <w:rFonts w:ascii="Arial Narrow" w:hAnsi="Arial Narrow"/>
        </w:rPr>
        <w:t xml:space="preserve">                  </w:t>
      </w:r>
      <w:r w:rsidRPr="00A2293C">
        <w:rPr>
          <w:rFonts w:ascii="Arial Narrow" w:hAnsi="Arial Narrow"/>
          <w:noProof/>
          <w:lang w:eastAsia="sk-SK"/>
        </w:rPr>
        <w:drawing>
          <wp:inline distT="0" distB="0" distL="0" distR="0" wp14:anchorId="523A7D02" wp14:editId="28DA9AE2">
            <wp:extent cx="2575003" cy="36195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68" cy="36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141BED67" w14:textId="77777777" w:rsidR="003C607F" w:rsidRPr="00A2293C" w:rsidRDefault="003C607F" w:rsidP="00396B3F">
      <w:pPr>
        <w:spacing w:line="276" w:lineRule="auto"/>
        <w:rPr>
          <w:rFonts w:ascii="Arial Narrow" w:hAnsi="Arial Narrow"/>
        </w:rPr>
      </w:pPr>
      <w:r w:rsidRPr="00A2293C">
        <w:rPr>
          <w:rFonts w:ascii="Arial Narrow" w:hAnsi="Arial Narrow"/>
        </w:rPr>
        <w:t xml:space="preserve">Vo všetkých modelovaných scenároch sa situácia pre SR na úrovni regiónov NUTS 2 nemení: Bratislavský región zostáva v kategórii viac rozvinutého regiónu a zvyšné regióny zostávajú v kategórii menej rozvinutých regiónov. V ostatných krajinách V4 ale k zmenám dochádza: v Česku sa napr. regióny Severovýchod a Strední Morava  vo </w:t>
      </w:r>
      <w:r w:rsidRPr="00A2293C">
        <w:rPr>
          <w:rFonts w:ascii="Arial Narrow" w:hAnsi="Arial Narrow"/>
        </w:rPr>
        <w:lastRenderedPageBreak/>
        <w:t>všetkých scenároch menia na prechodné, podobne aj v Poľsku a Maďarsku dochádza v niektorých scenároch k zmenám v postavení regiónov. Tým, že sa zvyšuje počet prechodných regiónov, znamená to potenciálny nárast zdrojov pre menej rozvinuté regióny na Slovensku.</w:t>
      </w:r>
    </w:p>
    <w:p w14:paraId="0E6F33CE" w14:textId="77777777" w:rsidR="003C607F" w:rsidRPr="00A2293C" w:rsidRDefault="003C607F" w:rsidP="003C607F">
      <w:pPr>
        <w:rPr>
          <w:rFonts w:ascii="Arial Narrow" w:hAnsi="Arial Narrow"/>
        </w:rPr>
      </w:pPr>
      <w:r w:rsidRPr="00A2293C">
        <w:rPr>
          <w:rFonts w:ascii="Arial Narrow" w:hAnsi="Arial Narrow"/>
        </w:rPr>
        <w:br w:type="page"/>
      </w:r>
    </w:p>
    <w:p w14:paraId="5B231FD4" w14:textId="77777777" w:rsidR="003C607F" w:rsidRPr="00A2293C" w:rsidRDefault="003C607F" w:rsidP="001E391D">
      <w:pPr>
        <w:pStyle w:val="Nadpis1"/>
        <w:rPr>
          <w:sz w:val="22"/>
          <w:szCs w:val="22"/>
        </w:rPr>
      </w:pPr>
      <w:bookmarkStart w:id="6" w:name="_Toc188863201"/>
      <w:r w:rsidRPr="00A2293C">
        <w:rPr>
          <w:sz w:val="22"/>
          <w:szCs w:val="22"/>
        </w:rPr>
        <w:lastRenderedPageBreak/>
        <w:t>Prílohy</w:t>
      </w:r>
      <w:bookmarkEnd w:id="6"/>
    </w:p>
    <w:p w14:paraId="6D88F87B" w14:textId="77777777" w:rsidR="003C607F" w:rsidRPr="00A2293C" w:rsidRDefault="003C607F" w:rsidP="0035017D">
      <w:r w:rsidRPr="00A2293C">
        <w:t>Metodika výpočtu príspevku na kohéznu politiku</w:t>
      </w:r>
    </w:p>
    <w:p w14:paraId="3AB1792D" w14:textId="40D3D615" w:rsidR="003C607F" w:rsidRPr="00A2293C" w:rsidRDefault="003C607F" w:rsidP="0035017D">
      <w:r w:rsidRPr="00A2293C">
        <w:t>Model výpočtu príspevku EÚ na Národnú obálku Slovenska – model EU27 aktualizácia</w:t>
      </w:r>
    </w:p>
    <w:p w14:paraId="45827BCE" w14:textId="507A4D94" w:rsidR="003C607F" w:rsidRPr="00A2293C" w:rsidRDefault="003C607F" w:rsidP="0035017D">
      <w:r w:rsidRPr="00A2293C">
        <w:t>Model výpočtu príspevku EÚ na Národnú obálku Slovenska – model EU27 + západný Balkán</w:t>
      </w:r>
    </w:p>
    <w:p w14:paraId="39D45A1D" w14:textId="5C2B7737" w:rsidR="003C607F" w:rsidRPr="00A2293C" w:rsidRDefault="003C607F" w:rsidP="0035017D">
      <w:r w:rsidRPr="00A2293C">
        <w:t>Model výpočtu príspevku EÚ na Národnú obálku Slovenska – model EU27 + Ukrajina</w:t>
      </w:r>
    </w:p>
    <w:p w14:paraId="2291E0EE" w14:textId="77777777" w:rsidR="003C607F" w:rsidRPr="00A2293C" w:rsidRDefault="003C607F" w:rsidP="0035017D">
      <w:r w:rsidRPr="00A2293C">
        <w:t>Model výpočtu príspevku EÚ na Národnú obálku Slovenska – model EU27 + západný Balkán a Ukrajina</w:t>
      </w:r>
    </w:p>
    <w:p w14:paraId="516ECE7F" w14:textId="77777777" w:rsidR="003C607F" w:rsidRPr="00A2293C" w:rsidRDefault="003C607F" w:rsidP="0035017D">
      <w:r w:rsidRPr="00A2293C">
        <w:t>Model výpočtu oprávnenosti krajín spadajúcich pod Kohézny fond</w:t>
      </w:r>
    </w:p>
    <w:p w14:paraId="22F4B548" w14:textId="77777777" w:rsidR="0088731B" w:rsidRPr="00A2293C" w:rsidRDefault="0088731B" w:rsidP="003C607F">
      <w:pPr>
        <w:rPr>
          <w:rFonts w:ascii="Arial Narrow" w:hAnsi="Arial Narrow"/>
        </w:rPr>
      </w:pPr>
    </w:p>
    <w:bookmarkStart w:id="7" w:name="_MON_1796032673"/>
    <w:bookmarkEnd w:id="7"/>
    <w:p w14:paraId="20DB4826" w14:textId="4D14ED99" w:rsidR="008E0030" w:rsidRPr="00A2293C" w:rsidRDefault="0088731B" w:rsidP="00CE6D15">
      <w:pPr>
        <w:rPr>
          <w:rFonts w:ascii="Arial Narrow" w:hAnsi="Arial Narrow"/>
        </w:rPr>
      </w:pPr>
      <w:r w:rsidRPr="00A2293C">
        <w:rPr>
          <w:rFonts w:ascii="Arial Narrow" w:hAnsi="Arial Narrow"/>
        </w:rPr>
        <w:object w:dxaOrig="1539" w:dyaOrig="997" w14:anchorId="65748B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22" o:title=""/>
          </v:shape>
          <o:OLEObject Type="Embed" ProgID="Word.Document.12" ShapeID="_x0000_i1025" DrawAspect="Icon" ObjectID="_1802501065" r:id="rId23">
            <o:FieldCodes>\s</o:FieldCodes>
          </o:OLEObject>
        </w:object>
      </w:r>
      <w:r w:rsidRPr="00A2293C">
        <w:rPr>
          <w:rFonts w:ascii="Arial Narrow" w:hAnsi="Arial Narrow"/>
        </w:rPr>
        <w:object w:dxaOrig="1539" w:dyaOrig="997" w14:anchorId="4324C836">
          <v:shape id="_x0000_i1026" type="#_x0000_t75" style="width:77.25pt;height:50.25pt" o:ole="">
            <v:imagedata r:id="rId24" o:title=""/>
          </v:shape>
          <o:OLEObject Type="Embed" ProgID="Excel.Sheet.12" ShapeID="_x0000_i1026" DrawAspect="Icon" ObjectID="_1802501066" r:id="rId25"/>
        </w:object>
      </w:r>
      <w:r w:rsidR="00396B3F" w:rsidRPr="00A2293C">
        <w:rPr>
          <w:rFonts w:ascii="Arial Narrow" w:hAnsi="Arial Narrow"/>
        </w:rPr>
        <w:object w:dxaOrig="1539" w:dyaOrig="997" w14:anchorId="7521A00C">
          <v:shape id="_x0000_i1027" type="#_x0000_t75" style="width:77.25pt;height:50.25pt" o:ole="">
            <v:imagedata r:id="rId26" o:title=""/>
          </v:shape>
          <o:OLEObject Type="Embed" ProgID="Excel.Sheet.12" ShapeID="_x0000_i1027" DrawAspect="Icon" ObjectID="_1802501067" r:id="rId27"/>
        </w:object>
      </w:r>
      <w:r w:rsidRPr="00A2293C">
        <w:rPr>
          <w:rFonts w:ascii="Arial Narrow" w:hAnsi="Arial Narrow"/>
        </w:rPr>
        <w:object w:dxaOrig="1539" w:dyaOrig="997" w14:anchorId="2605E3CC">
          <v:shape id="_x0000_i1028" type="#_x0000_t75" style="width:77.25pt;height:50.25pt" o:ole="">
            <v:imagedata r:id="rId28" o:title=""/>
          </v:shape>
          <o:OLEObject Type="Embed" ProgID="Excel.Sheet.12" ShapeID="_x0000_i1028" DrawAspect="Icon" ObjectID="_1802501068" r:id="rId29"/>
        </w:object>
      </w:r>
      <w:r w:rsidR="000967D6" w:rsidRPr="00A2293C">
        <w:rPr>
          <w:rFonts w:ascii="Arial Narrow" w:hAnsi="Arial Narrow"/>
        </w:rPr>
        <w:object w:dxaOrig="1539" w:dyaOrig="997" w14:anchorId="4B00D144">
          <v:shape id="_x0000_i1033" type="#_x0000_t75" style="width:77.25pt;height:49.5pt" o:ole="">
            <v:imagedata r:id="rId30" o:title=""/>
          </v:shape>
          <o:OLEObject Type="Embed" ProgID="Excel.Sheet.12" ShapeID="_x0000_i1033" DrawAspect="Icon" ObjectID="_1802501069" r:id="rId31"/>
        </w:object>
      </w:r>
      <w:r w:rsidRPr="00A2293C">
        <w:rPr>
          <w:rFonts w:ascii="Arial Narrow" w:hAnsi="Arial Narrow"/>
        </w:rPr>
        <w:object w:dxaOrig="1539" w:dyaOrig="997" w14:anchorId="7968F478">
          <v:shape id="_x0000_i1030" type="#_x0000_t75" style="width:77.25pt;height:50.25pt" o:ole="">
            <v:imagedata r:id="rId32" o:title=""/>
          </v:shape>
          <o:OLEObject Type="Embed" ProgID="Excel.Sheet.12" ShapeID="_x0000_i1030" DrawAspect="Icon" ObjectID="_1802501070" r:id="rId33"/>
        </w:object>
      </w:r>
    </w:p>
    <w:sectPr w:rsidR="008E0030" w:rsidRPr="00A2293C" w:rsidSect="00563315">
      <w:headerReference w:type="even" r:id="rId34"/>
      <w:headerReference w:type="default" r:id="rId35"/>
      <w:footerReference w:type="default" r:id="rId36"/>
      <w:headerReference w:type="first" r:id="rId37"/>
      <w:pgSz w:w="11906" w:h="16838" w:code="9"/>
      <w:pgMar w:top="1440" w:right="1133" w:bottom="1440" w:left="1440" w:header="198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C771CB" w14:textId="77777777" w:rsidR="00540A5A" w:rsidRDefault="00540A5A" w:rsidP="008459BD">
      <w:pPr>
        <w:spacing w:after="0" w:line="240" w:lineRule="auto"/>
      </w:pPr>
      <w:r>
        <w:separator/>
      </w:r>
    </w:p>
  </w:endnote>
  <w:endnote w:type="continuationSeparator" w:id="0">
    <w:p w14:paraId="2EA5871B" w14:textId="77777777" w:rsidR="00540A5A" w:rsidRDefault="00540A5A" w:rsidP="00845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8210" w14:textId="77777777" w:rsidR="000950AA" w:rsidRPr="0001179A" w:rsidRDefault="000950AA" w:rsidP="00816A2A">
    <w:pPr>
      <w:pStyle w:val="Nzov"/>
      <w:spacing w:line="237" w:lineRule="auto"/>
      <w:ind w:left="0" w:right="-23" w:firstLine="0"/>
      <w:rPr>
        <w:rFonts w:asciiTheme="minorHAnsi" w:hAnsiTheme="minorHAnsi" w:cstheme="minorHAnsi"/>
        <w:b w:val="0"/>
        <w:i w:val="0"/>
        <w:spacing w:val="2"/>
        <w:sz w:val="16"/>
        <w:szCs w:val="16"/>
      </w:rPr>
    </w:pPr>
    <w:r w:rsidRPr="0001179A">
      <w:rPr>
        <w:rFonts w:asciiTheme="minorHAnsi" w:hAnsiTheme="minorHAnsi" w:cstheme="minorHAnsi"/>
        <w:noProof/>
        <w:spacing w:val="2"/>
        <w:sz w:val="16"/>
        <w:szCs w:val="16"/>
        <w:lang w:eastAsia="sk-SK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1ABA532" wp14:editId="30ED21E4">
              <wp:simplePos x="0" y="0"/>
              <wp:positionH relativeFrom="page">
                <wp:posOffset>6971401</wp:posOffset>
              </wp:positionH>
              <wp:positionV relativeFrom="paragraph">
                <wp:posOffset>69850</wp:posOffset>
              </wp:positionV>
              <wp:extent cx="17640" cy="810360"/>
              <wp:effectExtent l="0" t="0" r="20955" b="8890"/>
              <wp:wrapNone/>
              <wp:docPr id="2" name="Obdélní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640" cy="810360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79C09E" id="Obdélník 2" o:spid="_x0000_s1026" style="position:absolute;margin-left:548.95pt;margin-top:5.5pt;width:1.4pt;height:63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BHhwIAAPoEAAAOAAAAZHJzL2Uyb0RvYy54bWysVEtu2zAQ3RfoHQjubX0qfyREDhI7Lgqk&#10;TYC0B6BJyiJCkSpJW3aDHqiLniIX65CyXaftoijqBc3RDIdv5r3hxeWukWjLjRValTgZxhhxRTUT&#10;al3iTx+XgylG1hHFiNSKl3jPLb6cvX510bUFT3WtJeMGQRJli64tce1cW0SRpTVviB3qlitwVto0&#10;xIFp1hEzpIPsjYzSOB5HnTasNZpya+HronfiWchfVZy6u6qy3CFZYsDmwmrCuvJrNLsgxdqQthb0&#10;AIP8A4qGCAWXnlItiCNoY8RvqRpBjba6ckOqm0hXlaA81ADVJPEv1TzUpOWhFmiObU9tsv8vLf2w&#10;vTdIsBKnGCnSAEV3K/b8Tarn748o9f3pWltA2EN7b3yFtr3V9NEipec1UWt+ZYzuak4YoEp8fPTi&#10;gDcsHEWr7r1mkJ5snA6t2lWm8QmhCWgXGNmfGOE7hyh8TCbjDGij4Jkm8ZtxICwixfFsa6x7y3WD&#10;/KbEBvgOucn21jqPhRTHkIBdS8GWQspgmPVqLg3aEtDGzSKZp1mADyWeh0nlg5X2x/qM/ReACHd4&#10;nwcbuH7KkzSLr9N8sBxPJ4NsmY0G+SSeDuIkv87HcZZni+VXDzDJilowxtWtUPyouyT7O14PE9Ar&#10;JigPdSXOR+ko1P4CvT0vMg6/PxXZCAdjKEUDfT4FkcLTeqMYlE0KR4Ts99FL+KHL0IPjf+hKEIHn&#10;vdfPSrM9aMBoIAn4hAcDNrU2XzDqYPhKbD9viOEYyXcKdJQnmafdBSMbTVIwzLlnde4hikKqEjuM&#10;+u3c9RO+aY1Y13BTEhqj9BVorxJBGF6XPaqDYmHAQgWHx8BP8Lkdon4+WbMfAAAA//8DAFBLAwQU&#10;AAYACAAAACEAE2VN698AAAAMAQAADwAAAGRycy9kb3ducmV2LnhtbEyPzU7DMBCE70i8g7VI3Kgd&#10;kNokxKkQEiCOhL/25iZLkjZeR7GbpG/P9gS3Ge2n2ZlsPdtOjDj41pGGaKFAIJWuaqnW8PH+dBOD&#10;8MFQZTpHqOGEHtb55UVm0spN9IZjEWrBIeRTo6EJoU+l9GWD1viF65H49uMGawLboZbVYCYOt528&#10;VWoprWmJPzSmx8cGy0NxtBq2r6dNvJ96JveHMfn8fn4p7JfW11fzwz2IgHP4g+Fcn6tDzp127kiV&#10;Fx17lawSZllFPOpMREqtQOxY3cVLkHkm/4/IfwEAAP//AwBQSwECLQAUAAYACAAAACEAtoM4kv4A&#10;AADhAQAAEwAAAAAAAAAAAAAAAAAAAAAAW0NvbnRlbnRfVHlwZXNdLnhtbFBLAQItABQABgAIAAAA&#10;IQA4/SH/1gAAAJQBAAALAAAAAAAAAAAAAAAAAC8BAABfcmVscy8ucmVsc1BLAQItABQABgAIAAAA&#10;IQAcgNBHhwIAAPoEAAAOAAAAAAAAAAAAAAAAAC4CAABkcnMvZTJvRG9jLnhtbFBLAQItABQABgAI&#10;AAAAIQATZU3r3wAAAAwBAAAPAAAAAAAAAAAAAAAAAOEEAABkcnMvZG93bnJldi54bWxQSwUGAAAA&#10;AAQABADzAAAA7QUAAAAA&#10;" fillcolor="#ed1c24" stroked="f">
              <w10:wrap anchorx="page"/>
              <w10:anchorlock/>
            </v:rect>
          </w:pict>
        </mc:Fallback>
      </mc:AlternateContent>
    </w:r>
    <w:r w:rsidR="0061677D" w:rsidRPr="0001179A">
      <w:rPr>
        <w:rFonts w:asciiTheme="minorHAnsi" w:hAnsiTheme="minorHAnsi" w:cstheme="minorHAnsi"/>
        <w:i w:val="0"/>
        <w:color w:val="0055A1"/>
        <w:spacing w:val="2"/>
        <w:w w:val="95"/>
        <w:sz w:val="16"/>
        <w:szCs w:val="16"/>
      </w:rPr>
      <w:t>Ministerstvo investícií, regionálneho rozvoja a informatizácie Slovenskej republiky</w:t>
    </w:r>
    <w:r w:rsidRPr="0001179A">
      <w:rPr>
        <w:rFonts w:asciiTheme="minorHAnsi" w:hAnsiTheme="minorHAnsi" w:cstheme="minorHAnsi"/>
        <w:i w:val="0"/>
        <w:color w:val="0055A1"/>
        <w:spacing w:val="2"/>
        <w:w w:val="95"/>
        <w:sz w:val="16"/>
        <w:szCs w:val="16"/>
      </w:rPr>
      <w:t xml:space="preserve"> </w:t>
    </w:r>
    <w:r w:rsidRPr="0001179A">
      <w:rPr>
        <w:rFonts w:asciiTheme="minorHAnsi" w:hAnsiTheme="minorHAnsi" w:cstheme="minorHAnsi"/>
        <w:b w:val="0"/>
        <w:i w:val="0"/>
        <w:color w:val="ED1C24"/>
        <w:spacing w:val="2"/>
        <w:w w:val="95"/>
        <w:sz w:val="16"/>
        <w:szCs w:val="16"/>
      </w:rPr>
      <w:t xml:space="preserve">| </w:t>
    </w:r>
    <w:r w:rsidR="00701E37">
      <w:rPr>
        <w:rFonts w:asciiTheme="minorHAnsi" w:hAnsiTheme="minorHAnsi" w:cstheme="minorHAnsi"/>
        <w:i w:val="0"/>
        <w:color w:val="0055A1"/>
        <w:spacing w:val="2"/>
        <w:w w:val="95"/>
        <w:sz w:val="16"/>
        <w:szCs w:val="16"/>
      </w:rPr>
      <w:t>Pribinova 25</w:t>
    </w:r>
    <w:r w:rsidRPr="0001179A">
      <w:rPr>
        <w:rFonts w:asciiTheme="minorHAnsi" w:hAnsiTheme="minorHAnsi" w:cstheme="minorHAnsi"/>
        <w:i w:val="0"/>
        <w:color w:val="0055A1"/>
        <w:spacing w:val="2"/>
        <w:w w:val="95"/>
        <w:sz w:val="16"/>
        <w:szCs w:val="16"/>
      </w:rPr>
      <w:t xml:space="preserve"> </w:t>
    </w:r>
    <w:r w:rsidRPr="0001179A">
      <w:rPr>
        <w:rFonts w:asciiTheme="minorHAnsi" w:hAnsiTheme="minorHAnsi" w:cstheme="minorHAnsi"/>
        <w:b w:val="0"/>
        <w:i w:val="0"/>
        <w:color w:val="ED1C24"/>
        <w:spacing w:val="2"/>
        <w:w w:val="95"/>
        <w:sz w:val="16"/>
        <w:szCs w:val="16"/>
      </w:rPr>
      <w:t xml:space="preserve">| </w:t>
    </w:r>
    <w:r w:rsidR="0061677D" w:rsidRPr="0001179A">
      <w:rPr>
        <w:rFonts w:asciiTheme="minorHAnsi" w:hAnsiTheme="minorHAnsi" w:cstheme="minorHAnsi"/>
        <w:i w:val="0"/>
        <w:color w:val="0055A1"/>
        <w:spacing w:val="2"/>
        <w:w w:val="95"/>
        <w:sz w:val="16"/>
        <w:szCs w:val="16"/>
      </w:rPr>
      <w:t>811 0</w:t>
    </w:r>
    <w:r w:rsidR="00701E37">
      <w:rPr>
        <w:rFonts w:asciiTheme="minorHAnsi" w:hAnsiTheme="minorHAnsi" w:cstheme="minorHAnsi"/>
        <w:i w:val="0"/>
        <w:color w:val="0055A1"/>
        <w:spacing w:val="2"/>
        <w:w w:val="95"/>
        <w:sz w:val="16"/>
        <w:szCs w:val="16"/>
      </w:rPr>
      <w:t>9</w:t>
    </w:r>
    <w:r w:rsidR="0061677D" w:rsidRPr="0001179A">
      <w:rPr>
        <w:rFonts w:asciiTheme="minorHAnsi" w:hAnsiTheme="minorHAnsi" w:cstheme="minorHAnsi"/>
        <w:i w:val="0"/>
        <w:color w:val="0055A1"/>
        <w:spacing w:val="2"/>
        <w:w w:val="95"/>
        <w:sz w:val="16"/>
        <w:szCs w:val="16"/>
      </w:rPr>
      <w:t xml:space="preserve"> Bratislava</w:t>
    </w:r>
    <w:r w:rsidRPr="0001179A">
      <w:rPr>
        <w:rFonts w:asciiTheme="minorHAnsi" w:hAnsiTheme="minorHAnsi" w:cstheme="minorHAnsi"/>
        <w:i w:val="0"/>
        <w:color w:val="0055A1"/>
        <w:spacing w:val="2"/>
        <w:w w:val="95"/>
        <w:sz w:val="16"/>
        <w:szCs w:val="16"/>
      </w:rPr>
      <w:t xml:space="preserve"> </w:t>
    </w:r>
    <w:r w:rsidRPr="0001179A">
      <w:rPr>
        <w:rFonts w:asciiTheme="minorHAnsi" w:hAnsiTheme="minorHAnsi" w:cstheme="minorHAnsi"/>
        <w:b w:val="0"/>
        <w:i w:val="0"/>
        <w:color w:val="ED1C24"/>
        <w:spacing w:val="2"/>
        <w:w w:val="95"/>
        <w:sz w:val="16"/>
        <w:szCs w:val="16"/>
      </w:rPr>
      <w:t xml:space="preserve">| </w:t>
    </w:r>
    <w:r w:rsidRPr="0001179A">
      <w:rPr>
        <w:rFonts w:asciiTheme="minorHAnsi" w:hAnsiTheme="minorHAnsi" w:cstheme="minorHAnsi"/>
        <w:i w:val="0"/>
        <w:color w:val="0055A1"/>
        <w:spacing w:val="2"/>
        <w:w w:val="95"/>
        <w:sz w:val="16"/>
        <w:szCs w:val="16"/>
      </w:rPr>
      <w:t>Slovenská republika</w:t>
    </w:r>
    <w:r w:rsidRPr="0001179A">
      <w:rPr>
        <w:rFonts w:asciiTheme="minorHAnsi" w:hAnsiTheme="minorHAnsi" w:cstheme="minorHAnsi"/>
        <w:i w:val="0"/>
        <w:color w:val="0055A1"/>
        <w:spacing w:val="2"/>
        <w:w w:val="88"/>
        <w:sz w:val="16"/>
        <w:szCs w:val="16"/>
      </w:rPr>
      <w:t xml:space="preserve"> </w:t>
    </w:r>
    <w:r w:rsidRPr="0001179A">
      <w:rPr>
        <w:rFonts w:asciiTheme="minorHAnsi" w:hAnsiTheme="minorHAnsi" w:cstheme="minorHAnsi"/>
        <w:i w:val="0"/>
        <w:color w:val="0055A1"/>
        <w:spacing w:val="2"/>
        <w:w w:val="88"/>
        <w:sz w:val="16"/>
        <w:szCs w:val="16"/>
      </w:rPr>
      <w:br/>
    </w:r>
    <w:r w:rsidR="0061677D" w:rsidRPr="0001179A">
      <w:rPr>
        <w:rFonts w:asciiTheme="minorHAnsi" w:hAnsiTheme="minorHAnsi" w:cstheme="minorHAnsi"/>
        <w:b w:val="0"/>
        <w:i w:val="0"/>
        <w:color w:val="0055A1"/>
        <w:spacing w:val="2"/>
        <w:sz w:val="16"/>
        <w:szCs w:val="16"/>
      </w:rPr>
      <w:t xml:space="preserve">tel.: +421 2 </w:t>
    </w:r>
    <w:r w:rsidR="009A224C">
      <w:rPr>
        <w:rFonts w:asciiTheme="minorHAnsi" w:hAnsiTheme="minorHAnsi" w:cstheme="minorHAnsi"/>
        <w:b w:val="0"/>
        <w:i w:val="0"/>
        <w:color w:val="0055A1"/>
        <w:spacing w:val="2"/>
        <w:sz w:val="16"/>
        <w:szCs w:val="16"/>
      </w:rPr>
      <w:t>00 0000 000</w:t>
    </w:r>
    <w:r w:rsidRPr="0001179A">
      <w:rPr>
        <w:rFonts w:asciiTheme="minorHAnsi" w:hAnsiTheme="minorHAnsi" w:cstheme="minorHAnsi"/>
        <w:b w:val="0"/>
        <w:i w:val="0"/>
        <w:color w:val="0055A1"/>
        <w:spacing w:val="2"/>
        <w:sz w:val="16"/>
        <w:szCs w:val="16"/>
      </w:rPr>
      <w:t xml:space="preserve"> </w:t>
    </w:r>
    <w:r w:rsidR="0061677D" w:rsidRPr="0001179A">
      <w:rPr>
        <w:rFonts w:asciiTheme="minorHAnsi" w:hAnsiTheme="minorHAnsi" w:cstheme="minorHAnsi"/>
        <w:b w:val="0"/>
        <w:i w:val="0"/>
        <w:color w:val="ED1C24"/>
        <w:spacing w:val="2"/>
        <w:sz w:val="16"/>
        <w:szCs w:val="16"/>
      </w:rPr>
      <w:t>|</w:t>
    </w:r>
    <w:r w:rsidRPr="0001179A">
      <w:rPr>
        <w:rFonts w:asciiTheme="minorHAnsi" w:hAnsiTheme="minorHAnsi" w:cstheme="minorHAnsi"/>
        <w:b w:val="0"/>
        <w:i w:val="0"/>
        <w:color w:val="0055A1"/>
        <w:spacing w:val="2"/>
        <w:sz w:val="16"/>
        <w:szCs w:val="16"/>
      </w:rPr>
      <w:t>e–mail</w:t>
    </w:r>
    <w:r w:rsidR="009A224C">
      <w:rPr>
        <w:rFonts w:asciiTheme="minorHAnsi" w:hAnsiTheme="minorHAnsi" w:cstheme="minorHAnsi"/>
        <w:b w:val="0"/>
        <w:i w:val="0"/>
        <w:color w:val="0055A1"/>
        <w:spacing w:val="2"/>
        <w:sz w:val="16"/>
        <w:szCs w:val="16"/>
      </w:rPr>
      <w:t xml:space="preserve">: </w:t>
    </w:r>
    <w:r w:rsidRPr="0001179A">
      <w:rPr>
        <w:rFonts w:asciiTheme="minorHAnsi" w:hAnsiTheme="minorHAnsi" w:cstheme="minorHAnsi"/>
        <w:b w:val="0"/>
        <w:i w:val="0"/>
        <w:color w:val="0055A1"/>
        <w:spacing w:val="2"/>
        <w:sz w:val="16"/>
        <w:szCs w:val="16"/>
      </w:rPr>
      <w:t xml:space="preserve"> </w:t>
    </w:r>
    <w:r w:rsidRPr="0001179A">
      <w:rPr>
        <w:rFonts w:asciiTheme="minorHAnsi" w:hAnsiTheme="minorHAnsi" w:cstheme="minorHAnsi"/>
        <w:b w:val="0"/>
        <w:i w:val="0"/>
        <w:color w:val="ED1C24"/>
        <w:spacing w:val="2"/>
        <w:sz w:val="16"/>
        <w:szCs w:val="16"/>
      </w:rPr>
      <w:t xml:space="preserve">| </w:t>
    </w:r>
    <w:hyperlink r:id="rId1" w:history="1">
      <w:r w:rsidR="0061677D" w:rsidRPr="0001179A">
        <w:rPr>
          <w:rStyle w:val="Hypertextovprepojenie"/>
          <w:rFonts w:asciiTheme="minorHAnsi" w:hAnsiTheme="minorHAnsi" w:cstheme="minorHAnsi"/>
          <w:b w:val="0"/>
          <w:i w:val="0"/>
          <w:spacing w:val="2"/>
          <w:sz w:val="16"/>
          <w:szCs w:val="16"/>
        </w:rPr>
        <w:t>www.mirri.gov.sk</w:t>
      </w:r>
    </w:hyperlink>
    <w:r w:rsidRPr="0001179A">
      <w:rPr>
        <w:rFonts w:asciiTheme="minorHAnsi" w:hAnsiTheme="minorHAnsi" w:cstheme="minorHAnsi"/>
        <w:b w:val="0"/>
        <w:i w:val="0"/>
        <w:color w:val="0055A1"/>
        <w:spacing w:val="2"/>
        <w:sz w:val="16"/>
        <w:szCs w:val="16"/>
      </w:rPr>
      <w:t xml:space="preserve"> </w:t>
    </w:r>
  </w:p>
  <w:p w14:paraId="680175AE" w14:textId="77777777" w:rsidR="000950AA" w:rsidRDefault="000950A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5FACF" w14:textId="77777777" w:rsidR="00540A5A" w:rsidRDefault="00540A5A" w:rsidP="008459BD">
      <w:pPr>
        <w:spacing w:after="0" w:line="240" w:lineRule="auto"/>
      </w:pPr>
      <w:r>
        <w:separator/>
      </w:r>
    </w:p>
  </w:footnote>
  <w:footnote w:type="continuationSeparator" w:id="0">
    <w:p w14:paraId="6AE02939" w14:textId="77777777" w:rsidR="00540A5A" w:rsidRDefault="00540A5A" w:rsidP="008459BD">
      <w:pPr>
        <w:spacing w:after="0" w:line="240" w:lineRule="auto"/>
      </w:pPr>
      <w:r>
        <w:continuationSeparator/>
      </w:r>
    </w:p>
  </w:footnote>
  <w:footnote w:id="1">
    <w:p w14:paraId="2E785FE9" w14:textId="35649E85" w:rsidR="00BA6B38" w:rsidRPr="00BA6B38" w:rsidRDefault="00BA6B38">
      <w:pPr>
        <w:pStyle w:val="Textpoznmkypodiarou"/>
        <w:rPr>
          <w:rFonts w:ascii="Arial Narrow" w:hAnsi="Arial Narrow"/>
          <w:sz w:val="18"/>
          <w:szCs w:val="18"/>
        </w:rPr>
      </w:pPr>
      <w:r w:rsidRPr="00BA6B38">
        <w:rPr>
          <w:rStyle w:val="Odkaznapoznmkupodiarou"/>
          <w:rFonts w:ascii="Arial Narrow" w:hAnsi="Arial Narrow"/>
          <w:sz w:val="18"/>
          <w:szCs w:val="18"/>
        </w:rPr>
        <w:footnoteRef/>
      </w:r>
      <w:r w:rsidRPr="00BA6B38">
        <w:rPr>
          <w:rFonts w:ascii="Arial Narrow" w:hAnsi="Arial Narrow"/>
          <w:sz w:val="18"/>
          <w:szCs w:val="18"/>
        </w:rPr>
        <w:t xml:space="preserve"> HND – hrubý národný dôchodok, je to veličina, ktorú používa EK pre výpočet nároku na zdroje z Kohézneho fondu</w:t>
      </w:r>
    </w:p>
  </w:footnote>
  <w:footnote w:id="2">
    <w:p w14:paraId="3BDF12F5" w14:textId="6399584B" w:rsidR="00A2293C" w:rsidRPr="00A2293C" w:rsidRDefault="00A2293C">
      <w:pPr>
        <w:pStyle w:val="Textpoznmkypodiarou"/>
        <w:rPr>
          <w:rFonts w:ascii="Arial Narrow" w:hAnsi="Arial Narrow"/>
          <w:sz w:val="22"/>
          <w:szCs w:val="22"/>
        </w:rPr>
      </w:pPr>
      <w:r w:rsidRPr="00A2293C">
        <w:rPr>
          <w:rStyle w:val="Odkaznapoznmkupodiarou"/>
          <w:rFonts w:ascii="Arial Narrow" w:hAnsi="Arial Narrow"/>
          <w:sz w:val="22"/>
          <w:szCs w:val="22"/>
        </w:rPr>
        <w:footnoteRef/>
      </w:r>
      <w:r w:rsidRPr="00A2293C">
        <w:rPr>
          <w:rFonts w:ascii="Arial Narrow" w:hAnsi="Arial Narrow"/>
          <w:sz w:val="22"/>
          <w:szCs w:val="22"/>
        </w:rPr>
        <w:t xml:space="preserve"> „</w:t>
      </w:r>
      <w:proofErr w:type="spellStart"/>
      <w:r w:rsidRPr="00A2293C">
        <w:rPr>
          <w:rFonts w:ascii="Arial Narrow" w:hAnsi="Arial Narrow"/>
          <w:sz w:val="22"/>
          <w:szCs w:val="22"/>
        </w:rPr>
        <w:t>Safe</w:t>
      </w:r>
      <w:r w:rsidR="003E61AE">
        <w:rPr>
          <w:rFonts w:ascii="Arial Narrow" w:hAnsi="Arial Narrow"/>
          <w:sz w:val="22"/>
          <w:szCs w:val="22"/>
        </w:rPr>
        <w:t>t</w:t>
      </w:r>
      <w:r w:rsidRPr="00A2293C">
        <w:rPr>
          <w:rFonts w:ascii="Arial Narrow" w:hAnsi="Arial Narrow"/>
          <w:sz w:val="22"/>
          <w:szCs w:val="22"/>
        </w:rPr>
        <w:t>y</w:t>
      </w:r>
      <w:proofErr w:type="spellEnd"/>
      <w:r w:rsidRPr="00A2293C">
        <w:rPr>
          <w:rFonts w:ascii="Arial Narrow" w:hAnsi="Arial Narrow"/>
          <w:sz w:val="22"/>
          <w:szCs w:val="22"/>
        </w:rPr>
        <w:t xml:space="preserve"> net“ je to opatrenie, ktoré zabezpečuje, aby národná obálka jednotlivých krajín nepoklesla o viac ako 24% oproti predchádzajúcemu obdobiu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92BCC" w14:textId="77777777" w:rsidR="00563315" w:rsidRDefault="00000000">
    <w:pPr>
      <w:pStyle w:val="Hlavika"/>
    </w:pPr>
    <w:r>
      <w:rPr>
        <w:noProof/>
      </w:rPr>
      <w:pict w14:anchorId="55665E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130672" o:spid="_x0000_s102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MIRRI_Hl papier_SK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480CD" w14:textId="77777777" w:rsidR="008459BD" w:rsidRDefault="009A224C" w:rsidP="00790734">
    <w:pPr>
      <w:pStyle w:val="Hlavika"/>
      <w:ind w:left="142"/>
    </w:pPr>
    <w:r>
      <w:rPr>
        <w:noProof/>
        <w:lang w:eastAsia="sk-SK"/>
      </w:rPr>
      <w:drawing>
        <wp:anchor distT="0" distB="0" distL="114300" distR="114300" simplePos="0" relativeHeight="251663360" behindDoc="1" locked="0" layoutInCell="1" allowOverlap="1" wp14:anchorId="534C912F" wp14:editId="3B6A97D5">
          <wp:simplePos x="0" y="0"/>
          <wp:positionH relativeFrom="column">
            <wp:posOffset>4988873</wp:posOffset>
          </wp:positionH>
          <wp:positionV relativeFrom="paragraph">
            <wp:posOffset>-850189</wp:posOffset>
          </wp:positionV>
          <wp:extent cx="821783" cy="63754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825763" cy="64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3315">
      <w:rPr>
        <w:noProof/>
        <w:lang w:eastAsia="sk-SK"/>
      </w:rPr>
      <w:drawing>
        <wp:anchor distT="0" distB="0" distL="114300" distR="114300" simplePos="0" relativeHeight="251657216" behindDoc="0" locked="1" layoutInCell="1" allowOverlap="1" wp14:anchorId="034FA578" wp14:editId="218B8CF7">
          <wp:simplePos x="0" y="0"/>
          <wp:positionH relativeFrom="column">
            <wp:posOffset>-713740</wp:posOffset>
          </wp:positionH>
          <wp:positionV relativeFrom="paragraph">
            <wp:posOffset>-1167130</wp:posOffset>
          </wp:positionV>
          <wp:extent cx="2568575" cy="920750"/>
          <wp:effectExtent l="0" t="0" r="0" b="0"/>
          <wp:wrapNone/>
          <wp:docPr id="6" name="Grafický 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RRI_Hl papier_SK_Logo-01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8575" cy="920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26FCA" w14:textId="77777777" w:rsidR="00563315" w:rsidRDefault="00000000">
    <w:pPr>
      <w:pStyle w:val="Hlavika"/>
    </w:pPr>
    <w:r>
      <w:rPr>
        <w:noProof/>
      </w:rPr>
      <w:pict w14:anchorId="143A0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8130671" o:spid="_x0000_s102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IRRI_Hl papier_SK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4E0AC5"/>
    <w:multiLevelType w:val="hybridMultilevel"/>
    <w:tmpl w:val="940870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F0F35"/>
    <w:multiLevelType w:val="hybridMultilevel"/>
    <w:tmpl w:val="E1F65E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44B9D"/>
    <w:multiLevelType w:val="hybridMultilevel"/>
    <w:tmpl w:val="8EC6D7C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C5353B4"/>
    <w:multiLevelType w:val="hybridMultilevel"/>
    <w:tmpl w:val="EB804614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BD70AE9"/>
    <w:multiLevelType w:val="hybridMultilevel"/>
    <w:tmpl w:val="BBBEEBF6"/>
    <w:lvl w:ilvl="0" w:tplc="18863BF6">
      <w:numFmt w:val="bullet"/>
      <w:lvlText w:val="-"/>
      <w:lvlJc w:val="left"/>
      <w:pPr>
        <w:ind w:left="41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5" w15:restartNumberingAfterBreak="0">
    <w:nsid w:val="5E924273"/>
    <w:multiLevelType w:val="hybridMultilevel"/>
    <w:tmpl w:val="BD8E988A"/>
    <w:lvl w:ilvl="0" w:tplc="0C321BA4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72865"/>
    <w:multiLevelType w:val="hybridMultilevel"/>
    <w:tmpl w:val="D99249B8"/>
    <w:lvl w:ilvl="0" w:tplc="6156799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8A68D4"/>
    <w:multiLevelType w:val="hybridMultilevel"/>
    <w:tmpl w:val="C37A9A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563092">
    <w:abstractNumId w:val="3"/>
  </w:num>
  <w:num w:numId="2" w16cid:durableId="48767518">
    <w:abstractNumId w:val="0"/>
  </w:num>
  <w:num w:numId="3" w16cid:durableId="702511136">
    <w:abstractNumId w:val="1"/>
  </w:num>
  <w:num w:numId="4" w16cid:durableId="1834367589">
    <w:abstractNumId w:val="2"/>
  </w:num>
  <w:num w:numId="5" w16cid:durableId="1434400083">
    <w:abstractNumId w:val="6"/>
  </w:num>
  <w:num w:numId="6" w16cid:durableId="1364591862">
    <w:abstractNumId w:val="4"/>
  </w:num>
  <w:num w:numId="7" w16cid:durableId="1819029630">
    <w:abstractNumId w:val="5"/>
  </w:num>
  <w:num w:numId="8" w16cid:durableId="2980019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652"/>
    <w:rsid w:val="000012CA"/>
    <w:rsid w:val="0001179A"/>
    <w:rsid w:val="0002474B"/>
    <w:rsid w:val="00047A81"/>
    <w:rsid w:val="000950AA"/>
    <w:rsid w:val="000967D6"/>
    <w:rsid w:val="000F5604"/>
    <w:rsid w:val="00121939"/>
    <w:rsid w:val="001762CF"/>
    <w:rsid w:val="00183146"/>
    <w:rsid w:val="00190317"/>
    <w:rsid w:val="001B53FC"/>
    <w:rsid w:val="001C76CA"/>
    <w:rsid w:val="001D2CC8"/>
    <w:rsid w:val="001E391D"/>
    <w:rsid w:val="001F20C7"/>
    <w:rsid w:val="002065D0"/>
    <w:rsid w:val="002B070B"/>
    <w:rsid w:val="002F2F69"/>
    <w:rsid w:val="002F4F56"/>
    <w:rsid w:val="002F5BAE"/>
    <w:rsid w:val="0030594B"/>
    <w:rsid w:val="00343097"/>
    <w:rsid w:val="0035017D"/>
    <w:rsid w:val="00393217"/>
    <w:rsid w:val="00396B3F"/>
    <w:rsid w:val="003B484B"/>
    <w:rsid w:val="003B6068"/>
    <w:rsid w:val="003C1742"/>
    <w:rsid w:val="003C3FF7"/>
    <w:rsid w:val="003C607F"/>
    <w:rsid w:val="003E61AE"/>
    <w:rsid w:val="00400E27"/>
    <w:rsid w:val="00432233"/>
    <w:rsid w:val="00464CBD"/>
    <w:rsid w:val="004C5B0A"/>
    <w:rsid w:val="004F31F8"/>
    <w:rsid w:val="00526BD6"/>
    <w:rsid w:val="00540A5A"/>
    <w:rsid w:val="00563315"/>
    <w:rsid w:val="005C0813"/>
    <w:rsid w:val="005E2491"/>
    <w:rsid w:val="006159C6"/>
    <w:rsid w:val="0061677D"/>
    <w:rsid w:val="00616C81"/>
    <w:rsid w:val="00621CFB"/>
    <w:rsid w:val="00662B2D"/>
    <w:rsid w:val="006D1817"/>
    <w:rsid w:val="00701E37"/>
    <w:rsid w:val="00704023"/>
    <w:rsid w:val="00717827"/>
    <w:rsid w:val="0073265A"/>
    <w:rsid w:val="007656E6"/>
    <w:rsid w:val="00790734"/>
    <w:rsid w:val="007C07B1"/>
    <w:rsid w:val="00816A2A"/>
    <w:rsid w:val="00831814"/>
    <w:rsid w:val="008459BD"/>
    <w:rsid w:val="00846AF9"/>
    <w:rsid w:val="008539A4"/>
    <w:rsid w:val="0088731B"/>
    <w:rsid w:val="008A79C6"/>
    <w:rsid w:val="008C3441"/>
    <w:rsid w:val="008C3808"/>
    <w:rsid w:val="008D63F3"/>
    <w:rsid w:val="008E0030"/>
    <w:rsid w:val="009108CD"/>
    <w:rsid w:val="00913A64"/>
    <w:rsid w:val="00951414"/>
    <w:rsid w:val="0099346B"/>
    <w:rsid w:val="00995468"/>
    <w:rsid w:val="009A224C"/>
    <w:rsid w:val="009A7AC9"/>
    <w:rsid w:val="009D7AFF"/>
    <w:rsid w:val="00A2293C"/>
    <w:rsid w:val="00A4295C"/>
    <w:rsid w:val="00A46D22"/>
    <w:rsid w:val="00AE7AB8"/>
    <w:rsid w:val="00B00652"/>
    <w:rsid w:val="00B07A17"/>
    <w:rsid w:val="00B22352"/>
    <w:rsid w:val="00B71745"/>
    <w:rsid w:val="00BA6B38"/>
    <w:rsid w:val="00BC11DB"/>
    <w:rsid w:val="00C076FE"/>
    <w:rsid w:val="00C41630"/>
    <w:rsid w:val="00C46B45"/>
    <w:rsid w:val="00C83D11"/>
    <w:rsid w:val="00C94378"/>
    <w:rsid w:val="00CA5F85"/>
    <w:rsid w:val="00CC4974"/>
    <w:rsid w:val="00CE6D15"/>
    <w:rsid w:val="00D1525A"/>
    <w:rsid w:val="00D26423"/>
    <w:rsid w:val="00D6267B"/>
    <w:rsid w:val="00D658A5"/>
    <w:rsid w:val="00D910F1"/>
    <w:rsid w:val="00DB44AC"/>
    <w:rsid w:val="00DD2F00"/>
    <w:rsid w:val="00E11252"/>
    <w:rsid w:val="00E152C9"/>
    <w:rsid w:val="00E33AB1"/>
    <w:rsid w:val="00E40D7C"/>
    <w:rsid w:val="00E45487"/>
    <w:rsid w:val="00E76C23"/>
    <w:rsid w:val="00ED7642"/>
    <w:rsid w:val="00F32A42"/>
    <w:rsid w:val="00F463E5"/>
    <w:rsid w:val="00F75106"/>
    <w:rsid w:val="00F75B19"/>
    <w:rsid w:val="00F84D95"/>
    <w:rsid w:val="00FA3B50"/>
    <w:rsid w:val="00FD54AD"/>
    <w:rsid w:val="00FE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976C3"/>
  <w15:chartTrackingRefBased/>
  <w15:docId w15:val="{B9DE29F1-BD56-4CDD-82ED-5D1354D7A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C607F"/>
  </w:style>
  <w:style w:type="paragraph" w:styleId="Nadpis1">
    <w:name w:val="heading 1"/>
    <w:basedOn w:val="Normlny"/>
    <w:next w:val="Normlny"/>
    <w:link w:val="Nadpis1Char"/>
    <w:uiPriority w:val="9"/>
    <w:qFormat/>
    <w:rsid w:val="001E391D"/>
    <w:pPr>
      <w:keepNext/>
      <w:keepLines/>
      <w:spacing w:before="240" w:after="0"/>
      <w:outlineLvl w:val="0"/>
    </w:pPr>
    <w:rPr>
      <w:rFonts w:ascii="Arial Narrow" w:eastAsiaTheme="majorEastAsia" w:hAnsi="Arial Narrow" w:cstheme="majorBidi"/>
      <w:color w:val="2F5496" w:themeColor="accent1" w:themeShade="BF"/>
      <w:sz w:val="28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45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59BD"/>
  </w:style>
  <w:style w:type="paragraph" w:styleId="Pta">
    <w:name w:val="footer"/>
    <w:basedOn w:val="Normlny"/>
    <w:link w:val="PtaChar"/>
    <w:uiPriority w:val="99"/>
    <w:unhideWhenUsed/>
    <w:rsid w:val="00845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59BD"/>
  </w:style>
  <w:style w:type="paragraph" w:styleId="Nzov">
    <w:name w:val="Title"/>
    <w:basedOn w:val="Normlny"/>
    <w:link w:val="NzovChar"/>
    <w:uiPriority w:val="10"/>
    <w:qFormat/>
    <w:rsid w:val="000950AA"/>
    <w:pPr>
      <w:widowControl w:val="0"/>
      <w:autoSpaceDE w:val="0"/>
      <w:autoSpaceDN w:val="0"/>
      <w:spacing w:before="77" w:after="0" w:line="240" w:lineRule="auto"/>
      <w:ind w:left="3347" w:right="111" w:firstLine="951"/>
      <w:jc w:val="right"/>
    </w:pPr>
    <w:rPr>
      <w:rFonts w:ascii="Carlito" w:eastAsia="Carlito" w:hAnsi="Carlito" w:cs="Carlito"/>
      <w:b/>
      <w:bCs/>
      <w:i/>
    </w:rPr>
  </w:style>
  <w:style w:type="character" w:customStyle="1" w:styleId="NzovChar">
    <w:name w:val="Názov Char"/>
    <w:basedOn w:val="Predvolenpsmoodseku"/>
    <w:link w:val="Nzov"/>
    <w:uiPriority w:val="10"/>
    <w:rsid w:val="000950AA"/>
    <w:rPr>
      <w:rFonts w:ascii="Carlito" w:eastAsia="Carlito" w:hAnsi="Carlito" w:cs="Carlito"/>
      <w:b/>
      <w:bCs/>
      <w:i/>
    </w:rPr>
  </w:style>
  <w:style w:type="character" w:styleId="Hypertextovprepojenie">
    <w:name w:val="Hyperlink"/>
    <w:basedOn w:val="Predvolenpsmoodseku"/>
    <w:uiPriority w:val="99"/>
    <w:unhideWhenUsed/>
    <w:rsid w:val="0061677D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3C607F"/>
    <w:pPr>
      <w:ind w:left="720"/>
      <w:contextualSpacing/>
    </w:pPr>
  </w:style>
  <w:style w:type="table" w:styleId="Tabukasozoznamom4zvraznenie5">
    <w:name w:val="List Table 4 Accent 5"/>
    <w:basedOn w:val="Normlnatabuka"/>
    <w:uiPriority w:val="49"/>
    <w:rsid w:val="003C60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adpis1Char">
    <w:name w:val="Nadpis 1 Char"/>
    <w:basedOn w:val="Predvolenpsmoodseku"/>
    <w:link w:val="Nadpis1"/>
    <w:uiPriority w:val="9"/>
    <w:rsid w:val="001E391D"/>
    <w:rPr>
      <w:rFonts w:ascii="Arial Narrow" w:eastAsiaTheme="majorEastAsia" w:hAnsi="Arial Narrow" w:cstheme="majorBidi"/>
      <w:color w:val="2F5496" w:themeColor="accent1" w:themeShade="BF"/>
      <w:sz w:val="28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88731B"/>
    <w:pPr>
      <w:outlineLvl w:val="9"/>
    </w:pPr>
    <w:rPr>
      <w:rFonts w:asciiTheme="majorHAnsi" w:hAnsiTheme="majorHAnsi"/>
      <w:sz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88731B"/>
    <w:pPr>
      <w:spacing w:after="100"/>
    </w:pPr>
  </w:style>
  <w:style w:type="character" w:styleId="Odkaznakomentr">
    <w:name w:val="annotation reference"/>
    <w:basedOn w:val="Predvolenpsmoodseku"/>
    <w:uiPriority w:val="99"/>
    <w:semiHidden/>
    <w:unhideWhenUsed/>
    <w:rsid w:val="00DD2F0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D2F0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D2F0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D2F0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D2F00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D2F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2F00"/>
    <w:rPr>
      <w:rFonts w:ascii="Segoe UI" w:hAnsi="Segoe UI" w:cs="Segoe UI"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2293C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A2293C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A2293C"/>
    <w:rPr>
      <w:vertAlign w:val="superscript"/>
    </w:rPr>
  </w:style>
  <w:style w:type="paragraph" w:styleId="Revzia">
    <w:name w:val="Revision"/>
    <w:hidden/>
    <w:uiPriority w:val="99"/>
    <w:semiHidden/>
    <w:rsid w:val="004C5B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1.emf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package" Target="embeddings/Microsoft_Excel_Worksheet3.xlsx"/><Relationship Id="rId33" Type="http://schemas.openxmlformats.org/officeDocument/2006/relationships/package" Target="embeddings/Microsoft_Excel_Worksheet7.xlsx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package" Target="embeddings/Microsoft_Excel_Worksheet5.xls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package" Target="embeddings/Microsoft_Word_Document.docx"/><Relationship Id="rId28" Type="http://schemas.openxmlformats.org/officeDocument/2006/relationships/image" Target="media/image12.emf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package" Target="embeddings/Microsoft_Excel_Worksheet6.xls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emf"/><Relationship Id="rId27" Type="http://schemas.openxmlformats.org/officeDocument/2006/relationships/package" Target="embeddings/Microsoft_Excel_Worksheet4.xlsx"/><Relationship Id="rId30" Type="http://schemas.openxmlformats.org/officeDocument/2006/relationships/image" Target="media/image13.emf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rri.gov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svg"/><Relationship Id="rId1" Type="http://schemas.openxmlformats.org/officeDocument/2006/relationships/image" Target="media/image16.png"/><Relationship Id="rId4" Type="http://schemas.openxmlformats.org/officeDocument/2006/relationships/image" Target="media/image19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Hárok1!$D$1</c:f>
              <c:strCache>
                <c:ptCount val="1"/>
                <c:pt idx="0">
                  <c:v>Revenue $K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Hárok1!$C$2:$C$5</c:f>
              <c:strCache>
                <c:ptCount val="4"/>
                <c:pt idx="0">
                  <c:v>EÚ 27 aktualizácia                         </c:v>
                </c:pt>
                <c:pt idx="1">
                  <c:v>EÚ 27 + Balkán                         </c:v>
                </c:pt>
                <c:pt idx="2">
                  <c:v>EÚ 27 + Ukrajina                         </c:v>
                </c:pt>
                <c:pt idx="3">
                  <c:v>EÚ 27 + Balkán a Ukrajina                         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14.638</c:v>
                </c:pt>
                <c:pt idx="1">
                  <c:v>14.164999999999999</c:v>
                </c:pt>
                <c:pt idx="2">
                  <c:v>13.074</c:v>
                </c:pt>
                <c:pt idx="3">
                  <c:v>12.571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75-4ABB-8918-B86D011F16A0}"/>
            </c:ext>
          </c:extLst>
        </c:ser>
        <c:ser>
          <c:idx val="1"/>
          <c:order val="1"/>
          <c:tx>
            <c:strRef>
              <c:f>Hárok1!$E$1</c:f>
              <c:strCache>
                <c:ptCount val="1"/>
                <c:pt idx="0">
                  <c:v>Invisible Bar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975-4ABB-8918-B86D011F16A0}"/>
              </c:ext>
            </c:extLst>
          </c:dPt>
          <c:dPt>
            <c:idx val="1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8975-4ABB-8918-B86D011F16A0}"/>
              </c:ext>
            </c:extLst>
          </c:dPt>
          <c:dPt>
            <c:idx val="2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975-4ABB-8918-B86D011F16A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65595554-454F-432C-977F-4EC52FAE7E0C}" type="CELLRANGE">
                      <a:rPr lang="en-US"/>
                      <a:pPr/>
                      <a:t>[CELLRANGE]</a:t>
                    </a:fld>
                    <a:endParaRPr lang="sk-SK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975-4ABB-8918-B86D011F16A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242E93F-E47C-4D3E-B4E5-BF32E21D4DFE}" type="CELLRANGE">
                      <a:rPr lang="en-US"/>
                      <a:pPr/>
                      <a:t>[CELLRANGE]</a:t>
                    </a:fld>
                    <a:endParaRPr lang="sk-SK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8975-4ABB-8918-B86D011F16A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70528AF-55A8-4203-95CC-00D7D5A46D4B}" type="CELLRANGE">
                      <a:rPr lang="en-US"/>
                      <a:pPr/>
                      <a:t>[CELLRANGE]</a:t>
                    </a:fld>
                    <a:endParaRPr lang="sk-SK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8975-4ABB-8918-B86D011F16A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8975-4ABB-8918-B86D011F16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Hárok1!$G$2:$G$5</c:f>
                <c:numCache>
                  <c:formatCode>General</c:formatCode>
                  <c:ptCount val="4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</c:numCache>
              </c:numRef>
            </c:plus>
            <c:minus>
              <c:numRef>
                <c:f>Hárok1!$H$2:$H$5</c:f>
                <c:numCache>
                  <c:formatCode>General</c:formatCode>
                  <c:ptCount val="4"/>
                  <c:pt idx="0">
                    <c:v>-0.47300000000000075</c:v>
                  </c:pt>
                  <c:pt idx="1">
                    <c:v>-1.5640000000000001</c:v>
                  </c:pt>
                  <c:pt idx="2">
                    <c:v>-2.0670000000000002</c:v>
                  </c:pt>
                  <c:pt idx="3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Hárok1!$C$2:$C$5</c:f>
              <c:strCache>
                <c:ptCount val="4"/>
                <c:pt idx="0">
                  <c:v>EÚ 27 aktualizácia                         </c:v>
                </c:pt>
                <c:pt idx="1">
                  <c:v>EÚ 27 + Balkán                         </c:v>
                </c:pt>
                <c:pt idx="2">
                  <c:v>EÚ 27 + Ukrajina                         </c:v>
                </c:pt>
                <c:pt idx="3">
                  <c:v>EÚ 27 + Balkán a Ukrajina                         </c:v>
                </c:pt>
              </c:strCache>
            </c:strRef>
          </c:cat>
          <c:val>
            <c:numRef>
              <c:f>Hárok1!$E$2:$E$5</c:f>
              <c:numCache>
                <c:formatCode>_(* #\ ##0.000_);_(* \(#\ ##0.000\);_(* "-"??_);_(@_)</c:formatCode>
                <c:ptCount val="4"/>
                <c:pt idx="0">
                  <c:v>14.164999999999999</c:v>
                </c:pt>
                <c:pt idx="1">
                  <c:v>13.074</c:v>
                </c:pt>
                <c:pt idx="2">
                  <c:v>12.571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Hárok1!$I$2:$I$5</c15:f>
                <c15:dlblRangeCache>
                  <c:ptCount val="4"/>
                  <c:pt idx="0">
                    <c:v>-3,23%</c:v>
                  </c:pt>
                  <c:pt idx="1">
                    <c:v>-10,68%</c:v>
                  </c:pt>
                  <c:pt idx="2">
                    <c:v>-14,12%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5-8975-4ABB-8918-B86D011F16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288664159"/>
        <c:axId val="1288670815"/>
      </c:barChart>
      <c:catAx>
        <c:axId val="12886641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288670815"/>
        <c:crosses val="autoZero"/>
        <c:auto val="1"/>
        <c:lblAlgn val="ctr"/>
        <c:lblOffset val="100"/>
        <c:noMultiLvlLbl val="0"/>
      </c:catAx>
      <c:valAx>
        <c:axId val="1288670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v</a:t>
                </a:r>
                <a:r>
                  <a:rPr lang="sk-SK" baseline="0"/>
                  <a:t> mld. €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288664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% HND SR na obyvateľa v porovnaní priemerom EÚ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Rad 1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DE8E-4F17-B1DB-F3A5C3A1B6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4"/>
                <c:pt idx="0">
                  <c:v>EU27</c:v>
                </c:pt>
                <c:pt idx="1">
                  <c:v>EU27+Západný balkán</c:v>
                </c:pt>
                <c:pt idx="2">
                  <c:v>EU27+Ukrajina</c:v>
                </c:pt>
                <c:pt idx="3">
                  <c:v>Eu27+Ukrajina a Západný balkán</c:v>
                </c:pt>
              </c:strCache>
            </c:strRef>
          </c:cat>
          <c:val>
            <c:numRef>
              <c:f>Hárok1!$B$2:$B$5</c:f>
              <c:numCache>
                <c:formatCode>0.00%</c:formatCode>
                <c:ptCount val="4"/>
                <c:pt idx="0">
                  <c:v>0.71360000000000001</c:v>
                </c:pt>
                <c:pt idx="1">
                  <c:v>0.72829999999999995</c:v>
                </c:pt>
                <c:pt idx="2">
                  <c:v>0.75649999999999995</c:v>
                </c:pt>
                <c:pt idx="3">
                  <c:v>0.77080000000000004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8E-4F17-B1DB-F3A5C3A1B6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659881311"/>
        <c:axId val="659874655"/>
      </c:barChart>
      <c:catAx>
        <c:axId val="6598813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659874655"/>
        <c:crosses val="autoZero"/>
        <c:auto val="1"/>
        <c:lblAlgn val="ctr"/>
        <c:lblOffset val="100"/>
        <c:noMultiLvlLbl val="0"/>
      </c:catAx>
      <c:valAx>
        <c:axId val="659874655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6598813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%</a:t>
            </a:r>
            <a:r>
              <a:rPr lang="sk-SK" baseline="0"/>
              <a:t> HDP (PKŠ) SR na obyvateľa v porovnaní priemerom EÚ</a:t>
            </a:r>
            <a:endParaRPr lang="sk-S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Bratislavský kraj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innerShdw blurRad="114300">
                <a:schemeClr val="accent5">
                  <a:shade val="58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4"/>
                <c:pt idx="0">
                  <c:v>Eu27</c:v>
                </c:pt>
                <c:pt idx="1">
                  <c:v>Eu27+Západný Balkán</c:v>
                </c:pt>
                <c:pt idx="2">
                  <c:v>EU27+Ukrajina</c:v>
                </c:pt>
                <c:pt idx="3">
                  <c:v>EU27+Ukrajina+Západný balkán</c:v>
                </c:pt>
              </c:strCache>
            </c:strRef>
          </c:cat>
          <c:val>
            <c:numRef>
              <c:f>Hárok1!$B$2:$B$5</c:f>
              <c:numCache>
                <c:formatCode>0.00%</c:formatCode>
                <c:ptCount val="4"/>
                <c:pt idx="0">
                  <c:v>1.6649</c:v>
                </c:pt>
                <c:pt idx="1">
                  <c:v>1.6479999999999999</c:v>
                </c:pt>
                <c:pt idx="2">
                  <c:v>1.7158</c:v>
                </c:pt>
                <c:pt idx="3">
                  <c:v>1.7478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1-4B4D-83C2-327D1B3F896D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Západné SK</c:v>
                </c:pt>
              </c:strCache>
            </c:strRef>
          </c:tx>
          <c:spPr>
            <a:pattFill prst="narVert">
              <a:fgClr>
                <a:schemeClr val="accent5">
                  <a:shade val="86000"/>
                </a:schemeClr>
              </a:fgClr>
              <a:bgClr>
                <a:schemeClr val="accent5">
                  <a:shade val="86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>
                  <a:shade val="86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4"/>
                <c:pt idx="0">
                  <c:v>Eu27</c:v>
                </c:pt>
                <c:pt idx="1">
                  <c:v>Eu27+Západný Balkán</c:v>
                </c:pt>
                <c:pt idx="2">
                  <c:v>EU27+Ukrajina</c:v>
                </c:pt>
                <c:pt idx="3">
                  <c:v>EU27+Ukrajina+Západný balkán</c:v>
                </c:pt>
              </c:strCache>
            </c:strRef>
          </c:cat>
          <c:val>
            <c:numRef>
              <c:f>Hárok1!$C$2:$C$5</c:f>
              <c:numCache>
                <c:formatCode>0.00%</c:formatCode>
                <c:ptCount val="4"/>
                <c:pt idx="0">
                  <c:v>0.66690000000000005</c:v>
                </c:pt>
                <c:pt idx="1">
                  <c:v>0.68059999999999998</c:v>
                </c:pt>
                <c:pt idx="2">
                  <c:v>0.70860000000000001</c:v>
                </c:pt>
                <c:pt idx="3">
                  <c:v>0.7218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E1-4B4D-83C2-327D1B3F896D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Stredné SK</c:v>
                </c:pt>
              </c:strCache>
            </c:strRef>
          </c:tx>
          <c:spPr>
            <a:pattFill prst="narVert">
              <a:fgClr>
                <a:schemeClr val="accent5">
                  <a:tint val="86000"/>
                </a:schemeClr>
              </a:fgClr>
              <a:bgClr>
                <a:schemeClr val="accent5">
                  <a:tint val="86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>
                  <a:tint val="86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4"/>
                <c:pt idx="0">
                  <c:v>Eu27</c:v>
                </c:pt>
                <c:pt idx="1">
                  <c:v>Eu27+Západný Balkán</c:v>
                </c:pt>
                <c:pt idx="2">
                  <c:v>EU27+Ukrajina</c:v>
                </c:pt>
                <c:pt idx="3">
                  <c:v>EU27+Ukrajina+Západný balkán</c:v>
                </c:pt>
              </c:strCache>
            </c:strRef>
          </c:cat>
          <c:val>
            <c:numRef>
              <c:f>Hárok1!$D$2:$D$5</c:f>
              <c:numCache>
                <c:formatCode>0.00%</c:formatCode>
                <c:ptCount val="4"/>
                <c:pt idx="0">
                  <c:v>0.59560000000000002</c:v>
                </c:pt>
                <c:pt idx="1">
                  <c:v>0.60780000000000001</c:v>
                </c:pt>
                <c:pt idx="2">
                  <c:v>0.63280000000000003</c:v>
                </c:pt>
                <c:pt idx="3">
                  <c:v>0.64459999999999995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E1-4B4D-83C2-327D1B3F896D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Východné SK</c:v>
                </c:pt>
              </c:strCache>
            </c:strRef>
          </c:tx>
          <c:spPr>
            <a:pattFill prst="narVert">
              <a:fgClr>
                <a:schemeClr val="accent5">
                  <a:tint val="58000"/>
                </a:schemeClr>
              </a:fgClr>
              <a:bgClr>
                <a:schemeClr val="accent5">
                  <a:tint val="58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>
                  <a:tint val="58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4"/>
                <c:pt idx="0">
                  <c:v>Eu27</c:v>
                </c:pt>
                <c:pt idx="1">
                  <c:v>Eu27+Západný Balkán</c:v>
                </c:pt>
                <c:pt idx="2">
                  <c:v>EU27+Ukrajina</c:v>
                </c:pt>
                <c:pt idx="3">
                  <c:v>EU27+Ukrajina+Západný balkán</c:v>
                </c:pt>
              </c:strCache>
            </c:strRef>
          </c:cat>
          <c:val>
            <c:numRef>
              <c:f>Hárok1!$E$2:$E$5</c:f>
              <c:numCache>
                <c:formatCode>0.00%</c:formatCode>
                <c:ptCount val="4"/>
                <c:pt idx="0">
                  <c:v>0.52270000000000005</c:v>
                </c:pt>
                <c:pt idx="1">
                  <c:v>0.53339999999999999</c:v>
                </c:pt>
                <c:pt idx="2">
                  <c:v>0.55530000000000002</c:v>
                </c:pt>
                <c:pt idx="3">
                  <c:v>0.56569999999999998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E1-4B4D-83C2-327D1B3F89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660715919"/>
        <c:axId val="660708015"/>
      </c:barChart>
      <c:catAx>
        <c:axId val="6607159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660708015"/>
        <c:crosses val="autoZero"/>
        <c:auto val="1"/>
        <c:lblAlgn val="ctr"/>
        <c:lblOffset val="100"/>
        <c:noMultiLvlLbl val="0"/>
      </c:catAx>
      <c:valAx>
        <c:axId val="660708015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660715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4ddc49a-2df6-4234-bb5b-ad51bd00edeb" xsi:nil="true"/>
    <_ip_UnifiedCompliancePolicyProperties xmlns="http://schemas.microsoft.com/sharepoint/v3" xsi:nil="true"/>
    <lcf76f155ced4ddcb4097134ff3c332f xmlns="86f6e348-abe5-4d56-9d23-1f98e7c1633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21DC5CDD18E4D88BAF1A931EB4023" ma:contentTypeVersion="19" ma:contentTypeDescription="Create a new document." ma:contentTypeScope="" ma:versionID="3ab41e2959be71b5d34c9bde94032b6b">
  <xsd:schema xmlns:xsd="http://www.w3.org/2001/XMLSchema" xmlns:xs="http://www.w3.org/2001/XMLSchema" xmlns:p="http://schemas.microsoft.com/office/2006/metadata/properties" xmlns:ns1="http://schemas.microsoft.com/sharepoint/v3" xmlns:ns2="86f6e348-abe5-4d56-9d23-1f98e7c16330" xmlns:ns3="a4ddc49a-2df6-4234-bb5b-ad51bd00edeb" targetNamespace="http://schemas.microsoft.com/office/2006/metadata/properties" ma:root="true" ma:fieldsID="6e643045f69c131423c38a0adcbecc24" ns1:_="" ns2:_="" ns3:_="">
    <xsd:import namespace="http://schemas.microsoft.com/sharepoint/v3"/>
    <xsd:import namespace="86f6e348-abe5-4d56-9d23-1f98e7c16330"/>
    <xsd:import namespace="a4ddc49a-2df6-4234-bb5b-ad51bd00ed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6e348-abe5-4d56-9d23-1f98e7c163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23deb3c-b9f3-4fad-b534-fe0741e71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dc49a-2df6-4234-bb5b-ad51bd00ed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97b84d-2dd6-486a-9e28-313ba63a00dd}" ma:internalName="TaxCatchAll" ma:showField="CatchAllData" ma:web="a4ddc49a-2df6-4234-bb5b-ad51bd00ed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494297-82CD-4990-B29F-697F4F7DF7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E920BF-1532-4BBB-94FF-50E6D25F44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CBFAEE-959E-488A-B83D-6622F9E7F5C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4ddc49a-2df6-4234-bb5b-ad51bd00edeb"/>
    <ds:schemaRef ds:uri="86f6e348-abe5-4d56-9d23-1f98e7c16330"/>
  </ds:schemaRefs>
</ds:datastoreItem>
</file>

<file path=customXml/itemProps4.xml><?xml version="1.0" encoding="utf-8"?>
<ds:datastoreItem xmlns:ds="http://schemas.openxmlformats.org/officeDocument/2006/customXml" ds:itemID="{8D6C2B65-41CD-4A33-B800-CD59A4648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6f6e348-abe5-4d56-9d23-1f98e7c16330"/>
    <ds:schemaRef ds:uri="a4ddc49a-2df6-4234-bb5b-ad51bd00ed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1840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Vilim, Peter</cp:lastModifiedBy>
  <cp:revision>3</cp:revision>
  <dcterms:created xsi:type="dcterms:W3CDTF">2025-01-27T08:40:00Z</dcterms:created>
  <dcterms:modified xsi:type="dcterms:W3CDTF">2025-03-03T08:58:00Z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0x010100B5E21DC5CDD18E4D88BAF1A931EB4023</vt:lpwstr>
  </property>
</Properties>
</file>