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DBC1D" w14:textId="77777777" w:rsidR="00C2110F" w:rsidRPr="00C2110F" w:rsidRDefault="00C2110F" w:rsidP="00C2110F">
      <w:pPr>
        <w:spacing w:after="0" w:line="240" w:lineRule="auto"/>
        <w:rPr>
          <w:rFonts w:ascii="Arial Narrow" w:eastAsia="Times New Roman" w:hAnsi="Arial Narrow" w:cs="Times New Roman"/>
          <w:b/>
          <w:bCs/>
          <w:color w:val="000000"/>
          <w:kern w:val="0"/>
          <w:lang w:eastAsia="sk-SK"/>
          <w14:ligatures w14:val="none"/>
        </w:rPr>
      </w:pPr>
      <w:r w:rsidRPr="00C2110F">
        <w:rPr>
          <w:rFonts w:ascii="Arial Narrow" w:eastAsia="Times New Roman" w:hAnsi="Arial Narrow" w:cs="Times New Roman"/>
          <w:b/>
          <w:bCs/>
          <w:color w:val="000000"/>
          <w:kern w:val="0"/>
          <w:lang w:eastAsia="sk-SK"/>
          <w14:ligatures w14:val="none"/>
        </w:rPr>
        <w:t>Vymedzenie pojmov a oprávnenosť</w:t>
      </w:r>
    </w:p>
    <w:p w14:paraId="70F2D711" w14:textId="77777777" w:rsidR="00C2110F" w:rsidRPr="00C2110F" w:rsidRDefault="00C2110F" w:rsidP="00C2110F">
      <w:pPr>
        <w:spacing w:after="0" w:line="240" w:lineRule="auto"/>
        <w:rPr>
          <w:rFonts w:ascii="Arial Narrow" w:eastAsia="Times New Roman" w:hAnsi="Arial Narrow" w:cs="Times New Roman"/>
          <w:color w:val="000000"/>
          <w:kern w:val="0"/>
          <w:lang w:eastAsia="sk-SK"/>
          <w14:ligatures w14:val="none"/>
        </w:rPr>
      </w:pPr>
    </w:p>
    <w:p w14:paraId="30267BE7" w14:textId="75A5B3E2" w:rsidR="00C2110F" w:rsidRPr="00C2110F" w:rsidRDefault="00C2110F" w:rsidP="00C2110F">
      <w:pPr>
        <w:spacing w:after="0" w:line="276" w:lineRule="auto"/>
        <w:rPr>
          <w:rFonts w:ascii="Arial Narrow" w:eastAsia="Times New Roman" w:hAnsi="Arial Narrow" w:cs="Times New Roman"/>
          <w:color w:val="000000"/>
          <w:kern w:val="0"/>
          <w:lang w:eastAsia="sk-SK"/>
          <w14:ligatures w14:val="none"/>
        </w:rPr>
      </w:pPr>
      <w:r w:rsidRPr="00C2110F">
        <w:rPr>
          <w:rFonts w:ascii="Arial Narrow" w:eastAsia="Times New Roman" w:hAnsi="Arial Narrow" w:cs="Times New Roman"/>
          <w:color w:val="000000"/>
          <w:kern w:val="0"/>
          <w:lang w:eastAsia="sk-SK"/>
          <w14:ligatures w14:val="none"/>
        </w:rPr>
        <w:t xml:space="preserve">44. Prostriedky z </w:t>
      </w:r>
      <w:proofErr w:type="spellStart"/>
      <w:r w:rsidRPr="00C2110F">
        <w:rPr>
          <w:rFonts w:ascii="Arial Narrow" w:eastAsia="Times New Roman" w:hAnsi="Arial Narrow" w:cs="Times New Roman"/>
          <w:color w:val="000000"/>
          <w:kern w:val="0"/>
          <w:lang w:eastAsia="sk-SK"/>
          <w14:ligatures w14:val="none"/>
        </w:rPr>
        <w:t>EFRR</w:t>
      </w:r>
      <w:proofErr w:type="spellEnd"/>
      <w:r w:rsidRPr="00C2110F">
        <w:rPr>
          <w:rFonts w:ascii="Arial Narrow" w:eastAsia="Times New Roman" w:hAnsi="Arial Narrow" w:cs="Times New Roman"/>
          <w:color w:val="000000"/>
          <w:kern w:val="0"/>
          <w:lang w:eastAsia="sk-SK"/>
          <w14:ligatures w14:val="none"/>
        </w:rPr>
        <w:t xml:space="preserve"> a </w:t>
      </w:r>
      <w:proofErr w:type="spellStart"/>
      <w:r w:rsidRPr="00C2110F">
        <w:rPr>
          <w:rFonts w:ascii="Arial Narrow" w:eastAsia="Times New Roman" w:hAnsi="Arial Narrow" w:cs="Times New Roman"/>
          <w:color w:val="000000"/>
          <w:kern w:val="0"/>
          <w:lang w:eastAsia="sk-SK"/>
          <w14:ligatures w14:val="none"/>
        </w:rPr>
        <w:t>ESF</w:t>
      </w:r>
      <w:proofErr w:type="spellEnd"/>
      <w:r w:rsidRPr="00C2110F">
        <w:rPr>
          <w:rFonts w:ascii="Arial Narrow" w:eastAsia="Times New Roman" w:hAnsi="Arial Narrow" w:cs="Times New Roman"/>
          <w:color w:val="000000"/>
          <w:kern w:val="0"/>
          <w:lang w:eastAsia="sk-SK"/>
          <w14:ligatures w14:val="none"/>
        </w:rPr>
        <w:t xml:space="preserve">+ na cieľ Investovanie do zamestnanosti a rastu budú pridelené trom typom regiónov úrovne </w:t>
      </w:r>
      <w:proofErr w:type="spellStart"/>
      <w:r w:rsidRPr="00C2110F">
        <w:rPr>
          <w:rFonts w:ascii="Arial Narrow" w:eastAsia="Times New Roman" w:hAnsi="Arial Narrow" w:cs="Times New Roman"/>
          <w:color w:val="000000"/>
          <w:kern w:val="0"/>
          <w:lang w:eastAsia="sk-SK"/>
          <w14:ligatures w14:val="none"/>
        </w:rPr>
        <w:t>NUTS</w:t>
      </w:r>
      <w:proofErr w:type="spellEnd"/>
      <w:r w:rsidRPr="00C2110F">
        <w:rPr>
          <w:rFonts w:ascii="Arial Narrow" w:eastAsia="Times New Roman" w:hAnsi="Arial Narrow" w:cs="Times New Roman"/>
          <w:color w:val="000000"/>
          <w:kern w:val="0"/>
          <w:lang w:eastAsia="sk-SK"/>
          <w14:ligatures w14:val="none"/>
        </w:rPr>
        <w:t xml:space="preserve"> 2 zohľadňujúc klasifikáciu </w:t>
      </w:r>
      <w:proofErr w:type="spellStart"/>
      <w:r w:rsidRPr="00C2110F">
        <w:rPr>
          <w:rFonts w:ascii="Arial Narrow" w:eastAsia="Times New Roman" w:hAnsi="Arial Narrow" w:cs="Times New Roman"/>
          <w:color w:val="000000"/>
          <w:kern w:val="0"/>
          <w:lang w:eastAsia="sk-SK"/>
          <w14:ligatures w14:val="none"/>
        </w:rPr>
        <w:t>NUTS</w:t>
      </w:r>
      <w:proofErr w:type="spellEnd"/>
      <w:r w:rsidRPr="00C2110F">
        <w:rPr>
          <w:rFonts w:ascii="Arial Narrow" w:eastAsia="Times New Roman" w:hAnsi="Arial Narrow" w:cs="Times New Roman"/>
          <w:color w:val="000000"/>
          <w:kern w:val="0"/>
          <w:lang w:eastAsia="sk-SK"/>
          <w14:ligatures w14:val="none"/>
        </w:rPr>
        <w:t xml:space="preserve"> z roku 2016, ktoré sa vymedzujú na základe pomeru ich HDP na obyvateľa, meraného v parite kúpnej sily (</w:t>
      </w:r>
      <w:proofErr w:type="spellStart"/>
      <w:r w:rsidRPr="00C2110F">
        <w:rPr>
          <w:rFonts w:ascii="Arial Narrow" w:eastAsia="Times New Roman" w:hAnsi="Arial Narrow" w:cs="Times New Roman"/>
          <w:color w:val="000000"/>
          <w:kern w:val="0"/>
          <w:lang w:eastAsia="sk-SK"/>
          <w14:ligatures w14:val="none"/>
        </w:rPr>
        <w:t>PKS</w:t>
      </w:r>
      <w:proofErr w:type="spellEnd"/>
      <w:r w:rsidRPr="00C2110F">
        <w:rPr>
          <w:rFonts w:ascii="Arial Narrow" w:eastAsia="Times New Roman" w:hAnsi="Arial Narrow" w:cs="Times New Roman"/>
          <w:color w:val="000000"/>
          <w:kern w:val="0"/>
          <w:lang w:eastAsia="sk-SK"/>
          <w14:ligatures w14:val="none"/>
        </w:rPr>
        <w:t xml:space="preserve">) a vypočítaného na základe údajov Únie za obdobie 2015 – 2017, k priemernému HDP </w:t>
      </w:r>
      <w:proofErr w:type="spellStart"/>
      <w:r w:rsidRPr="00C2110F">
        <w:rPr>
          <w:rFonts w:ascii="Arial Narrow" w:eastAsia="Times New Roman" w:hAnsi="Arial Narrow" w:cs="Times New Roman"/>
          <w:color w:val="000000"/>
          <w:kern w:val="0"/>
          <w:lang w:eastAsia="sk-SK"/>
          <w14:ligatures w14:val="none"/>
        </w:rPr>
        <w:t>EÚ27</w:t>
      </w:r>
      <w:proofErr w:type="spellEnd"/>
      <w:r w:rsidRPr="00C2110F">
        <w:rPr>
          <w:rFonts w:ascii="Arial Narrow" w:eastAsia="Times New Roman" w:hAnsi="Arial Narrow" w:cs="Times New Roman"/>
          <w:color w:val="000000"/>
          <w:kern w:val="0"/>
          <w:lang w:eastAsia="sk-SK"/>
          <w14:ligatures w14:val="none"/>
        </w:rPr>
        <w:t xml:space="preserve"> za rovnaké referenčné obdobie, takto:</w:t>
      </w:r>
    </w:p>
    <w:p w14:paraId="1AC775D7" w14:textId="77777777" w:rsidR="00C2110F" w:rsidRPr="00C2110F" w:rsidRDefault="00C2110F" w:rsidP="00C2110F">
      <w:pPr>
        <w:spacing w:after="0" w:line="276" w:lineRule="auto"/>
        <w:rPr>
          <w:rFonts w:ascii="Arial Narrow" w:eastAsia="Times New Roman" w:hAnsi="Arial Narrow" w:cs="Times New Roman"/>
          <w:color w:val="000000"/>
          <w:kern w:val="0"/>
          <w:lang w:eastAsia="sk-SK"/>
          <w14:ligatures w14:val="none"/>
        </w:rPr>
      </w:pPr>
    </w:p>
    <w:p w14:paraId="4F6C1ED0" w14:textId="2F318BA8" w:rsidR="00C2110F" w:rsidRPr="00C2110F" w:rsidRDefault="00C2110F" w:rsidP="00CE429F">
      <w:pPr>
        <w:spacing w:after="0" w:line="276" w:lineRule="auto"/>
        <w:ind w:left="567"/>
        <w:rPr>
          <w:rFonts w:ascii="Arial Narrow" w:eastAsia="Times New Roman" w:hAnsi="Arial Narrow" w:cs="Times New Roman"/>
          <w:color w:val="000000"/>
          <w:kern w:val="0"/>
          <w:lang w:eastAsia="sk-SK"/>
          <w14:ligatures w14:val="none"/>
        </w:rPr>
      </w:pPr>
      <w:r w:rsidRPr="00C2110F">
        <w:rPr>
          <w:rFonts w:ascii="Arial Narrow" w:eastAsia="Times New Roman" w:hAnsi="Arial Narrow" w:cs="Times New Roman"/>
          <w:color w:val="000000"/>
          <w:kern w:val="0"/>
          <w:lang w:eastAsia="sk-SK"/>
          <w14:ligatures w14:val="none"/>
        </w:rPr>
        <w:t xml:space="preserve">a) menej rozvinuté regióny, ktorých HDP na obyvateľa je nižší ako 75 % priemerného HDP v </w:t>
      </w:r>
      <w:proofErr w:type="spellStart"/>
      <w:r w:rsidRPr="00C2110F">
        <w:rPr>
          <w:rFonts w:ascii="Arial Narrow" w:eastAsia="Times New Roman" w:hAnsi="Arial Narrow" w:cs="Times New Roman"/>
          <w:color w:val="000000"/>
          <w:kern w:val="0"/>
          <w:lang w:eastAsia="sk-SK"/>
          <w14:ligatures w14:val="none"/>
        </w:rPr>
        <w:t>EÚ27</w:t>
      </w:r>
      <w:proofErr w:type="spellEnd"/>
      <w:r w:rsidRPr="00C2110F">
        <w:rPr>
          <w:rFonts w:ascii="Arial Narrow" w:eastAsia="Times New Roman" w:hAnsi="Arial Narrow" w:cs="Times New Roman"/>
          <w:color w:val="000000"/>
          <w:kern w:val="0"/>
          <w:lang w:eastAsia="sk-SK"/>
          <w14:ligatures w14:val="none"/>
        </w:rPr>
        <w:t>;</w:t>
      </w:r>
    </w:p>
    <w:p w14:paraId="37D6C75D" w14:textId="77777777" w:rsidR="00C2110F" w:rsidRPr="00C2110F" w:rsidRDefault="00C2110F" w:rsidP="00CE429F">
      <w:pPr>
        <w:spacing w:after="0" w:line="276" w:lineRule="auto"/>
        <w:ind w:left="567"/>
        <w:rPr>
          <w:rFonts w:ascii="Arial Narrow" w:eastAsia="Times New Roman" w:hAnsi="Arial Narrow" w:cs="Times New Roman"/>
          <w:color w:val="000000"/>
          <w:kern w:val="0"/>
          <w:lang w:eastAsia="sk-SK"/>
          <w14:ligatures w14:val="none"/>
        </w:rPr>
      </w:pPr>
    </w:p>
    <w:p w14:paraId="01E6FFDC" w14:textId="7100695B" w:rsidR="00C2110F" w:rsidRPr="00C2110F" w:rsidRDefault="00C2110F" w:rsidP="00CE429F">
      <w:pPr>
        <w:spacing w:after="0" w:line="276" w:lineRule="auto"/>
        <w:ind w:left="567"/>
        <w:rPr>
          <w:rFonts w:ascii="Arial Narrow" w:eastAsia="Times New Roman" w:hAnsi="Arial Narrow" w:cs="Times New Roman"/>
          <w:color w:val="000000"/>
          <w:kern w:val="0"/>
          <w:lang w:eastAsia="sk-SK"/>
          <w14:ligatures w14:val="none"/>
        </w:rPr>
      </w:pPr>
      <w:r w:rsidRPr="00C2110F">
        <w:rPr>
          <w:rFonts w:ascii="Arial Narrow" w:eastAsia="Times New Roman" w:hAnsi="Arial Narrow" w:cs="Times New Roman"/>
          <w:color w:val="000000"/>
          <w:kern w:val="0"/>
          <w:lang w:eastAsia="sk-SK"/>
          <w14:ligatures w14:val="none"/>
        </w:rPr>
        <w:t xml:space="preserve">b) prechodné regióny, ktorých HDP na obyvateľa je medzi 75 % a 100 % priemerného HDP v </w:t>
      </w:r>
      <w:proofErr w:type="spellStart"/>
      <w:r w:rsidRPr="00C2110F">
        <w:rPr>
          <w:rFonts w:ascii="Arial Narrow" w:eastAsia="Times New Roman" w:hAnsi="Arial Narrow" w:cs="Times New Roman"/>
          <w:color w:val="000000"/>
          <w:kern w:val="0"/>
          <w:lang w:eastAsia="sk-SK"/>
          <w14:ligatures w14:val="none"/>
        </w:rPr>
        <w:t>EÚ27</w:t>
      </w:r>
      <w:proofErr w:type="spellEnd"/>
      <w:r w:rsidRPr="00C2110F">
        <w:rPr>
          <w:rFonts w:ascii="Arial Narrow" w:eastAsia="Times New Roman" w:hAnsi="Arial Narrow" w:cs="Times New Roman"/>
          <w:color w:val="000000"/>
          <w:kern w:val="0"/>
          <w:lang w:eastAsia="sk-SK"/>
          <w14:ligatures w14:val="none"/>
        </w:rPr>
        <w:t>;</w:t>
      </w:r>
    </w:p>
    <w:p w14:paraId="4D0429A9" w14:textId="77777777" w:rsidR="00C2110F" w:rsidRPr="00C2110F" w:rsidRDefault="00C2110F" w:rsidP="00CE429F">
      <w:pPr>
        <w:spacing w:after="0" w:line="276" w:lineRule="auto"/>
        <w:ind w:left="567"/>
        <w:rPr>
          <w:rFonts w:ascii="Arial Narrow" w:eastAsia="Times New Roman" w:hAnsi="Arial Narrow" w:cs="Times New Roman"/>
          <w:color w:val="000000"/>
          <w:kern w:val="0"/>
          <w:lang w:eastAsia="sk-SK"/>
          <w14:ligatures w14:val="none"/>
        </w:rPr>
      </w:pPr>
    </w:p>
    <w:p w14:paraId="15F25CC9" w14:textId="45AB05A3" w:rsidR="00C2110F" w:rsidRPr="00C2110F" w:rsidRDefault="00C2110F" w:rsidP="00CE429F">
      <w:pPr>
        <w:spacing w:after="0" w:line="276" w:lineRule="auto"/>
        <w:ind w:left="567"/>
        <w:rPr>
          <w:rFonts w:ascii="Arial Narrow" w:eastAsia="Times New Roman" w:hAnsi="Arial Narrow" w:cs="Times New Roman"/>
          <w:color w:val="000000"/>
          <w:kern w:val="0"/>
          <w:lang w:eastAsia="sk-SK"/>
          <w14:ligatures w14:val="none"/>
        </w:rPr>
      </w:pPr>
      <w:r w:rsidRPr="00C2110F">
        <w:rPr>
          <w:rFonts w:ascii="Arial Narrow" w:eastAsia="Times New Roman" w:hAnsi="Arial Narrow" w:cs="Times New Roman"/>
          <w:color w:val="000000"/>
          <w:kern w:val="0"/>
          <w:lang w:eastAsia="sk-SK"/>
          <w14:ligatures w14:val="none"/>
        </w:rPr>
        <w:t xml:space="preserve">c) rozvinutejšie regióny, ktorých HDP na obyvateľa je viac ako 100 % priemerného HDP v </w:t>
      </w:r>
      <w:proofErr w:type="spellStart"/>
      <w:r w:rsidRPr="00C2110F">
        <w:rPr>
          <w:rFonts w:ascii="Arial Narrow" w:eastAsia="Times New Roman" w:hAnsi="Arial Narrow" w:cs="Times New Roman"/>
          <w:color w:val="000000"/>
          <w:kern w:val="0"/>
          <w:lang w:eastAsia="sk-SK"/>
          <w14:ligatures w14:val="none"/>
        </w:rPr>
        <w:t>EÚ27</w:t>
      </w:r>
      <w:proofErr w:type="spellEnd"/>
      <w:r w:rsidRPr="00C2110F">
        <w:rPr>
          <w:rFonts w:ascii="Arial Narrow" w:eastAsia="Times New Roman" w:hAnsi="Arial Narrow" w:cs="Times New Roman"/>
          <w:color w:val="000000"/>
          <w:kern w:val="0"/>
          <w:lang w:eastAsia="sk-SK"/>
          <w14:ligatures w14:val="none"/>
        </w:rPr>
        <w:t>.</w:t>
      </w:r>
    </w:p>
    <w:p w14:paraId="10CBCDE0" w14:textId="77777777" w:rsidR="00C2110F" w:rsidRPr="00C2110F" w:rsidRDefault="00C2110F" w:rsidP="00C2110F">
      <w:pPr>
        <w:spacing w:line="276" w:lineRule="auto"/>
        <w:rPr>
          <w:rFonts w:ascii="Arial Narrow" w:eastAsia="Times New Roman" w:hAnsi="Arial Narrow" w:cs="Times New Roman"/>
          <w:color w:val="000000"/>
          <w:kern w:val="0"/>
          <w:lang w:eastAsia="sk-SK"/>
          <w14:ligatures w14:val="none"/>
        </w:rPr>
      </w:pPr>
    </w:p>
    <w:p w14:paraId="63A2AA02" w14:textId="4F83DD40" w:rsidR="004E0829" w:rsidRPr="00C2110F" w:rsidRDefault="00C2110F" w:rsidP="00C2110F">
      <w:pPr>
        <w:spacing w:line="276" w:lineRule="auto"/>
        <w:rPr>
          <w:rFonts w:ascii="Arial Narrow" w:eastAsia="Times New Roman" w:hAnsi="Arial Narrow" w:cs="Times New Roman"/>
          <w:color w:val="000000"/>
          <w:kern w:val="0"/>
          <w:lang w:eastAsia="sk-SK"/>
          <w14:ligatures w14:val="none"/>
        </w:rPr>
      </w:pPr>
      <w:r w:rsidRPr="00C2110F">
        <w:rPr>
          <w:rFonts w:ascii="Arial Narrow" w:eastAsia="Times New Roman" w:hAnsi="Arial Narrow" w:cs="Times New Roman"/>
          <w:color w:val="000000"/>
          <w:kern w:val="0"/>
          <w:lang w:eastAsia="sk-SK"/>
          <w14:ligatures w14:val="none"/>
        </w:rPr>
        <w:t>45. Z Kohézneho fondu sa podporujú tie členské štáty, ktorých hrubý národný dôchodok (</w:t>
      </w:r>
      <w:proofErr w:type="spellStart"/>
      <w:r w:rsidRPr="00C2110F">
        <w:rPr>
          <w:rFonts w:ascii="Arial Narrow" w:eastAsia="Times New Roman" w:hAnsi="Arial Narrow" w:cs="Times New Roman"/>
          <w:color w:val="000000"/>
          <w:kern w:val="0"/>
          <w:lang w:eastAsia="sk-SK"/>
          <w14:ligatures w14:val="none"/>
        </w:rPr>
        <w:t>HND</w:t>
      </w:r>
      <w:proofErr w:type="spellEnd"/>
      <w:r w:rsidRPr="00C2110F">
        <w:rPr>
          <w:rFonts w:ascii="Arial Narrow" w:eastAsia="Times New Roman" w:hAnsi="Arial Narrow" w:cs="Times New Roman"/>
          <w:color w:val="000000"/>
          <w:kern w:val="0"/>
          <w:lang w:eastAsia="sk-SK"/>
          <w14:ligatures w14:val="none"/>
        </w:rPr>
        <w:t xml:space="preserve">) na obyvateľa, meraný paritou kúpnej sily a vypočítaný na základe údajov Únie za obdobie 2015 – 2017, je nižší ako 90 % priemerného </w:t>
      </w:r>
      <w:proofErr w:type="spellStart"/>
      <w:r w:rsidRPr="00C2110F">
        <w:rPr>
          <w:rFonts w:ascii="Arial Narrow" w:eastAsia="Times New Roman" w:hAnsi="Arial Narrow" w:cs="Times New Roman"/>
          <w:color w:val="000000"/>
          <w:kern w:val="0"/>
          <w:lang w:eastAsia="sk-SK"/>
          <w14:ligatures w14:val="none"/>
        </w:rPr>
        <w:t>HND</w:t>
      </w:r>
      <w:proofErr w:type="spellEnd"/>
      <w:r w:rsidRPr="00C2110F">
        <w:rPr>
          <w:rFonts w:ascii="Arial Narrow" w:eastAsia="Times New Roman" w:hAnsi="Arial Narrow" w:cs="Times New Roman"/>
          <w:color w:val="000000"/>
          <w:kern w:val="0"/>
          <w:lang w:eastAsia="sk-SK"/>
          <w14:ligatures w14:val="none"/>
        </w:rPr>
        <w:t xml:space="preserve"> na obyvateľa v </w:t>
      </w:r>
      <w:proofErr w:type="spellStart"/>
      <w:r w:rsidRPr="00C2110F">
        <w:rPr>
          <w:rFonts w:ascii="Arial Narrow" w:eastAsia="Times New Roman" w:hAnsi="Arial Narrow" w:cs="Times New Roman"/>
          <w:color w:val="000000"/>
          <w:kern w:val="0"/>
          <w:lang w:eastAsia="sk-SK"/>
          <w14:ligatures w14:val="none"/>
        </w:rPr>
        <w:t>EÚ27</w:t>
      </w:r>
      <w:proofErr w:type="spellEnd"/>
      <w:r w:rsidRPr="00C2110F">
        <w:rPr>
          <w:rFonts w:ascii="Arial Narrow" w:eastAsia="Times New Roman" w:hAnsi="Arial Narrow" w:cs="Times New Roman"/>
          <w:color w:val="000000"/>
          <w:kern w:val="0"/>
          <w:lang w:eastAsia="sk-SK"/>
          <w14:ligatures w14:val="none"/>
        </w:rPr>
        <w:t xml:space="preserve"> za rovnaké referenčné obdobie.</w:t>
      </w:r>
    </w:p>
    <w:p w14:paraId="46E2FA2C" w14:textId="77777777" w:rsidR="00C2110F" w:rsidRPr="00C2110F" w:rsidRDefault="00C2110F" w:rsidP="00C2110F">
      <w:pPr>
        <w:spacing w:line="276" w:lineRule="auto"/>
        <w:rPr>
          <w:rFonts w:ascii="Arial Narrow" w:eastAsia="Times New Roman" w:hAnsi="Arial Narrow" w:cs="Times New Roman"/>
          <w:color w:val="000000"/>
          <w:kern w:val="0"/>
          <w:lang w:eastAsia="sk-SK"/>
          <w14:ligatures w14:val="none"/>
        </w:rPr>
      </w:pPr>
    </w:p>
    <w:p w14:paraId="1D0C123A" w14:textId="77777777" w:rsidR="00C2110F" w:rsidRPr="00C2110F" w:rsidRDefault="00C2110F" w:rsidP="00C2110F">
      <w:pPr>
        <w:spacing w:after="0" w:line="276" w:lineRule="auto"/>
        <w:rPr>
          <w:rFonts w:ascii="Arial Narrow" w:eastAsia="Times New Roman" w:hAnsi="Arial Narrow" w:cs="Times New Roman"/>
          <w:b/>
          <w:bCs/>
          <w:color w:val="000000"/>
          <w:kern w:val="0"/>
          <w:lang w:eastAsia="sk-SK"/>
          <w14:ligatures w14:val="none"/>
        </w:rPr>
      </w:pPr>
      <w:r w:rsidRPr="00C2110F">
        <w:rPr>
          <w:rFonts w:ascii="Arial Narrow" w:eastAsia="Times New Roman" w:hAnsi="Arial Narrow" w:cs="Times New Roman"/>
          <w:b/>
          <w:bCs/>
          <w:color w:val="000000"/>
          <w:kern w:val="0"/>
          <w:lang w:eastAsia="sk-SK"/>
          <w14:ligatures w14:val="none"/>
        </w:rPr>
        <w:t>Metodika prideľovania celkových zdrojov pre jednotlivé členské štáty v období 2021 – 27</w:t>
      </w:r>
    </w:p>
    <w:p w14:paraId="68938A6C" w14:textId="77777777" w:rsidR="00C2110F" w:rsidRPr="00C2110F" w:rsidRDefault="00C2110F" w:rsidP="00C2110F">
      <w:pPr>
        <w:spacing w:after="0" w:line="276" w:lineRule="auto"/>
        <w:rPr>
          <w:rFonts w:ascii="Arial Narrow" w:eastAsia="Times New Roman" w:hAnsi="Arial Narrow" w:cs="Times New Roman"/>
          <w:color w:val="000000"/>
          <w:kern w:val="0"/>
          <w:lang w:eastAsia="sk-SK"/>
          <w14:ligatures w14:val="none"/>
        </w:rPr>
      </w:pPr>
    </w:p>
    <w:p w14:paraId="7323EEB1" w14:textId="6E8B1438" w:rsidR="00C2110F" w:rsidRPr="00C2110F" w:rsidRDefault="00C2110F" w:rsidP="00C2110F">
      <w:pPr>
        <w:spacing w:after="0" w:line="276" w:lineRule="auto"/>
        <w:rPr>
          <w:rFonts w:ascii="Arial Narrow" w:eastAsia="Times New Roman" w:hAnsi="Arial Narrow" w:cs="Times New Roman"/>
          <w:color w:val="000000"/>
          <w:kern w:val="0"/>
          <w:lang w:eastAsia="sk-SK"/>
          <w14:ligatures w14:val="none"/>
        </w:rPr>
      </w:pPr>
      <w:r w:rsidRPr="00C2110F">
        <w:rPr>
          <w:rFonts w:ascii="Arial Narrow" w:eastAsia="Times New Roman" w:hAnsi="Arial Narrow" w:cs="Times New Roman"/>
          <w:color w:val="000000"/>
          <w:kern w:val="0"/>
          <w:lang w:eastAsia="sk-SK"/>
          <w14:ligatures w14:val="none"/>
        </w:rPr>
        <w:t>Metóda prideľovania finančných prostriedkov pre menej rozvinuté regióny oprávnené v rámci cieľa Investovanie do zamestnanosti a rastu</w:t>
      </w:r>
    </w:p>
    <w:p w14:paraId="3C4FB611" w14:textId="77777777" w:rsidR="00C2110F" w:rsidRPr="00C2110F" w:rsidRDefault="00C2110F" w:rsidP="00C2110F">
      <w:pPr>
        <w:spacing w:after="0" w:line="276" w:lineRule="auto"/>
        <w:rPr>
          <w:rFonts w:ascii="Arial Narrow" w:eastAsia="Times New Roman" w:hAnsi="Arial Narrow" w:cs="Times New Roman"/>
          <w:color w:val="000000"/>
          <w:kern w:val="0"/>
          <w:lang w:eastAsia="sk-SK"/>
          <w14:ligatures w14:val="none"/>
        </w:rPr>
      </w:pPr>
    </w:p>
    <w:p w14:paraId="44890246" w14:textId="2A9F4CBD" w:rsidR="00C2110F" w:rsidRPr="00C2110F" w:rsidRDefault="00C2110F" w:rsidP="00C2110F">
      <w:pPr>
        <w:spacing w:after="0" w:line="276" w:lineRule="auto"/>
        <w:rPr>
          <w:rFonts w:ascii="Arial Narrow" w:eastAsia="Times New Roman" w:hAnsi="Arial Narrow" w:cs="Times New Roman"/>
          <w:color w:val="000000"/>
          <w:kern w:val="0"/>
          <w:lang w:eastAsia="sk-SK"/>
          <w14:ligatures w14:val="none"/>
        </w:rPr>
      </w:pPr>
      <w:r w:rsidRPr="00C2110F">
        <w:rPr>
          <w:rFonts w:ascii="Arial Narrow" w:eastAsia="Times New Roman" w:hAnsi="Arial Narrow" w:cs="Times New Roman"/>
          <w:color w:val="000000"/>
          <w:kern w:val="0"/>
          <w:lang w:eastAsia="sk-SK"/>
          <w14:ligatures w14:val="none"/>
        </w:rPr>
        <w:t>46. Prostriedky pridelené každému členskému štátu sú súčtom prostriedkov pridelených jeho jednotlivým oprávneným regiónom, vypočítané v týchto krokoch:</w:t>
      </w:r>
    </w:p>
    <w:p w14:paraId="57290893" w14:textId="590887FC" w:rsidR="00C2110F" w:rsidRPr="00C2110F" w:rsidRDefault="00C2110F" w:rsidP="00C2110F">
      <w:pPr>
        <w:spacing w:after="0" w:line="276" w:lineRule="auto"/>
        <w:rPr>
          <w:rFonts w:ascii="Arial Narrow" w:eastAsia="Times New Roman" w:hAnsi="Arial Narrow" w:cs="Times New Roman"/>
          <w:color w:val="000000"/>
          <w:kern w:val="0"/>
          <w:lang w:eastAsia="sk-SK"/>
          <w14:ligatures w14:val="none"/>
        </w:rPr>
      </w:pPr>
      <w:r w:rsidRPr="00C2110F">
        <w:rPr>
          <w:rFonts w:ascii="Arial Narrow" w:eastAsia="Times New Roman" w:hAnsi="Arial Narrow" w:cs="Times New Roman"/>
          <w:color w:val="000000"/>
          <w:kern w:val="0"/>
          <w:lang w:eastAsia="sk-SK"/>
          <w14:ligatures w14:val="none"/>
        </w:rPr>
        <w:t>a) určí sa absolútna suma za rok (v eurách) vynásobením počtu obyvateľov daného</w:t>
      </w:r>
    </w:p>
    <w:p w14:paraId="5C3AE4BD" w14:textId="77777777" w:rsidR="00C2110F" w:rsidRPr="00C2110F" w:rsidRDefault="00C2110F" w:rsidP="00C2110F">
      <w:pPr>
        <w:spacing w:after="0" w:line="276" w:lineRule="auto"/>
        <w:rPr>
          <w:rFonts w:ascii="Arial Narrow" w:eastAsia="Times New Roman" w:hAnsi="Arial Narrow" w:cs="Times New Roman"/>
          <w:color w:val="000000"/>
          <w:kern w:val="0"/>
          <w:lang w:eastAsia="sk-SK"/>
          <w14:ligatures w14:val="none"/>
        </w:rPr>
      </w:pPr>
      <w:r w:rsidRPr="00C2110F">
        <w:rPr>
          <w:rFonts w:ascii="Arial Narrow" w:eastAsia="Times New Roman" w:hAnsi="Arial Narrow" w:cs="Times New Roman"/>
          <w:color w:val="000000"/>
          <w:kern w:val="0"/>
          <w:lang w:eastAsia="sk-SK"/>
          <w14:ligatures w14:val="none"/>
        </w:rPr>
        <w:t xml:space="preserve">regiónu rozdielom medzi HDP na obyvateľa v danom regióne meraným v </w:t>
      </w:r>
      <w:proofErr w:type="spellStart"/>
      <w:r w:rsidRPr="00C2110F">
        <w:rPr>
          <w:rFonts w:ascii="Arial Narrow" w:eastAsia="Times New Roman" w:hAnsi="Arial Narrow" w:cs="Times New Roman"/>
          <w:color w:val="000000"/>
          <w:kern w:val="0"/>
          <w:lang w:eastAsia="sk-SK"/>
          <w14:ligatures w14:val="none"/>
        </w:rPr>
        <w:t>PKS</w:t>
      </w:r>
      <w:proofErr w:type="spellEnd"/>
    </w:p>
    <w:p w14:paraId="14BF47D8" w14:textId="5A6611BB" w:rsidR="00C2110F" w:rsidRPr="00C2110F" w:rsidRDefault="00C2110F" w:rsidP="00C2110F">
      <w:pPr>
        <w:spacing w:line="276" w:lineRule="auto"/>
        <w:rPr>
          <w:rFonts w:ascii="Arial Narrow" w:eastAsia="Times New Roman" w:hAnsi="Arial Narrow" w:cs="Times New Roman"/>
          <w:color w:val="000000"/>
          <w:kern w:val="0"/>
          <w:lang w:eastAsia="sk-SK"/>
          <w14:ligatures w14:val="none"/>
        </w:rPr>
      </w:pPr>
      <w:r w:rsidRPr="00C2110F">
        <w:rPr>
          <w:rFonts w:ascii="Arial Narrow" w:eastAsia="Times New Roman" w:hAnsi="Arial Narrow" w:cs="Times New Roman"/>
          <w:color w:val="000000"/>
          <w:kern w:val="0"/>
          <w:lang w:eastAsia="sk-SK"/>
          <w14:ligatures w14:val="none"/>
        </w:rPr>
        <w:t xml:space="preserve">a priemerným HDP na obyvateľa v </w:t>
      </w:r>
      <w:proofErr w:type="spellStart"/>
      <w:r w:rsidRPr="00C2110F">
        <w:rPr>
          <w:rFonts w:ascii="Arial Narrow" w:eastAsia="Times New Roman" w:hAnsi="Arial Narrow" w:cs="Times New Roman"/>
          <w:color w:val="000000"/>
          <w:kern w:val="0"/>
          <w:lang w:eastAsia="sk-SK"/>
          <w14:ligatures w14:val="none"/>
        </w:rPr>
        <w:t>EÚ27</w:t>
      </w:r>
      <w:proofErr w:type="spellEnd"/>
      <w:r w:rsidRPr="00C2110F">
        <w:rPr>
          <w:rFonts w:ascii="Arial Narrow" w:eastAsia="Times New Roman" w:hAnsi="Arial Narrow" w:cs="Times New Roman"/>
          <w:color w:val="000000"/>
          <w:kern w:val="0"/>
          <w:lang w:eastAsia="sk-SK"/>
          <w14:ligatures w14:val="none"/>
        </w:rPr>
        <w:t xml:space="preserve"> meraným v </w:t>
      </w:r>
      <w:proofErr w:type="spellStart"/>
      <w:r w:rsidRPr="00C2110F">
        <w:rPr>
          <w:rFonts w:ascii="Arial Narrow" w:eastAsia="Times New Roman" w:hAnsi="Arial Narrow" w:cs="Times New Roman"/>
          <w:color w:val="000000"/>
          <w:kern w:val="0"/>
          <w:lang w:eastAsia="sk-SK"/>
          <w14:ligatures w14:val="none"/>
        </w:rPr>
        <w:t>PKS</w:t>
      </w:r>
      <w:proofErr w:type="spellEnd"/>
      <w:r w:rsidRPr="00C2110F">
        <w:rPr>
          <w:rFonts w:ascii="Arial Narrow" w:eastAsia="Times New Roman" w:hAnsi="Arial Narrow" w:cs="Times New Roman"/>
          <w:color w:val="000000"/>
          <w:kern w:val="0"/>
          <w:lang w:eastAsia="sk-SK"/>
          <w14:ligatures w14:val="none"/>
        </w:rPr>
        <w:t>;</w:t>
      </w:r>
    </w:p>
    <w:p w14:paraId="627BED78" w14:textId="77777777" w:rsidR="00C2110F" w:rsidRDefault="00C2110F" w:rsidP="00C2110F">
      <w:pPr>
        <w:spacing w:after="0" w:line="276" w:lineRule="auto"/>
        <w:rPr>
          <w:rFonts w:ascii="Arial Narrow" w:eastAsia="Times New Roman" w:hAnsi="Arial Narrow" w:cs="Times New Roman"/>
          <w:color w:val="000000"/>
          <w:kern w:val="0"/>
          <w:lang w:eastAsia="sk-SK"/>
          <w14:ligatures w14:val="none"/>
        </w:rPr>
      </w:pPr>
      <w:r w:rsidRPr="00C2110F">
        <w:rPr>
          <w:rFonts w:ascii="Arial Narrow" w:eastAsia="Times New Roman" w:hAnsi="Arial Narrow" w:cs="Times New Roman"/>
          <w:color w:val="000000"/>
          <w:kern w:val="0"/>
          <w:lang w:eastAsia="sk-SK"/>
          <w14:ligatures w14:val="none"/>
        </w:rPr>
        <w:t xml:space="preserve">b) na uvedenú absolútnu sumu sa uplatní určitá percentuálna hodnota, aby sa stanovilo finančné krytie pre daný región; táto percentuálna hodnota sa odstupňuje tak, aby odzrkadľovala relatívnu prosperitu, meranú v </w:t>
      </w:r>
      <w:proofErr w:type="spellStart"/>
      <w:r w:rsidRPr="00C2110F">
        <w:rPr>
          <w:rFonts w:ascii="Arial Narrow" w:eastAsia="Times New Roman" w:hAnsi="Arial Narrow" w:cs="Times New Roman"/>
          <w:color w:val="000000"/>
          <w:kern w:val="0"/>
          <w:lang w:eastAsia="sk-SK"/>
          <w14:ligatures w14:val="none"/>
        </w:rPr>
        <w:t>PKS</w:t>
      </w:r>
      <w:proofErr w:type="spellEnd"/>
      <w:r w:rsidRPr="00C2110F">
        <w:rPr>
          <w:rFonts w:ascii="Arial Narrow" w:eastAsia="Times New Roman" w:hAnsi="Arial Narrow" w:cs="Times New Roman"/>
          <w:color w:val="000000"/>
          <w:kern w:val="0"/>
          <w:lang w:eastAsia="sk-SK"/>
          <w14:ligatures w14:val="none"/>
        </w:rPr>
        <w:t xml:space="preserve">, členského štátu, v ktorom sa nachádza oprávnený región, v porovnaní s priemerom </w:t>
      </w:r>
      <w:proofErr w:type="spellStart"/>
      <w:r w:rsidRPr="00C2110F">
        <w:rPr>
          <w:rFonts w:ascii="Arial Narrow" w:eastAsia="Times New Roman" w:hAnsi="Arial Narrow" w:cs="Times New Roman"/>
          <w:color w:val="000000"/>
          <w:kern w:val="0"/>
          <w:lang w:eastAsia="sk-SK"/>
          <w14:ligatures w14:val="none"/>
        </w:rPr>
        <w:t>EÚ27</w:t>
      </w:r>
      <w:proofErr w:type="spellEnd"/>
      <w:r w:rsidRPr="00C2110F">
        <w:rPr>
          <w:rFonts w:ascii="Arial Narrow" w:eastAsia="Times New Roman" w:hAnsi="Arial Narrow" w:cs="Times New Roman"/>
          <w:color w:val="000000"/>
          <w:kern w:val="0"/>
          <w:lang w:eastAsia="sk-SK"/>
          <w14:ligatures w14:val="none"/>
        </w:rPr>
        <w:t>, t. j.:</w:t>
      </w:r>
    </w:p>
    <w:p w14:paraId="2DB3644F" w14:textId="44D08487" w:rsidR="00C2110F" w:rsidRPr="00C2110F" w:rsidRDefault="00C2110F" w:rsidP="00C2110F">
      <w:pPr>
        <w:spacing w:after="0" w:line="276" w:lineRule="auto"/>
        <w:rPr>
          <w:rFonts w:ascii="Arial Narrow" w:eastAsia="Times New Roman" w:hAnsi="Arial Narrow" w:cs="Times New Roman"/>
          <w:color w:val="000000"/>
          <w:kern w:val="0"/>
          <w:lang w:eastAsia="sk-SK"/>
          <w14:ligatures w14:val="none"/>
        </w:rPr>
      </w:pPr>
      <w:r w:rsidRPr="00C2110F">
        <w:rPr>
          <w:rFonts w:ascii="Arial Narrow" w:eastAsia="Times New Roman" w:hAnsi="Arial Narrow" w:cs="Times New Roman"/>
          <w:color w:val="000000"/>
          <w:kern w:val="0"/>
          <w:lang w:eastAsia="sk-SK"/>
          <w14:ligatures w14:val="none"/>
        </w:rPr>
        <w:t xml:space="preserve">i. pre regióny v členských štátoch, ktorých úroveň </w:t>
      </w:r>
      <w:proofErr w:type="spellStart"/>
      <w:r w:rsidRPr="00C2110F">
        <w:rPr>
          <w:rFonts w:ascii="Arial Narrow" w:eastAsia="Times New Roman" w:hAnsi="Arial Narrow" w:cs="Times New Roman"/>
          <w:color w:val="000000"/>
          <w:kern w:val="0"/>
          <w:lang w:eastAsia="sk-SK"/>
          <w14:ligatures w14:val="none"/>
        </w:rPr>
        <w:t>HND</w:t>
      </w:r>
      <w:proofErr w:type="spellEnd"/>
      <w:r w:rsidRPr="00C2110F">
        <w:rPr>
          <w:rFonts w:ascii="Arial Narrow" w:eastAsia="Times New Roman" w:hAnsi="Arial Narrow" w:cs="Times New Roman"/>
          <w:color w:val="000000"/>
          <w:kern w:val="0"/>
          <w:lang w:eastAsia="sk-SK"/>
          <w14:ligatures w14:val="none"/>
        </w:rPr>
        <w:t xml:space="preserve"> na obyvateľa je nižšia ako</w:t>
      </w:r>
      <w:r>
        <w:rPr>
          <w:rFonts w:ascii="Arial Narrow" w:eastAsia="Times New Roman" w:hAnsi="Arial Narrow" w:cs="Times New Roman"/>
          <w:color w:val="000000"/>
          <w:kern w:val="0"/>
          <w:lang w:eastAsia="sk-SK"/>
          <w14:ligatures w14:val="none"/>
        </w:rPr>
        <w:t xml:space="preserve"> </w:t>
      </w:r>
      <w:r w:rsidRPr="00C2110F">
        <w:rPr>
          <w:rFonts w:ascii="Arial Narrow" w:eastAsia="Times New Roman" w:hAnsi="Arial Narrow" w:cs="Times New Roman"/>
          <w:color w:val="000000"/>
          <w:kern w:val="0"/>
          <w:lang w:eastAsia="sk-SK"/>
          <w14:ligatures w14:val="none"/>
        </w:rPr>
        <w:t>82 % priemeru EÚ: 2,85 %;</w:t>
      </w:r>
    </w:p>
    <w:p w14:paraId="1CC959BE" w14:textId="2FCE605E" w:rsidR="00C2110F" w:rsidRPr="00C2110F" w:rsidRDefault="00C2110F" w:rsidP="00C2110F">
      <w:pPr>
        <w:spacing w:after="0" w:line="276" w:lineRule="auto"/>
        <w:rPr>
          <w:rFonts w:ascii="Arial Narrow" w:eastAsia="Times New Roman" w:hAnsi="Arial Narrow" w:cs="Times New Roman"/>
          <w:color w:val="000000"/>
          <w:kern w:val="0"/>
          <w:lang w:eastAsia="sk-SK"/>
          <w14:ligatures w14:val="none"/>
        </w:rPr>
      </w:pPr>
      <w:proofErr w:type="spellStart"/>
      <w:r w:rsidRPr="00C2110F">
        <w:rPr>
          <w:rFonts w:ascii="Arial Narrow" w:eastAsia="Times New Roman" w:hAnsi="Arial Narrow" w:cs="Times New Roman"/>
          <w:vanish/>
          <w:kern w:val="0"/>
          <w:lang w:eastAsia="sk-SK"/>
          <w14:ligatures w14:val="none"/>
        </w:rPr>
        <w:t>ii.</w:t>
      </w:r>
      <w:proofErr w:type="spellEnd"/>
      <w:r w:rsidRPr="00C2110F">
        <w:rPr>
          <w:rFonts w:ascii="Arial Narrow" w:eastAsia="Times New Roman" w:hAnsi="Arial Narrow" w:cs="Times New Roman"/>
          <w:vanish/>
          <w:kern w:val="0"/>
          <w:lang w:eastAsia="sk-SK"/>
          <w14:ligatures w14:val="none"/>
        </w:rPr>
        <w:t xml:space="preserve"> </w:t>
      </w:r>
      <w:r w:rsidRPr="00C2110F">
        <w:rPr>
          <w:rFonts w:ascii="Arial Narrow" w:eastAsia="Times New Roman" w:hAnsi="Arial Narrow" w:cs="Times New Roman"/>
          <w:color w:val="000000"/>
          <w:kern w:val="0"/>
          <w:lang w:eastAsia="sk-SK"/>
          <w14:ligatures w14:val="none"/>
        </w:rPr>
        <w:t xml:space="preserve">pre regióny v členských štátoch, ktorých úroveň </w:t>
      </w:r>
      <w:proofErr w:type="spellStart"/>
      <w:r w:rsidRPr="00C2110F">
        <w:rPr>
          <w:rFonts w:ascii="Arial Narrow" w:eastAsia="Times New Roman" w:hAnsi="Arial Narrow" w:cs="Times New Roman"/>
          <w:color w:val="000000"/>
          <w:kern w:val="0"/>
          <w:lang w:eastAsia="sk-SK"/>
          <w14:ligatures w14:val="none"/>
        </w:rPr>
        <w:t>HND</w:t>
      </w:r>
      <w:proofErr w:type="spellEnd"/>
      <w:r w:rsidRPr="00C2110F">
        <w:rPr>
          <w:rFonts w:ascii="Arial Narrow" w:eastAsia="Times New Roman" w:hAnsi="Arial Narrow" w:cs="Times New Roman"/>
          <w:color w:val="000000"/>
          <w:kern w:val="0"/>
          <w:lang w:eastAsia="sk-SK"/>
          <w14:ligatures w14:val="none"/>
        </w:rPr>
        <w:t xml:space="preserve"> na obyvateľa sa nachádza medzi 82 % a 99 % priemeru EÚ: 1,25 %;</w:t>
      </w:r>
    </w:p>
    <w:p w14:paraId="7BEB5ADC" w14:textId="1A1ADA9D" w:rsidR="00C2110F" w:rsidRDefault="00C2110F" w:rsidP="00C2110F">
      <w:pPr>
        <w:spacing w:line="276" w:lineRule="auto"/>
        <w:rPr>
          <w:rFonts w:ascii="Arial Narrow" w:eastAsia="Times New Roman" w:hAnsi="Arial Narrow" w:cs="Times New Roman"/>
          <w:color w:val="000000"/>
          <w:kern w:val="0"/>
          <w:lang w:eastAsia="sk-SK"/>
          <w14:ligatures w14:val="none"/>
        </w:rPr>
      </w:pPr>
      <w:proofErr w:type="spellStart"/>
      <w:r w:rsidRPr="00C2110F">
        <w:rPr>
          <w:rFonts w:ascii="Arial Narrow" w:hAnsi="Arial Narrow"/>
        </w:rPr>
        <w:t>iii.</w:t>
      </w:r>
      <w:proofErr w:type="spellEnd"/>
      <w:r w:rsidRPr="00C2110F">
        <w:rPr>
          <w:rFonts w:ascii="Arial Narrow" w:hAnsi="Arial Narrow"/>
        </w:rPr>
        <w:t xml:space="preserve"> </w:t>
      </w:r>
      <w:r w:rsidRPr="00C2110F">
        <w:rPr>
          <w:rFonts w:ascii="Arial Narrow" w:eastAsia="Times New Roman" w:hAnsi="Arial Narrow" w:cs="Times New Roman"/>
          <w:color w:val="000000"/>
          <w:kern w:val="0"/>
          <w:lang w:eastAsia="sk-SK"/>
          <w14:ligatures w14:val="none"/>
        </w:rPr>
        <w:t xml:space="preserve">pre regióny v členských štátoch, ktorých úroveň </w:t>
      </w:r>
      <w:proofErr w:type="spellStart"/>
      <w:r w:rsidRPr="00C2110F">
        <w:rPr>
          <w:rFonts w:ascii="Arial Narrow" w:eastAsia="Times New Roman" w:hAnsi="Arial Narrow" w:cs="Times New Roman"/>
          <w:color w:val="000000"/>
          <w:kern w:val="0"/>
          <w:lang w:eastAsia="sk-SK"/>
          <w14:ligatures w14:val="none"/>
        </w:rPr>
        <w:t>HND</w:t>
      </w:r>
      <w:proofErr w:type="spellEnd"/>
      <w:r w:rsidRPr="00C2110F">
        <w:rPr>
          <w:rFonts w:ascii="Arial Narrow" w:eastAsia="Times New Roman" w:hAnsi="Arial Narrow" w:cs="Times New Roman"/>
          <w:color w:val="000000"/>
          <w:kern w:val="0"/>
          <w:lang w:eastAsia="sk-SK"/>
          <w14:ligatures w14:val="none"/>
        </w:rPr>
        <w:t xml:space="preserve"> na obyvateľa je vyššia ako 99 % priemeru EÚ: 0,75 %.</w:t>
      </w:r>
    </w:p>
    <w:p w14:paraId="03DD24C3" w14:textId="75018A9A" w:rsidR="00C2110F" w:rsidRDefault="00C2110F" w:rsidP="00C2110F">
      <w:pPr>
        <w:spacing w:line="276" w:lineRule="auto"/>
        <w:rPr>
          <w:rFonts w:ascii="Arial Narrow" w:hAnsi="Arial Narrow" w:cs="Times New Roman"/>
          <w:color w:val="000000"/>
        </w:rPr>
      </w:pPr>
      <w:r w:rsidRPr="00C2110F">
        <w:rPr>
          <w:rFonts w:ascii="Arial Narrow" w:hAnsi="Arial Narrow" w:cs="Times New Roman"/>
          <w:color w:val="000000"/>
        </w:rPr>
        <w:t xml:space="preserve">c) k sume získanej v </w:t>
      </w:r>
      <w:r w:rsidRPr="00C2110F">
        <w:rPr>
          <w:rFonts w:ascii="Arial Narrow" w:hAnsi="Arial Narrow"/>
          <w:color w:val="000000"/>
        </w:rPr>
        <w:t xml:space="preserve">kroku b) sa prípadne pripočíta </w:t>
      </w:r>
      <w:r w:rsidRPr="00C2110F">
        <w:rPr>
          <w:rFonts w:ascii="Arial Narrow" w:hAnsi="Arial Narrow" w:cs="Times New Roman"/>
          <w:color w:val="000000"/>
        </w:rPr>
        <w:t xml:space="preserve">suma vyplývajúca z pridelenia príspevku 570 EUR za rok na </w:t>
      </w:r>
      <w:r w:rsidRPr="00C2110F">
        <w:rPr>
          <w:rFonts w:ascii="Arial Narrow" w:hAnsi="Arial Narrow"/>
          <w:color w:val="000000"/>
        </w:rPr>
        <w:t xml:space="preserve">každú nezamestnanú osobu, ktorá sa uplatňuje </w:t>
      </w:r>
      <w:r w:rsidRPr="00C2110F">
        <w:rPr>
          <w:rFonts w:ascii="Arial Narrow" w:hAnsi="Arial Narrow" w:cs="Times New Roman"/>
          <w:color w:val="000000"/>
        </w:rPr>
        <w:t xml:space="preserve">na </w:t>
      </w:r>
      <w:r w:rsidRPr="00C2110F">
        <w:rPr>
          <w:rFonts w:ascii="Arial Narrow" w:hAnsi="Arial Narrow"/>
          <w:color w:val="000000"/>
        </w:rPr>
        <w:t xml:space="preserve">počet </w:t>
      </w:r>
      <w:r w:rsidRPr="00C2110F">
        <w:rPr>
          <w:rFonts w:ascii="Arial Narrow" w:hAnsi="Arial Narrow" w:cs="Times New Roman"/>
          <w:color w:val="000000"/>
        </w:rPr>
        <w:t xml:space="preserve">nezamestnaných osôb v </w:t>
      </w:r>
      <w:r w:rsidRPr="00C2110F">
        <w:rPr>
          <w:rFonts w:ascii="Arial Narrow" w:hAnsi="Arial Narrow"/>
          <w:color w:val="000000"/>
        </w:rPr>
        <w:t>danom regióne presahujúci počet osôb, ktoré by boli nezamestnané, ak by sa použila priemerná miera nezamestnanosti všetkýc</w:t>
      </w:r>
      <w:r w:rsidRPr="00C2110F">
        <w:rPr>
          <w:rFonts w:ascii="Arial Narrow" w:hAnsi="Arial Narrow" w:cs="Times New Roman"/>
          <w:color w:val="000000"/>
        </w:rPr>
        <w:t>h menej rozvinutých regiónov EÚ</w:t>
      </w:r>
      <w:r>
        <w:rPr>
          <w:rFonts w:ascii="Arial Narrow" w:hAnsi="Arial Narrow" w:cs="Times New Roman"/>
          <w:color w:val="000000"/>
        </w:rPr>
        <w:t>;</w:t>
      </w:r>
    </w:p>
    <w:p w14:paraId="7F798C1F" w14:textId="7D665FF8" w:rsidR="00C2110F" w:rsidRDefault="00C2110F" w:rsidP="00C2110F">
      <w:pPr>
        <w:spacing w:line="276" w:lineRule="auto"/>
        <w:rPr>
          <w:rFonts w:ascii="Arial Narrow" w:hAnsi="Arial Narrow"/>
        </w:rPr>
      </w:pPr>
      <w:r w:rsidRPr="00C2110F">
        <w:rPr>
          <w:rFonts w:ascii="Arial Narrow" w:hAnsi="Arial Narrow"/>
        </w:rPr>
        <w:t>d) k sume získanej v kroku c) sa prípadne pripočíta suma vyplývajúca z pridelenia</w:t>
      </w:r>
      <w:r>
        <w:rPr>
          <w:rFonts w:ascii="Arial Narrow" w:hAnsi="Arial Narrow"/>
        </w:rPr>
        <w:t xml:space="preserve"> p</w:t>
      </w:r>
      <w:r w:rsidRPr="00C2110F">
        <w:rPr>
          <w:rFonts w:ascii="Arial Narrow" w:hAnsi="Arial Narrow"/>
        </w:rPr>
        <w:t>ríspevku 570 EUR za rok na každú mladú nezamestnanú osobu (vo vekovej skupine 15– 24 rokov), ktorá sa uplatňuje na počet</w:t>
      </w:r>
      <w:r>
        <w:rPr>
          <w:rFonts w:ascii="Arial Narrow" w:hAnsi="Arial Narrow"/>
        </w:rPr>
        <w:t xml:space="preserve"> </w:t>
      </w:r>
      <w:r w:rsidRPr="00C2110F">
        <w:rPr>
          <w:rFonts w:ascii="Arial Narrow" w:hAnsi="Arial Narrow"/>
        </w:rPr>
        <w:t>nezamestnaných mladých osôb v</w:t>
      </w:r>
      <w:r>
        <w:rPr>
          <w:rFonts w:ascii="Arial Narrow" w:hAnsi="Arial Narrow"/>
        </w:rPr>
        <w:t> </w:t>
      </w:r>
      <w:r w:rsidRPr="00C2110F">
        <w:rPr>
          <w:rFonts w:ascii="Arial Narrow" w:hAnsi="Arial Narrow"/>
        </w:rPr>
        <w:t>danom</w:t>
      </w:r>
      <w:r>
        <w:rPr>
          <w:rFonts w:ascii="Arial Narrow" w:hAnsi="Arial Narrow"/>
        </w:rPr>
        <w:t xml:space="preserve"> </w:t>
      </w:r>
      <w:r w:rsidRPr="00C2110F">
        <w:rPr>
          <w:rFonts w:ascii="Arial Narrow" w:hAnsi="Arial Narrow"/>
        </w:rPr>
        <w:t>regióne presahujúci počet osôb, ktoré by boli nezamestnané, ak by sa použila priemerná</w:t>
      </w:r>
      <w:r>
        <w:rPr>
          <w:rFonts w:ascii="Arial Narrow" w:hAnsi="Arial Narrow"/>
        </w:rPr>
        <w:t xml:space="preserve"> m</w:t>
      </w:r>
      <w:r w:rsidRPr="00C2110F">
        <w:rPr>
          <w:rFonts w:ascii="Arial Narrow" w:hAnsi="Arial Narrow"/>
        </w:rPr>
        <w:t>iera nezamestnanosti mladých vo všetkých menej rozvinutých regiónoch EÚ;</w:t>
      </w:r>
    </w:p>
    <w:p w14:paraId="5836982F" w14:textId="77777777" w:rsidR="00C2110F" w:rsidRDefault="00C2110F" w:rsidP="00C2110F">
      <w:pPr>
        <w:spacing w:line="276" w:lineRule="auto"/>
        <w:rPr>
          <w:rFonts w:ascii="Arial Narrow" w:hAnsi="Arial Narrow"/>
        </w:rPr>
      </w:pPr>
    </w:p>
    <w:p w14:paraId="1AD9BF67" w14:textId="72176753" w:rsidR="00F83E86" w:rsidRPr="00F83E86" w:rsidRDefault="00F83E86" w:rsidP="00C2110F">
      <w:pPr>
        <w:spacing w:line="276" w:lineRule="auto"/>
        <w:rPr>
          <w:rFonts w:ascii="Arial Narrow" w:hAnsi="Arial Narrow" w:cs="Times New Roman"/>
          <w:color w:val="000000"/>
        </w:rPr>
      </w:pPr>
      <w:r w:rsidRPr="00F83E86">
        <w:rPr>
          <w:rFonts w:ascii="Arial Narrow" w:hAnsi="Arial Narrow" w:cs="Times New Roman"/>
          <w:color w:val="000000"/>
        </w:rPr>
        <w:lastRenderedPageBreak/>
        <w:t xml:space="preserve">e) k sume získanej v </w:t>
      </w:r>
      <w:r w:rsidRPr="00F83E86">
        <w:rPr>
          <w:rFonts w:ascii="Arial Narrow" w:hAnsi="Arial Narrow"/>
          <w:color w:val="000000"/>
        </w:rPr>
        <w:t xml:space="preserve">kroku d) sa prípadne pripočíta suma vyplývajúca </w:t>
      </w:r>
      <w:r w:rsidRPr="00F83E86">
        <w:rPr>
          <w:rFonts w:ascii="Arial Narrow" w:hAnsi="Arial Narrow" w:cs="Times New Roman"/>
          <w:color w:val="000000"/>
        </w:rPr>
        <w:t xml:space="preserve">z pridelenia príspevku 270 EUR za rok na </w:t>
      </w:r>
      <w:r w:rsidRPr="00F83E86">
        <w:rPr>
          <w:rFonts w:ascii="Arial Narrow" w:hAnsi="Arial Narrow"/>
          <w:color w:val="000000"/>
        </w:rPr>
        <w:t xml:space="preserve">každú osobu (vo vekovej skupine 25 – </w:t>
      </w:r>
      <w:r w:rsidRPr="00F83E86">
        <w:rPr>
          <w:rFonts w:ascii="Arial Narrow" w:hAnsi="Arial Narrow" w:cs="Times New Roman"/>
          <w:color w:val="000000"/>
        </w:rPr>
        <w:t xml:space="preserve">64 rokov), ktorá sa </w:t>
      </w:r>
      <w:r w:rsidRPr="00F83E86">
        <w:rPr>
          <w:rFonts w:ascii="Arial Narrow" w:hAnsi="Arial Narrow"/>
          <w:color w:val="000000"/>
        </w:rPr>
        <w:t xml:space="preserve">uplatňuje </w:t>
      </w:r>
      <w:r w:rsidRPr="00F83E86">
        <w:rPr>
          <w:rFonts w:ascii="Arial Narrow" w:hAnsi="Arial Narrow" w:cs="Times New Roman"/>
          <w:color w:val="000000"/>
        </w:rPr>
        <w:t xml:space="preserve">na </w:t>
      </w:r>
      <w:r w:rsidRPr="00F83E86">
        <w:rPr>
          <w:rFonts w:ascii="Arial Narrow" w:hAnsi="Arial Narrow"/>
          <w:color w:val="000000"/>
        </w:rPr>
        <w:t xml:space="preserve">počet nezamestnaných osôb </w:t>
      </w:r>
      <w:r w:rsidRPr="00F83E86">
        <w:rPr>
          <w:rFonts w:ascii="Arial Narrow" w:hAnsi="Arial Narrow" w:cs="Times New Roman"/>
          <w:color w:val="000000"/>
        </w:rPr>
        <w:t xml:space="preserve">v danom regióne, ktorý by bolo potrebné </w:t>
      </w:r>
      <w:r w:rsidRPr="00F83E86">
        <w:rPr>
          <w:rFonts w:ascii="Arial Narrow" w:hAnsi="Arial Narrow"/>
          <w:color w:val="000000"/>
        </w:rPr>
        <w:t xml:space="preserve">odpočítať, aby sa dosiahla priemerná miera nízkej úrovne vzdelania (nižšieho ako </w:t>
      </w:r>
      <w:r w:rsidRPr="00F83E86">
        <w:rPr>
          <w:rFonts w:ascii="Arial Narrow" w:hAnsi="Arial Narrow" w:cs="Times New Roman"/>
          <w:color w:val="000000"/>
        </w:rPr>
        <w:t xml:space="preserve">základného, základného a </w:t>
      </w:r>
      <w:r w:rsidRPr="00F83E86">
        <w:rPr>
          <w:rFonts w:ascii="Arial Narrow" w:hAnsi="Arial Narrow"/>
          <w:color w:val="000000"/>
        </w:rPr>
        <w:t xml:space="preserve">nižšieho stredného vzdelania) </w:t>
      </w:r>
      <w:r w:rsidRPr="00F83E86">
        <w:rPr>
          <w:rFonts w:ascii="Arial Narrow" w:hAnsi="Arial Narrow" w:cs="Times New Roman"/>
          <w:color w:val="000000"/>
        </w:rPr>
        <w:t xml:space="preserve">vo </w:t>
      </w:r>
      <w:r w:rsidRPr="00F83E86">
        <w:rPr>
          <w:rFonts w:ascii="Arial Narrow" w:hAnsi="Arial Narrow"/>
          <w:color w:val="000000"/>
        </w:rPr>
        <w:t xml:space="preserve">všetkých menej rozvinutých </w:t>
      </w:r>
      <w:r w:rsidRPr="00F83E86">
        <w:rPr>
          <w:rFonts w:ascii="Arial Narrow" w:hAnsi="Arial Narrow" w:cs="Times New Roman"/>
          <w:color w:val="000000"/>
        </w:rPr>
        <w:t>regiónoch EÚ</w:t>
      </w:r>
      <w:r w:rsidRPr="00F83E86">
        <w:rPr>
          <w:rFonts w:ascii="Arial Narrow" w:hAnsi="Arial Narrow" w:cs="Times New Roman"/>
          <w:color w:val="000000"/>
        </w:rPr>
        <w:t>;</w:t>
      </w:r>
    </w:p>
    <w:p w14:paraId="2DCB99B3" w14:textId="70981B63" w:rsidR="00F83E86" w:rsidRDefault="00F83E86" w:rsidP="00F83E86">
      <w:pPr>
        <w:spacing w:line="276" w:lineRule="auto"/>
        <w:rPr>
          <w:rFonts w:ascii="Arial Narrow" w:hAnsi="Arial Narrow"/>
        </w:rPr>
      </w:pPr>
      <w:r w:rsidRPr="00F83E86">
        <w:rPr>
          <w:rFonts w:ascii="Arial Narrow" w:hAnsi="Arial Narrow"/>
        </w:rPr>
        <w:t>f) k sume získanej v kroku e) sa prípadne pripočíta suma 1 EUR za rok na tonu</w:t>
      </w:r>
      <w:r>
        <w:rPr>
          <w:rFonts w:ascii="Arial Narrow" w:hAnsi="Arial Narrow"/>
        </w:rPr>
        <w:t xml:space="preserve"> </w:t>
      </w:r>
      <w:r w:rsidRPr="00F83E86">
        <w:rPr>
          <w:rFonts w:ascii="Arial Narrow" w:hAnsi="Arial Narrow"/>
        </w:rPr>
        <w:t>ekvivalentu C</w:t>
      </w:r>
      <w:proofErr w:type="spellStart"/>
      <w:r w:rsidRPr="00F83E86">
        <w:rPr>
          <w:rFonts w:ascii="Arial Narrow" w:hAnsi="Arial Narrow"/>
        </w:rPr>
        <w:t>O2</w:t>
      </w:r>
      <w:proofErr w:type="spellEnd"/>
      <w:r w:rsidRPr="00F83E86">
        <w:rPr>
          <w:rFonts w:ascii="Arial Narrow" w:hAnsi="Arial Narrow"/>
        </w:rPr>
        <w:t>, ktorá sa uplatňuje na podiel daného regiónu z hľadiska počtu</w:t>
      </w:r>
      <w:r>
        <w:rPr>
          <w:rFonts w:ascii="Arial Narrow" w:hAnsi="Arial Narrow"/>
        </w:rPr>
        <w:t xml:space="preserve"> </w:t>
      </w:r>
      <w:r w:rsidRPr="00F83E86">
        <w:rPr>
          <w:rFonts w:ascii="Arial Narrow" w:hAnsi="Arial Narrow"/>
        </w:rPr>
        <w:t xml:space="preserve">obyvateľov na počte ton ekvivalentu </w:t>
      </w:r>
      <w:proofErr w:type="spellStart"/>
      <w:r w:rsidRPr="00F83E86">
        <w:rPr>
          <w:rFonts w:ascii="Arial Narrow" w:hAnsi="Arial Narrow"/>
        </w:rPr>
        <w:t>CO2</w:t>
      </w:r>
      <w:proofErr w:type="spellEnd"/>
      <w:r w:rsidRPr="00F83E86">
        <w:rPr>
          <w:rFonts w:ascii="Arial Narrow" w:hAnsi="Arial Narrow"/>
        </w:rPr>
        <w:t>, o ktorý členský štát prekračuje cieľ emisií</w:t>
      </w:r>
      <w:r>
        <w:rPr>
          <w:rFonts w:ascii="Arial Narrow" w:hAnsi="Arial Narrow"/>
        </w:rPr>
        <w:t xml:space="preserve"> </w:t>
      </w:r>
      <w:r w:rsidRPr="00F83E86">
        <w:rPr>
          <w:rFonts w:ascii="Arial Narrow" w:hAnsi="Arial Narrow"/>
        </w:rPr>
        <w:t>skleníkových plynov nad rámec schémy obchodovania s emisiami stanovenej na rok</w:t>
      </w:r>
      <w:r>
        <w:rPr>
          <w:rFonts w:ascii="Arial Narrow" w:hAnsi="Arial Narrow"/>
        </w:rPr>
        <w:t xml:space="preserve"> </w:t>
      </w:r>
      <w:r w:rsidRPr="00F83E86">
        <w:rPr>
          <w:rFonts w:ascii="Arial Narrow" w:hAnsi="Arial Narrow"/>
        </w:rPr>
        <w:t>2030, ako navrhla Komisia v roku 2016;</w:t>
      </w:r>
    </w:p>
    <w:p w14:paraId="4A47FD34" w14:textId="67383BA3" w:rsidR="00F83E86" w:rsidRDefault="00024496" w:rsidP="00024496">
      <w:pPr>
        <w:spacing w:line="276" w:lineRule="auto"/>
        <w:rPr>
          <w:rFonts w:ascii="Arial Narrow" w:hAnsi="Arial Narrow"/>
        </w:rPr>
      </w:pPr>
      <w:r w:rsidRPr="00024496">
        <w:rPr>
          <w:rFonts w:ascii="Arial Narrow" w:hAnsi="Arial Narrow"/>
        </w:rPr>
        <w:t>g) k sume získanej v kroku f) sa prípadne pripočíta suma vyplývajúca z</w:t>
      </w:r>
      <w:r>
        <w:rPr>
          <w:rFonts w:ascii="Arial Narrow" w:hAnsi="Arial Narrow"/>
        </w:rPr>
        <w:t> </w:t>
      </w:r>
      <w:r w:rsidRPr="00024496">
        <w:rPr>
          <w:rFonts w:ascii="Arial Narrow" w:hAnsi="Arial Narrow"/>
        </w:rPr>
        <w:t>pridelenia</w:t>
      </w:r>
      <w:r>
        <w:rPr>
          <w:rFonts w:ascii="Arial Narrow" w:hAnsi="Arial Narrow"/>
        </w:rPr>
        <w:t xml:space="preserve"> </w:t>
      </w:r>
      <w:r w:rsidRPr="00024496">
        <w:rPr>
          <w:rFonts w:ascii="Arial Narrow" w:hAnsi="Arial Narrow"/>
        </w:rPr>
        <w:t>príspevku 405 EUR za rok na každú osobu, ktorá sa uplatňuje na podiel regiónov</w:t>
      </w:r>
      <w:r>
        <w:rPr>
          <w:rFonts w:ascii="Arial Narrow" w:hAnsi="Arial Narrow"/>
        </w:rPr>
        <w:t xml:space="preserve"> </w:t>
      </w:r>
      <w:r w:rsidRPr="00024496">
        <w:rPr>
          <w:rFonts w:ascii="Arial Narrow" w:hAnsi="Arial Narrow"/>
        </w:rPr>
        <w:t>z hľadiska počtu obyvateľov na čistej migrácii z krajín mimo EÚ do daného členského</w:t>
      </w:r>
      <w:r>
        <w:rPr>
          <w:rFonts w:ascii="Arial Narrow" w:hAnsi="Arial Narrow"/>
        </w:rPr>
        <w:t xml:space="preserve"> </w:t>
      </w:r>
      <w:r w:rsidRPr="00024496">
        <w:rPr>
          <w:rFonts w:ascii="Arial Narrow" w:hAnsi="Arial Narrow"/>
        </w:rPr>
        <w:t>štátu od 1. januára 2014.</w:t>
      </w:r>
    </w:p>
    <w:p w14:paraId="18C9CFDB" w14:textId="77777777" w:rsidR="00024496" w:rsidRDefault="00024496" w:rsidP="00024496">
      <w:pPr>
        <w:spacing w:line="276" w:lineRule="auto"/>
        <w:rPr>
          <w:rFonts w:ascii="Arial Narrow" w:hAnsi="Arial Narrow"/>
        </w:rPr>
      </w:pPr>
    </w:p>
    <w:p w14:paraId="25C952D6" w14:textId="77777777" w:rsidR="00024496" w:rsidRDefault="00024496" w:rsidP="00024496">
      <w:pPr>
        <w:spacing w:line="276" w:lineRule="auto"/>
        <w:rPr>
          <w:rFonts w:ascii="Arial Narrow" w:hAnsi="Arial Narrow"/>
        </w:rPr>
      </w:pPr>
    </w:p>
    <w:p w14:paraId="502CB2AE" w14:textId="77777777" w:rsidR="00CE429F" w:rsidRPr="00CE429F" w:rsidRDefault="00CE429F" w:rsidP="00CE429F">
      <w:pPr>
        <w:spacing w:after="0" w:line="276" w:lineRule="auto"/>
        <w:rPr>
          <w:rFonts w:ascii="Arial Narrow" w:eastAsia="Times New Roman" w:hAnsi="Arial Narrow" w:cs="Times New Roman"/>
          <w:b/>
          <w:bCs/>
          <w:color w:val="000000"/>
          <w:kern w:val="0"/>
          <w:lang w:eastAsia="sk-SK"/>
          <w14:ligatures w14:val="none"/>
        </w:rPr>
      </w:pPr>
      <w:r w:rsidRPr="00CE429F">
        <w:rPr>
          <w:rFonts w:ascii="Arial Narrow" w:eastAsia="Times New Roman" w:hAnsi="Arial Narrow" w:cs="Times New Roman"/>
          <w:b/>
          <w:bCs/>
          <w:color w:val="000000"/>
          <w:kern w:val="0"/>
          <w:lang w:eastAsia="sk-SK"/>
          <w14:ligatures w14:val="none"/>
        </w:rPr>
        <w:t>Metóda prideľovania finančných prostriedkov pre prechodné regióny oprávnené v rámci cieľa Investovanie do zamestnanosti a rastu</w:t>
      </w:r>
    </w:p>
    <w:p w14:paraId="665C5582" w14:textId="77777777" w:rsidR="00CE429F" w:rsidRPr="00CE429F" w:rsidRDefault="00CE429F" w:rsidP="00CE429F">
      <w:pPr>
        <w:spacing w:after="0" w:line="276" w:lineRule="auto"/>
        <w:rPr>
          <w:rFonts w:ascii="Arial Narrow" w:eastAsia="Times New Roman" w:hAnsi="Arial Narrow" w:cs="Times New Roman"/>
          <w:color w:val="000000"/>
          <w:kern w:val="0"/>
          <w:lang w:eastAsia="sk-SK"/>
          <w14:ligatures w14:val="none"/>
        </w:rPr>
      </w:pPr>
    </w:p>
    <w:p w14:paraId="5DCFAA3B" w14:textId="706824E5" w:rsidR="00CE429F" w:rsidRPr="00CE429F" w:rsidRDefault="00CE429F" w:rsidP="00CE429F">
      <w:pPr>
        <w:spacing w:after="0" w:line="276" w:lineRule="auto"/>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47. Prostriedky pridelené každému členskému štátu sú súčtom prostriedkov pridelených jeho jednotlivým oprávneným regiónom, vypočítané v týchto krokoch:</w:t>
      </w:r>
    </w:p>
    <w:p w14:paraId="26805FCF" w14:textId="77777777" w:rsidR="00CE429F" w:rsidRDefault="00CE429F" w:rsidP="00CE429F">
      <w:pPr>
        <w:spacing w:after="0" w:line="276" w:lineRule="auto"/>
        <w:rPr>
          <w:rFonts w:ascii="Arial Narrow" w:eastAsia="Times New Roman" w:hAnsi="Arial Narrow" w:cs="Times New Roman"/>
          <w:color w:val="000000"/>
          <w:kern w:val="0"/>
          <w:lang w:eastAsia="sk-SK"/>
          <w14:ligatures w14:val="none"/>
        </w:rPr>
      </w:pPr>
    </w:p>
    <w:p w14:paraId="3E97BEFB" w14:textId="0BE62E2E" w:rsidR="00CE429F" w:rsidRPr="00CE429F" w:rsidRDefault="00CE429F" w:rsidP="00CE429F">
      <w:pPr>
        <w:spacing w:after="0" w:line="276" w:lineRule="auto"/>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a) stanovenie minimálnej a maximálnej intenzity teoretickej pomoci pre každý oprávnený</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prechodný región. Minimálna úroveň podpory sa určuje na základe počiatočnej</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priemernej intenzity pomoci na obyvateľa všetkých rozvinutejších regiónov, t. j. 15,2</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EUR na obyvateľa a rok. Pod maximálnou úrovňou podpory sa rozumie teoretický</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 xml:space="preserve">región s HDP na obyvateľa vo výške 75 % priemeru </w:t>
      </w:r>
      <w:proofErr w:type="spellStart"/>
      <w:r w:rsidRPr="00CE429F">
        <w:rPr>
          <w:rFonts w:ascii="Arial Narrow" w:eastAsia="Times New Roman" w:hAnsi="Arial Narrow" w:cs="Times New Roman"/>
          <w:color w:val="000000"/>
          <w:kern w:val="0"/>
          <w:lang w:eastAsia="sk-SK"/>
          <w14:ligatures w14:val="none"/>
        </w:rPr>
        <w:t>EÚ27</w:t>
      </w:r>
      <w:proofErr w:type="spellEnd"/>
      <w:r w:rsidRPr="00CE429F">
        <w:rPr>
          <w:rFonts w:ascii="Arial Narrow" w:eastAsia="Times New Roman" w:hAnsi="Arial Narrow" w:cs="Times New Roman"/>
          <w:color w:val="000000"/>
          <w:kern w:val="0"/>
          <w:lang w:eastAsia="sk-SK"/>
          <w14:ligatures w14:val="none"/>
        </w:rPr>
        <w:t xml:space="preserve"> a vypočíta sa metódou</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vymedzenou v bode 46 písm. a) a b). Zo sumy získanej týmto spôsobom sa berie</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do úvahy 60 %;</w:t>
      </w:r>
    </w:p>
    <w:p w14:paraId="3373760D" w14:textId="627B20D2" w:rsidR="00CE429F" w:rsidRPr="00CE429F" w:rsidRDefault="00CE429F" w:rsidP="00CE429F">
      <w:pPr>
        <w:spacing w:after="0" w:line="276" w:lineRule="auto"/>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b) výpočet počiatočných regionálne pridelených prostriedkov, zohľadňujúc regionálny</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 xml:space="preserve">HDP na obyvateľa (v </w:t>
      </w:r>
      <w:proofErr w:type="spellStart"/>
      <w:r w:rsidRPr="00CE429F">
        <w:rPr>
          <w:rFonts w:ascii="Arial Narrow" w:eastAsia="Times New Roman" w:hAnsi="Arial Narrow" w:cs="Times New Roman"/>
          <w:color w:val="000000"/>
          <w:kern w:val="0"/>
          <w:lang w:eastAsia="sk-SK"/>
          <w14:ligatures w14:val="none"/>
        </w:rPr>
        <w:t>PKS</w:t>
      </w:r>
      <w:proofErr w:type="spellEnd"/>
      <w:r w:rsidRPr="00CE429F">
        <w:rPr>
          <w:rFonts w:ascii="Arial Narrow" w:eastAsia="Times New Roman" w:hAnsi="Arial Narrow" w:cs="Times New Roman"/>
          <w:color w:val="000000"/>
          <w:kern w:val="0"/>
          <w:lang w:eastAsia="sk-SK"/>
          <w14:ligatures w14:val="none"/>
        </w:rPr>
        <w:t>) prostredníctvom lineárnej interpolácie relatívneho HDP</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 xml:space="preserve">regiónu na obyvateľa v porovnaní s </w:t>
      </w:r>
      <w:proofErr w:type="spellStart"/>
      <w:r w:rsidRPr="00CE429F">
        <w:rPr>
          <w:rFonts w:ascii="Arial Narrow" w:eastAsia="Times New Roman" w:hAnsi="Arial Narrow" w:cs="Times New Roman"/>
          <w:color w:val="000000"/>
          <w:kern w:val="0"/>
          <w:lang w:eastAsia="sk-SK"/>
          <w14:ligatures w14:val="none"/>
        </w:rPr>
        <w:t>EÚ27</w:t>
      </w:r>
      <w:proofErr w:type="spellEnd"/>
      <w:r w:rsidRPr="00CE429F">
        <w:rPr>
          <w:rFonts w:ascii="Arial Narrow" w:eastAsia="Times New Roman" w:hAnsi="Arial Narrow" w:cs="Times New Roman"/>
          <w:color w:val="000000"/>
          <w:kern w:val="0"/>
          <w:lang w:eastAsia="sk-SK"/>
          <w14:ligatures w14:val="none"/>
        </w:rPr>
        <w:t>;</w:t>
      </w:r>
    </w:p>
    <w:p w14:paraId="17E3A8F8" w14:textId="77777777" w:rsidR="00CE429F" w:rsidRDefault="00CE429F" w:rsidP="00CE429F">
      <w:pPr>
        <w:spacing w:after="0" w:line="276" w:lineRule="auto"/>
        <w:rPr>
          <w:rFonts w:ascii="Arial Narrow" w:eastAsia="Times New Roman" w:hAnsi="Arial Narrow" w:cs="Times New Roman"/>
          <w:color w:val="000000"/>
          <w:kern w:val="0"/>
          <w:lang w:eastAsia="sk-SK"/>
          <w14:ligatures w14:val="none"/>
        </w:rPr>
      </w:pPr>
    </w:p>
    <w:p w14:paraId="3E7C06E1" w14:textId="1D030501" w:rsidR="00CE429F" w:rsidRDefault="00CE429F" w:rsidP="00CE429F">
      <w:pPr>
        <w:spacing w:after="0" w:line="276" w:lineRule="auto"/>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c) k sume získanej v kroku b) sa prípadne pripočíta suma vyplývajúca z</w:t>
      </w:r>
      <w:r>
        <w:rPr>
          <w:rFonts w:ascii="Arial Narrow" w:eastAsia="Times New Roman" w:hAnsi="Arial Narrow" w:cs="Times New Roman"/>
          <w:color w:val="000000"/>
          <w:kern w:val="0"/>
          <w:lang w:eastAsia="sk-SK"/>
          <w14:ligatures w14:val="none"/>
        </w:rPr>
        <w:t> </w:t>
      </w:r>
      <w:r w:rsidRPr="00CE429F">
        <w:rPr>
          <w:rFonts w:ascii="Arial Narrow" w:eastAsia="Times New Roman" w:hAnsi="Arial Narrow" w:cs="Times New Roman"/>
          <w:color w:val="000000"/>
          <w:kern w:val="0"/>
          <w:lang w:eastAsia="sk-SK"/>
          <w14:ligatures w14:val="none"/>
        </w:rPr>
        <w:t>pridelenia</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príspevku 560 EUR za rok na každú nezamestnanú osobu, ktorá sa uplatňuje na počet</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nezamestnaných osôb v danom regióne presahujúci počet osôb, ktoré by boli</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nezamestnané, ak by sa použila priemerná miera nezamestnanosti všetkých menej</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rozvinutých regiónov EÚ</w:t>
      </w:r>
    </w:p>
    <w:p w14:paraId="39377573" w14:textId="77777777" w:rsidR="00CE429F" w:rsidRPr="00CE429F" w:rsidRDefault="00CE429F" w:rsidP="00CE429F">
      <w:pPr>
        <w:spacing w:after="0" w:line="276" w:lineRule="auto"/>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d) k sume získanej v kroku c) sa prípadne pripočíta suma vyplývajúca z pridelenia príspevku 560 EUR za rok na každú mladú nezamestnanú osobu (vo vekovej skupine 15 – 24 rokov), ktorá sa uplatňuje na počet nezamestnaných mladých osôb v danom regióne presahujúci počet osôb, ktoré by boli nezamestnané, ak by sa použila priemerná miera nezamestnanosti mladých vo všetkých menej rozvinutých regiónoch;</w:t>
      </w:r>
    </w:p>
    <w:p w14:paraId="60E94ED5" w14:textId="77777777" w:rsidR="00CE429F" w:rsidRDefault="00CE429F" w:rsidP="00CE429F">
      <w:pPr>
        <w:spacing w:after="0" w:line="276" w:lineRule="auto"/>
        <w:rPr>
          <w:rFonts w:ascii="Arial Narrow" w:eastAsia="Times New Roman" w:hAnsi="Arial Narrow" w:cs="Times New Roman"/>
          <w:color w:val="000000"/>
          <w:kern w:val="0"/>
          <w:lang w:eastAsia="sk-SK"/>
          <w14:ligatures w14:val="none"/>
        </w:rPr>
      </w:pPr>
    </w:p>
    <w:p w14:paraId="1FA191D3" w14:textId="65574B1C" w:rsidR="00CE429F" w:rsidRPr="00CE429F" w:rsidRDefault="00CE429F" w:rsidP="00CE429F">
      <w:pPr>
        <w:spacing w:after="0" w:line="276" w:lineRule="auto"/>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e) k sume získanej v súlade s písmenom d) sa prípadne pripočíta suma vyplývajúca z pridelenia príspevku 250 EUR za rok na každú osobu (vo vekovej skupine 25 – 64 rokov), ktorá sa uplatňuje na počet nezamestnaných osôb v danom regióne, ktorý by bolo potrebné odpočítať, aby sa dosiahla priemerná miera nízkej úrovne vzdelania (nižšieho ako základného, základného a nižšieho stredného vzdelania) vo všetkých menej rozvinutých regiónoch;</w:t>
      </w:r>
    </w:p>
    <w:p w14:paraId="27A5C1A8" w14:textId="77777777" w:rsidR="00CE429F" w:rsidRDefault="00CE429F" w:rsidP="00CE429F">
      <w:pPr>
        <w:spacing w:after="0" w:line="276" w:lineRule="auto"/>
        <w:rPr>
          <w:rFonts w:ascii="Arial Narrow" w:eastAsia="Times New Roman" w:hAnsi="Arial Narrow" w:cs="Times New Roman"/>
          <w:color w:val="000000"/>
          <w:kern w:val="0"/>
          <w:lang w:eastAsia="sk-SK"/>
          <w14:ligatures w14:val="none"/>
        </w:rPr>
      </w:pPr>
    </w:p>
    <w:p w14:paraId="1464055A" w14:textId="71821D2A" w:rsidR="00CE429F" w:rsidRPr="00CE429F" w:rsidRDefault="00CE429F" w:rsidP="00CE429F">
      <w:pPr>
        <w:spacing w:after="0" w:line="276" w:lineRule="auto"/>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 xml:space="preserve">f) k sume získanej v súlade s písmenom e) sa prípadne pripočíta suma 1 EUR za rok na tonu ekvivalentu </w:t>
      </w:r>
      <w:proofErr w:type="spellStart"/>
      <w:r w:rsidRPr="00CE429F">
        <w:rPr>
          <w:rFonts w:ascii="Arial Narrow" w:eastAsia="Times New Roman" w:hAnsi="Arial Narrow" w:cs="Times New Roman"/>
          <w:color w:val="000000"/>
          <w:kern w:val="0"/>
          <w:lang w:eastAsia="sk-SK"/>
          <w14:ligatures w14:val="none"/>
        </w:rPr>
        <w:t>CO2</w:t>
      </w:r>
      <w:proofErr w:type="spellEnd"/>
      <w:r w:rsidRPr="00CE429F">
        <w:rPr>
          <w:rFonts w:ascii="Arial Narrow" w:eastAsia="Times New Roman" w:hAnsi="Arial Narrow" w:cs="Times New Roman"/>
          <w:color w:val="000000"/>
          <w:kern w:val="0"/>
          <w:lang w:eastAsia="sk-SK"/>
          <w14:ligatures w14:val="none"/>
        </w:rPr>
        <w:t xml:space="preserve">, ktorá sa uplatňuje na podiel daného regiónu z hľadiska počtu obyvateľov na počte ton ekvivalentu </w:t>
      </w:r>
      <w:proofErr w:type="spellStart"/>
      <w:r w:rsidRPr="00CE429F">
        <w:rPr>
          <w:rFonts w:ascii="Arial Narrow" w:eastAsia="Times New Roman" w:hAnsi="Arial Narrow" w:cs="Times New Roman"/>
          <w:color w:val="000000"/>
          <w:kern w:val="0"/>
          <w:lang w:eastAsia="sk-SK"/>
          <w14:ligatures w14:val="none"/>
        </w:rPr>
        <w:t>CO2</w:t>
      </w:r>
      <w:proofErr w:type="spellEnd"/>
      <w:r w:rsidRPr="00CE429F">
        <w:rPr>
          <w:rFonts w:ascii="Arial Narrow" w:eastAsia="Times New Roman" w:hAnsi="Arial Narrow" w:cs="Times New Roman"/>
          <w:color w:val="000000"/>
          <w:kern w:val="0"/>
          <w:lang w:eastAsia="sk-SK"/>
          <w14:ligatures w14:val="none"/>
        </w:rPr>
        <w:t xml:space="preserve">, o ktorý </w:t>
      </w:r>
      <w:r w:rsidRPr="00CE429F">
        <w:rPr>
          <w:rFonts w:ascii="Arial Narrow" w:eastAsia="Times New Roman" w:hAnsi="Arial Narrow" w:cs="Times New Roman"/>
          <w:color w:val="000000"/>
          <w:kern w:val="0"/>
          <w:lang w:eastAsia="sk-SK"/>
          <w14:ligatures w14:val="none"/>
        </w:rPr>
        <w:lastRenderedPageBreak/>
        <w:t>členský štát prekračuje cieľ emisií skleníkových plynov nad rámec schémy obchodovania s emisiami stanovenej na rok 2030, ako navrhla Komisia v roku 2016;</w:t>
      </w:r>
    </w:p>
    <w:p w14:paraId="3DED3D67" w14:textId="77777777" w:rsidR="00CE429F" w:rsidRDefault="00CE429F" w:rsidP="00CE429F">
      <w:pPr>
        <w:spacing w:after="0" w:line="276" w:lineRule="auto"/>
        <w:rPr>
          <w:rFonts w:ascii="Arial Narrow" w:eastAsia="Times New Roman" w:hAnsi="Arial Narrow" w:cs="Times New Roman"/>
          <w:color w:val="000000"/>
          <w:kern w:val="0"/>
          <w:lang w:eastAsia="sk-SK"/>
          <w14:ligatures w14:val="none"/>
        </w:rPr>
      </w:pPr>
    </w:p>
    <w:p w14:paraId="50B25B65" w14:textId="2C546D2E" w:rsidR="00CE429F" w:rsidRDefault="00CE429F" w:rsidP="00CE429F">
      <w:pPr>
        <w:spacing w:after="0" w:line="276" w:lineRule="auto"/>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g) k sume získanej v súlade s písmenom f) sa pripočíta suma vyplývajúca z pridelenia príspevku 405 EUR za rok na každú osobu, ktorá sa uplatňuje na podiel regiónu z hľadiska počtu obyvateľov na čistej migrácii z krajín mimo EÚ do daného členského štátu od 1. januára 2014.</w:t>
      </w:r>
    </w:p>
    <w:p w14:paraId="6C0607BD" w14:textId="77777777" w:rsidR="00CE429F" w:rsidRDefault="00CE429F" w:rsidP="00CE429F">
      <w:pPr>
        <w:spacing w:after="0" w:line="276" w:lineRule="auto"/>
        <w:rPr>
          <w:rFonts w:ascii="Arial Narrow" w:eastAsia="Times New Roman" w:hAnsi="Arial Narrow" w:cs="Times New Roman"/>
          <w:color w:val="000000"/>
          <w:kern w:val="0"/>
          <w:lang w:eastAsia="sk-SK"/>
          <w14:ligatures w14:val="none"/>
        </w:rPr>
      </w:pPr>
    </w:p>
    <w:p w14:paraId="142CE81C" w14:textId="77777777" w:rsidR="00CE429F" w:rsidRDefault="00CE429F" w:rsidP="00CE429F">
      <w:pPr>
        <w:spacing w:after="0" w:line="276" w:lineRule="auto"/>
        <w:rPr>
          <w:rFonts w:ascii="Arial Narrow" w:eastAsia="Times New Roman" w:hAnsi="Arial Narrow" w:cs="Times New Roman"/>
          <w:color w:val="000000"/>
          <w:kern w:val="0"/>
          <w:lang w:eastAsia="sk-SK"/>
          <w14:ligatures w14:val="none"/>
        </w:rPr>
      </w:pPr>
    </w:p>
    <w:p w14:paraId="2A9AC36C" w14:textId="1D5566FD" w:rsidR="00CE429F" w:rsidRPr="00CE429F" w:rsidRDefault="00CE429F" w:rsidP="00CE429F">
      <w:pPr>
        <w:spacing w:after="0" w:line="240" w:lineRule="auto"/>
        <w:rPr>
          <w:rFonts w:ascii="Arial Narrow" w:eastAsia="Times New Roman" w:hAnsi="Arial Narrow" w:cs="Times New Roman"/>
          <w:b/>
          <w:bCs/>
          <w:color w:val="000000"/>
          <w:kern w:val="0"/>
          <w:lang w:eastAsia="sk-SK"/>
          <w14:ligatures w14:val="none"/>
        </w:rPr>
      </w:pPr>
      <w:r w:rsidRPr="00CE429F">
        <w:rPr>
          <w:rFonts w:ascii="Arial Narrow" w:eastAsia="Times New Roman" w:hAnsi="Arial Narrow" w:cs="Times New Roman"/>
          <w:b/>
          <w:bCs/>
          <w:color w:val="000000"/>
          <w:kern w:val="0"/>
          <w:lang w:eastAsia="sk-SK"/>
          <w14:ligatures w14:val="none"/>
        </w:rPr>
        <w:t>Metóda prideľovania finančných prostriedkov pre rozvinutejšie regióny oprávnené v rámci cieľa Investovanie do zamestnanosti a</w:t>
      </w:r>
      <w:r w:rsidRPr="00CE429F">
        <w:rPr>
          <w:rFonts w:ascii="Arial Narrow" w:eastAsia="Times New Roman" w:hAnsi="Arial Narrow" w:cs="Times New Roman"/>
          <w:b/>
          <w:bCs/>
          <w:color w:val="000000"/>
          <w:kern w:val="0"/>
          <w:lang w:eastAsia="sk-SK"/>
          <w14:ligatures w14:val="none"/>
        </w:rPr>
        <w:t> </w:t>
      </w:r>
      <w:r w:rsidRPr="00CE429F">
        <w:rPr>
          <w:rFonts w:ascii="Arial Narrow" w:eastAsia="Times New Roman" w:hAnsi="Arial Narrow" w:cs="Times New Roman"/>
          <w:b/>
          <w:bCs/>
          <w:color w:val="000000"/>
          <w:kern w:val="0"/>
          <w:lang w:eastAsia="sk-SK"/>
          <w14:ligatures w14:val="none"/>
        </w:rPr>
        <w:t>rastu</w:t>
      </w:r>
    </w:p>
    <w:p w14:paraId="0E970BCE" w14:textId="77777777" w:rsidR="00CE429F" w:rsidRPr="00CE429F" w:rsidRDefault="00CE429F" w:rsidP="00CE429F">
      <w:pPr>
        <w:spacing w:after="0" w:line="240" w:lineRule="auto"/>
        <w:rPr>
          <w:rFonts w:ascii="Arial Narrow" w:eastAsia="Times New Roman" w:hAnsi="Arial Narrow" w:cs="Times New Roman"/>
          <w:color w:val="000000"/>
          <w:kern w:val="0"/>
          <w:lang w:eastAsia="sk-SK"/>
          <w14:ligatures w14:val="none"/>
        </w:rPr>
      </w:pPr>
    </w:p>
    <w:p w14:paraId="0A609901" w14:textId="0E47D97C" w:rsidR="00CE429F" w:rsidRDefault="00CE429F" w:rsidP="00CE429F">
      <w:pPr>
        <w:spacing w:after="0" w:line="276" w:lineRule="auto"/>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48. Celková výška počiatočného teoretického finančného krytia sa získa vynásobením intenzity pomoci na obyvateľa ročne na úrovni 15,2 EUR počtom oprávnených obyvateľov.</w:t>
      </w:r>
    </w:p>
    <w:p w14:paraId="1BABEE79" w14:textId="77777777" w:rsidR="00CE429F" w:rsidRDefault="00CE429F" w:rsidP="00CE429F">
      <w:pPr>
        <w:spacing w:after="0" w:line="276" w:lineRule="auto"/>
        <w:rPr>
          <w:rFonts w:ascii="Arial Narrow" w:eastAsia="Times New Roman" w:hAnsi="Arial Narrow" w:cs="Times New Roman"/>
          <w:color w:val="000000"/>
          <w:kern w:val="0"/>
          <w:lang w:eastAsia="sk-SK"/>
          <w14:ligatures w14:val="none"/>
        </w:rPr>
      </w:pPr>
    </w:p>
    <w:p w14:paraId="5B23ECC2" w14:textId="53954792" w:rsidR="00CE429F" w:rsidRPr="00CE429F" w:rsidRDefault="00CE429F" w:rsidP="00CE429F">
      <w:pPr>
        <w:spacing w:after="0" w:line="276" w:lineRule="auto"/>
        <w:rPr>
          <w:rFonts w:ascii="Arial Narrow" w:eastAsia="Times New Roman" w:hAnsi="Arial Narrow" w:cs="Times New Roman"/>
          <w:color w:val="000000"/>
          <w:kern w:val="0"/>
          <w:lang w:eastAsia="sk-SK"/>
          <w14:ligatures w14:val="none"/>
        </w:rPr>
      </w:pPr>
      <w:r>
        <w:rPr>
          <w:rFonts w:ascii="Arial Narrow" w:eastAsia="Times New Roman" w:hAnsi="Arial Narrow" w:cs="Times New Roman"/>
          <w:color w:val="000000"/>
          <w:kern w:val="0"/>
          <w:lang w:eastAsia="sk-SK"/>
          <w14:ligatures w14:val="none"/>
        </w:rPr>
        <w:t xml:space="preserve">49. </w:t>
      </w:r>
      <w:r w:rsidRPr="00CE429F">
        <w:rPr>
          <w:rFonts w:ascii="Arial Narrow" w:eastAsia="Times New Roman" w:hAnsi="Arial Narrow" w:cs="Times New Roman"/>
          <w:color w:val="000000"/>
          <w:kern w:val="0"/>
          <w:lang w:eastAsia="sk-SK"/>
          <w14:ligatures w14:val="none"/>
        </w:rPr>
        <w:t>Podiel každého dotknutého členského štátu bude súčtom podielov jeho oprávnených regiónov, ktoré sa určia na základe nasledujúcich kritérií, vážených takto:</w:t>
      </w:r>
    </w:p>
    <w:p w14:paraId="491049E1" w14:textId="77777777" w:rsidR="00CE429F" w:rsidRDefault="00CE429F" w:rsidP="00CE429F">
      <w:pPr>
        <w:spacing w:after="0" w:line="276" w:lineRule="auto"/>
        <w:rPr>
          <w:rFonts w:ascii="Arial Narrow" w:eastAsia="Times New Roman" w:hAnsi="Arial Narrow" w:cs="Times New Roman"/>
          <w:color w:val="000000"/>
          <w:kern w:val="0"/>
          <w:lang w:eastAsia="sk-SK"/>
          <w14:ligatures w14:val="none"/>
        </w:rPr>
      </w:pPr>
    </w:p>
    <w:p w14:paraId="0C3EABB1" w14:textId="7F4D06F1" w:rsidR="00CE429F" w:rsidRPr="00CE429F" w:rsidRDefault="00CE429F" w:rsidP="00CE429F">
      <w:pPr>
        <w:spacing w:after="0" w:line="276" w:lineRule="auto"/>
        <w:ind w:left="567"/>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a) celkový počet obyvateľov regiónu (váha 20 %);</w:t>
      </w:r>
    </w:p>
    <w:p w14:paraId="411A1E8D" w14:textId="109FF65A" w:rsidR="00CE429F" w:rsidRPr="00CE429F" w:rsidRDefault="00CE429F" w:rsidP="00CE429F">
      <w:pPr>
        <w:spacing w:after="0" w:line="276" w:lineRule="auto"/>
        <w:ind w:left="567"/>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 xml:space="preserve">b) počet nezamestnaných ľudí v regiónoch úrovne </w:t>
      </w:r>
      <w:proofErr w:type="spellStart"/>
      <w:r w:rsidRPr="00CE429F">
        <w:rPr>
          <w:rFonts w:ascii="Arial Narrow" w:eastAsia="Times New Roman" w:hAnsi="Arial Narrow" w:cs="Times New Roman"/>
          <w:color w:val="000000"/>
          <w:kern w:val="0"/>
          <w:lang w:eastAsia="sk-SK"/>
          <w14:ligatures w14:val="none"/>
        </w:rPr>
        <w:t>NUTS</w:t>
      </w:r>
      <w:proofErr w:type="spellEnd"/>
      <w:r w:rsidRPr="00CE429F">
        <w:rPr>
          <w:rFonts w:ascii="Arial Narrow" w:eastAsia="Times New Roman" w:hAnsi="Arial Narrow" w:cs="Times New Roman"/>
          <w:color w:val="000000"/>
          <w:kern w:val="0"/>
          <w:lang w:eastAsia="sk-SK"/>
          <w14:ligatures w14:val="none"/>
        </w:rPr>
        <w:t xml:space="preserve"> 2 s vyššou mierou</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nezamestnanosti ako priemer všetkých rozvinutejších regiónov (váha 12,5 %);</w:t>
      </w:r>
    </w:p>
    <w:p w14:paraId="4A1A2B6E" w14:textId="082371B1" w:rsidR="00CE429F" w:rsidRPr="00CE429F" w:rsidRDefault="00CE429F" w:rsidP="00CE429F">
      <w:pPr>
        <w:spacing w:after="0" w:line="276" w:lineRule="auto"/>
        <w:ind w:left="567"/>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c) zamestnanosť, ktorá sa má pripočítať, aby sa dosiahla priemerná miera zamestnanosti</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(vo vekovej skupine 20 až 64 rokov) všetkých rozvinutejších regiónov (váha 20 %);</w:t>
      </w:r>
    </w:p>
    <w:p w14:paraId="04466098" w14:textId="0A861DA3" w:rsidR="00CE429F" w:rsidRPr="00CE429F" w:rsidRDefault="00CE429F" w:rsidP="00CE429F">
      <w:pPr>
        <w:spacing w:after="0" w:line="276" w:lineRule="auto"/>
        <w:ind w:left="567"/>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d) počet osôb vo veku 30 až 34 rokov, ktoré dosiahli terciárne vzdelanie, ktorý sa má</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pripočítať, aby sa dosiahla priemerná miera terciárneho vzdelania (vo vekovej skupine</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30 až 34 rokov) všetkých rozvinutejších regiónov (váha 22,5 %);</w:t>
      </w:r>
    </w:p>
    <w:p w14:paraId="21C6A556" w14:textId="292D31FA" w:rsidR="00CE429F" w:rsidRPr="00CE429F" w:rsidRDefault="00CE429F" w:rsidP="00CE429F">
      <w:pPr>
        <w:spacing w:after="0" w:line="276" w:lineRule="auto"/>
        <w:ind w:left="567"/>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e) počet osôb, ktoré predčasne ukončili školskú dochádzku a odbornú prípravu (vo vekovej</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skupine 18 až 24 rokov), ktorý sa má odpočítať, aby sa dosiahla priemerná miera</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predčasného ukončenia školskej dochádzky a odbornej prípravy (vo vekovej skupine 18</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až 24 rokov) všetkých rozvinutejších regiónov (váha 15 %);</w:t>
      </w:r>
    </w:p>
    <w:p w14:paraId="668E46DF" w14:textId="6D752F58" w:rsidR="00CE429F" w:rsidRPr="00CE429F" w:rsidRDefault="00CE429F" w:rsidP="00CE429F">
      <w:pPr>
        <w:spacing w:after="0" w:line="276" w:lineRule="auto"/>
        <w:ind w:left="567"/>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 xml:space="preserve">f) rozdiel medzi nameraným HDP regiónu (v </w:t>
      </w:r>
      <w:proofErr w:type="spellStart"/>
      <w:r w:rsidRPr="00CE429F">
        <w:rPr>
          <w:rFonts w:ascii="Arial Narrow" w:eastAsia="Times New Roman" w:hAnsi="Arial Narrow" w:cs="Times New Roman"/>
          <w:color w:val="000000"/>
          <w:kern w:val="0"/>
          <w:lang w:eastAsia="sk-SK"/>
          <w14:ligatures w14:val="none"/>
        </w:rPr>
        <w:t>PKS</w:t>
      </w:r>
      <w:proofErr w:type="spellEnd"/>
      <w:r w:rsidRPr="00CE429F">
        <w:rPr>
          <w:rFonts w:ascii="Arial Narrow" w:eastAsia="Times New Roman" w:hAnsi="Arial Narrow" w:cs="Times New Roman"/>
          <w:color w:val="000000"/>
          <w:kern w:val="0"/>
          <w:lang w:eastAsia="sk-SK"/>
          <w14:ligatures w14:val="none"/>
        </w:rPr>
        <w:t>) a teoretickým regionálnym HDP, ktorý</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by sa dosiahol, ak by región mal rovnaké HDP na obyvateľa ako najprosperujúcejší</w:t>
      </w:r>
      <w:r>
        <w:rPr>
          <w:rFonts w:ascii="Arial Narrow" w:eastAsia="Times New Roman" w:hAnsi="Arial Narrow" w:cs="Times New Roman"/>
          <w:color w:val="000000"/>
          <w:kern w:val="0"/>
          <w:lang w:eastAsia="sk-SK"/>
          <w14:ligatures w14:val="none"/>
        </w:rPr>
        <w:t xml:space="preserve"> </w:t>
      </w:r>
      <w:r w:rsidRPr="00CE429F">
        <w:rPr>
          <w:rFonts w:ascii="Arial Narrow" w:eastAsia="Times New Roman" w:hAnsi="Arial Narrow" w:cs="Times New Roman"/>
          <w:color w:val="000000"/>
          <w:kern w:val="0"/>
          <w:lang w:eastAsia="sk-SK"/>
          <w14:ligatures w14:val="none"/>
        </w:rPr>
        <w:t xml:space="preserve">región úrovne </w:t>
      </w:r>
      <w:proofErr w:type="spellStart"/>
      <w:r w:rsidRPr="00CE429F">
        <w:rPr>
          <w:rFonts w:ascii="Arial Narrow" w:eastAsia="Times New Roman" w:hAnsi="Arial Narrow" w:cs="Times New Roman"/>
          <w:color w:val="000000"/>
          <w:kern w:val="0"/>
          <w:lang w:eastAsia="sk-SK"/>
          <w14:ligatures w14:val="none"/>
        </w:rPr>
        <w:t>NUTS</w:t>
      </w:r>
      <w:proofErr w:type="spellEnd"/>
      <w:r w:rsidRPr="00CE429F">
        <w:rPr>
          <w:rFonts w:ascii="Arial Narrow" w:eastAsia="Times New Roman" w:hAnsi="Arial Narrow" w:cs="Times New Roman"/>
          <w:color w:val="000000"/>
          <w:kern w:val="0"/>
          <w:lang w:eastAsia="sk-SK"/>
          <w14:ligatures w14:val="none"/>
        </w:rPr>
        <w:t xml:space="preserve"> 2 (váha 7,5 %);</w:t>
      </w:r>
    </w:p>
    <w:p w14:paraId="7B41BB64" w14:textId="77777777" w:rsidR="00CE429F" w:rsidRPr="00CE429F" w:rsidRDefault="00CE429F" w:rsidP="00CE429F">
      <w:pPr>
        <w:spacing w:after="0" w:line="276" w:lineRule="auto"/>
        <w:ind w:left="567"/>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 xml:space="preserve">g) obyvateľstvo regiónov úrovne </w:t>
      </w:r>
      <w:proofErr w:type="spellStart"/>
      <w:r w:rsidRPr="00CE429F">
        <w:rPr>
          <w:rFonts w:ascii="Arial Narrow" w:eastAsia="Times New Roman" w:hAnsi="Arial Narrow" w:cs="Times New Roman"/>
          <w:color w:val="000000"/>
          <w:kern w:val="0"/>
          <w:lang w:eastAsia="sk-SK"/>
          <w14:ligatures w14:val="none"/>
        </w:rPr>
        <w:t>NUTS</w:t>
      </w:r>
      <w:proofErr w:type="spellEnd"/>
      <w:r w:rsidRPr="00CE429F">
        <w:rPr>
          <w:rFonts w:ascii="Arial Narrow" w:eastAsia="Times New Roman" w:hAnsi="Arial Narrow" w:cs="Times New Roman"/>
          <w:color w:val="000000"/>
          <w:kern w:val="0"/>
          <w:lang w:eastAsia="sk-SK"/>
          <w14:ligatures w14:val="none"/>
        </w:rPr>
        <w:t xml:space="preserve"> 3 s hustotou obyvateľstva pod 12,5 obyvateľa/</w:t>
      </w:r>
      <w:proofErr w:type="spellStart"/>
      <w:r w:rsidRPr="00CE429F">
        <w:rPr>
          <w:rFonts w:ascii="Arial Narrow" w:eastAsia="Times New Roman" w:hAnsi="Arial Narrow" w:cs="Times New Roman"/>
          <w:color w:val="000000"/>
          <w:kern w:val="0"/>
          <w:lang w:eastAsia="sk-SK"/>
          <w14:ligatures w14:val="none"/>
        </w:rPr>
        <w:t>km2</w:t>
      </w:r>
      <w:proofErr w:type="spellEnd"/>
    </w:p>
    <w:p w14:paraId="508F205A" w14:textId="1DD903B9" w:rsidR="00CE429F" w:rsidRDefault="00CE429F" w:rsidP="00CE429F">
      <w:pPr>
        <w:spacing w:after="0" w:line="276" w:lineRule="auto"/>
        <w:ind w:left="567"/>
        <w:rPr>
          <w:rFonts w:ascii="Arial Narrow" w:eastAsia="Times New Roman" w:hAnsi="Arial Narrow" w:cs="Times New Roman"/>
          <w:color w:val="000000"/>
          <w:kern w:val="0"/>
          <w:lang w:eastAsia="sk-SK"/>
          <w14:ligatures w14:val="none"/>
        </w:rPr>
      </w:pPr>
      <w:r w:rsidRPr="00CE429F">
        <w:rPr>
          <w:rFonts w:ascii="Arial Narrow" w:eastAsia="Times New Roman" w:hAnsi="Arial Narrow" w:cs="Times New Roman"/>
          <w:color w:val="000000"/>
          <w:kern w:val="0"/>
          <w:lang w:eastAsia="sk-SK"/>
          <w14:ligatures w14:val="none"/>
        </w:rPr>
        <w:t>(váha 2,5 %).</w:t>
      </w:r>
    </w:p>
    <w:p w14:paraId="60D11032" w14:textId="77777777" w:rsidR="00CE429F" w:rsidRDefault="00CE429F" w:rsidP="00CE429F">
      <w:pPr>
        <w:spacing w:after="0" w:line="276" w:lineRule="auto"/>
        <w:rPr>
          <w:rFonts w:ascii="Arial Narrow" w:eastAsia="Times New Roman" w:hAnsi="Arial Narrow" w:cs="Times New Roman"/>
          <w:color w:val="000000"/>
          <w:kern w:val="0"/>
          <w:lang w:eastAsia="sk-SK"/>
          <w14:ligatures w14:val="none"/>
        </w:rPr>
      </w:pPr>
    </w:p>
    <w:p w14:paraId="45DAC47D" w14:textId="53878249" w:rsidR="00CE429F" w:rsidRDefault="00CE429F" w:rsidP="00CE429F">
      <w:pPr>
        <w:spacing w:after="0" w:line="276" w:lineRule="auto"/>
        <w:rPr>
          <w:rFonts w:ascii="Arial Narrow" w:hAnsi="Arial Narrow" w:cs="Times New Roman"/>
          <w:color w:val="000000"/>
        </w:rPr>
      </w:pPr>
      <w:r>
        <w:rPr>
          <w:rFonts w:ascii="Arial Narrow" w:hAnsi="Arial Narrow" w:cs="Times New Roman"/>
          <w:color w:val="000000"/>
        </w:rPr>
        <w:t xml:space="preserve">50. </w:t>
      </w:r>
      <w:r w:rsidRPr="00CE429F">
        <w:rPr>
          <w:rFonts w:ascii="Arial Narrow" w:hAnsi="Arial Narrow" w:cs="Times New Roman"/>
          <w:color w:val="000000"/>
        </w:rPr>
        <w:t xml:space="preserve">K sumám, ktoré región úrovne </w:t>
      </w:r>
      <w:proofErr w:type="spellStart"/>
      <w:r w:rsidRPr="00CE429F">
        <w:rPr>
          <w:rFonts w:ascii="Arial Narrow" w:hAnsi="Arial Narrow" w:cs="Times New Roman"/>
          <w:color w:val="000000"/>
        </w:rPr>
        <w:t>NUTS</w:t>
      </w:r>
      <w:proofErr w:type="spellEnd"/>
      <w:r w:rsidRPr="00CE429F">
        <w:rPr>
          <w:rFonts w:ascii="Arial Narrow" w:hAnsi="Arial Narrow" w:cs="Times New Roman"/>
          <w:color w:val="000000"/>
        </w:rPr>
        <w:t xml:space="preserve"> 2 získa v súlade s bodom 44</w:t>
      </w:r>
      <w:r w:rsidRPr="00CE429F">
        <w:rPr>
          <w:rFonts w:ascii="Arial Narrow" w:hAnsi="Arial Narrow"/>
          <w:color w:val="000000"/>
        </w:rPr>
        <w:t xml:space="preserve">, sa prípadne pripočíta </w:t>
      </w:r>
      <w:r w:rsidRPr="00CE429F">
        <w:rPr>
          <w:rFonts w:ascii="Arial Narrow" w:hAnsi="Arial Narrow" w:cs="Times New Roman"/>
          <w:color w:val="000000"/>
        </w:rPr>
        <w:t xml:space="preserve">suma 1 EUR za rok na tonu ekvivalentu </w:t>
      </w:r>
      <w:proofErr w:type="spellStart"/>
      <w:r w:rsidRPr="00CE429F">
        <w:rPr>
          <w:rFonts w:ascii="Arial Narrow" w:hAnsi="Arial Narrow" w:cs="Times New Roman"/>
          <w:color w:val="000000"/>
        </w:rPr>
        <w:t>CO2</w:t>
      </w:r>
      <w:proofErr w:type="spellEnd"/>
      <w:r w:rsidRPr="00CE429F">
        <w:rPr>
          <w:rFonts w:ascii="Arial Narrow" w:hAnsi="Arial Narrow"/>
          <w:color w:val="000000"/>
        </w:rPr>
        <w:t xml:space="preserve">, ktorá sa uplatňuje </w:t>
      </w:r>
      <w:r w:rsidRPr="00CE429F">
        <w:rPr>
          <w:rFonts w:ascii="Arial Narrow" w:hAnsi="Arial Narrow" w:cs="Times New Roman"/>
          <w:color w:val="000000"/>
        </w:rPr>
        <w:t xml:space="preserve">na podiel daného regiónu z </w:t>
      </w:r>
      <w:r w:rsidRPr="00CE429F">
        <w:rPr>
          <w:rFonts w:ascii="Arial Narrow" w:hAnsi="Arial Narrow"/>
          <w:color w:val="000000"/>
        </w:rPr>
        <w:t xml:space="preserve">hľadiska počtu obyvateľov </w:t>
      </w:r>
      <w:r w:rsidRPr="00CE429F">
        <w:rPr>
          <w:rFonts w:ascii="Arial Narrow" w:hAnsi="Arial Narrow" w:cs="Times New Roman"/>
          <w:color w:val="000000"/>
        </w:rPr>
        <w:t xml:space="preserve">na </w:t>
      </w:r>
      <w:r w:rsidRPr="00CE429F">
        <w:rPr>
          <w:rFonts w:ascii="Arial Narrow" w:hAnsi="Arial Narrow"/>
          <w:color w:val="000000"/>
        </w:rPr>
        <w:t xml:space="preserve">počte ton ekvivalentu </w:t>
      </w:r>
      <w:proofErr w:type="spellStart"/>
      <w:r w:rsidRPr="00CE429F">
        <w:rPr>
          <w:rFonts w:ascii="Arial Narrow" w:hAnsi="Arial Narrow"/>
          <w:color w:val="000000"/>
        </w:rPr>
        <w:t>CO</w:t>
      </w:r>
      <w:r w:rsidRPr="00CE429F">
        <w:rPr>
          <w:rFonts w:ascii="Arial Narrow" w:hAnsi="Arial Narrow" w:cs="Times New Roman"/>
          <w:color w:val="000000"/>
        </w:rPr>
        <w:t>2</w:t>
      </w:r>
      <w:proofErr w:type="spellEnd"/>
      <w:r w:rsidRPr="00CE429F">
        <w:rPr>
          <w:rFonts w:ascii="Arial Narrow" w:hAnsi="Arial Narrow" w:cs="Times New Roman"/>
          <w:color w:val="000000"/>
        </w:rPr>
        <w:t xml:space="preserve">, o </w:t>
      </w:r>
      <w:r w:rsidRPr="00CE429F">
        <w:rPr>
          <w:rFonts w:ascii="Arial Narrow" w:hAnsi="Arial Narrow"/>
          <w:color w:val="000000"/>
        </w:rPr>
        <w:t xml:space="preserve">ktorý členský štát prekračuje cieľ emisií skleníkových plynov nad rámec schémy obchodovania </w:t>
      </w:r>
      <w:r w:rsidRPr="00CE429F">
        <w:rPr>
          <w:rFonts w:ascii="Arial Narrow" w:hAnsi="Arial Narrow" w:cs="Times New Roman"/>
          <w:color w:val="000000"/>
        </w:rPr>
        <w:t>s emisiami stanovenej na rok 2030, ako navrhla Komisia v roku 2016</w:t>
      </w:r>
    </w:p>
    <w:p w14:paraId="259E4A3D" w14:textId="77777777" w:rsidR="00092409" w:rsidRDefault="00092409" w:rsidP="00CE429F">
      <w:pPr>
        <w:spacing w:after="0" w:line="276" w:lineRule="auto"/>
        <w:rPr>
          <w:rFonts w:ascii="Arial Narrow" w:hAnsi="Arial Narrow" w:cs="Times New Roman"/>
          <w:color w:val="000000"/>
        </w:rPr>
      </w:pPr>
    </w:p>
    <w:p w14:paraId="4E6F36CA" w14:textId="0B440473" w:rsidR="00092409" w:rsidRDefault="00092409" w:rsidP="00CE429F">
      <w:pPr>
        <w:spacing w:after="0" w:line="276" w:lineRule="auto"/>
        <w:rPr>
          <w:rFonts w:ascii="Arial Narrow" w:hAnsi="Arial Narrow" w:cs="Times New Roman"/>
          <w:color w:val="000000"/>
        </w:rPr>
      </w:pPr>
      <w:r w:rsidRPr="00092409">
        <w:rPr>
          <w:rFonts w:ascii="Arial Narrow" w:hAnsi="Arial Narrow" w:cs="Times New Roman"/>
          <w:color w:val="000000"/>
        </w:rPr>
        <w:t xml:space="preserve">51. K sumám, ktoré región úrovne </w:t>
      </w:r>
      <w:proofErr w:type="spellStart"/>
      <w:r w:rsidRPr="00092409">
        <w:rPr>
          <w:rFonts w:ascii="Arial Narrow" w:hAnsi="Arial Narrow" w:cs="Times New Roman"/>
          <w:color w:val="000000"/>
        </w:rPr>
        <w:t>NUTS</w:t>
      </w:r>
      <w:proofErr w:type="spellEnd"/>
      <w:r w:rsidRPr="00092409">
        <w:rPr>
          <w:rFonts w:ascii="Arial Narrow" w:hAnsi="Arial Narrow" w:cs="Times New Roman"/>
          <w:color w:val="000000"/>
        </w:rPr>
        <w:t xml:space="preserve"> 2 získa v súlade s bodom 45</w:t>
      </w:r>
      <w:r w:rsidRPr="00092409">
        <w:rPr>
          <w:rFonts w:ascii="Arial Narrow" w:hAnsi="Arial Narrow"/>
          <w:color w:val="000000"/>
        </w:rPr>
        <w:t xml:space="preserve">, sa pripočíta suma </w:t>
      </w:r>
      <w:r w:rsidRPr="00092409">
        <w:rPr>
          <w:rFonts w:ascii="Arial Narrow" w:hAnsi="Arial Narrow" w:cs="Times New Roman"/>
          <w:color w:val="000000"/>
        </w:rPr>
        <w:t xml:space="preserve">vyplývajúca z pridelenia príspevku 405 EUR za rok na </w:t>
      </w:r>
      <w:r w:rsidRPr="00092409">
        <w:rPr>
          <w:rFonts w:ascii="Arial Narrow" w:hAnsi="Arial Narrow"/>
          <w:color w:val="000000"/>
        </w:rPr>
        <w:t xml:space="preserve">každú osobu, ktorá sa uplatňuje </w:t>
      </w:r>
      <w:r w:rsidRPr="00092409">
        <w:rPr>
          <w:rFonts w:ascii="Arial Narrow" w:hAnsi="Arial Narrow" w:cs="Times New Roman"/>
          <w:color w:val="000000"/>
        </w:rPr>
        <w:t xml:space="preserve">na podiel regiónu z </w:t>
      </w:r>
      <w:r w:rsidRPr="00092409">
        <w:rPr>
          <w:rFonts w:ascii="Arial Narrow" w:hAnsi="Arial Narrow"/>
          <w:color w:val="000000"/>
        </w:rPr>
        <w:t xml:space="preserve">hľadiska počtu obyvateľov </w:t>
      </w:r>
      <w:r w:rsidRPr="00092409">
        <w:rPr>
          <w:rFonts w:ascii="Arial Narrow" w:hAnsi="Arial Narrow" w:cs="Times New Roman"/>
          <w:color w:val="000000"/>
        </w:rPr>
        <w:t xml:space="preserve">na </w:t>
      </w:r>
      <w:r w:rsidRPr="00092409">
        <w:rPr>
          <w:rFonts w:ascii="Arial Narrow" w:hAnsi="Arial Narrow"/>
          <w:color w:val="000000"/>
        </w:rPr>
        <w:t xml:space="preserve">čistej migrácii </w:t>
      </w:r>
      <w:r w:rsidRPr="00092409">
        <w:rPr>
          <w:rFonts w:ascii="Arial Narrow" w:hAnsi="Arial Narrow" w:cs="Times New Roman"/>
          <w:color w:val="000000"/>
        </w:rPr>
        <w:t xml:space="preserve">z krajín mimo EÚ do daného </w:t>
      </w:r>
      <w:r w:rsidRPr="00092409">
        <w:rPr>
          <w:rFonts w:ascii="Arial Narrow" w:hAnsi="Arial Narrow"/>
          <w:color w:val="000000"/>
        </w:rPr>
        <w:t xml:space="preserve">členského štátu </w:t>
      </w:r>
      <w:r w:rsidRPr="00092409">
        <w:rPr>
          <w:rFonts w:ascii="Arial Narrow" w:hAnsi="Arial Narrow" w:cs="Times New Roman"/>
          <w:color w:val="000000"/>
        </w:rPr>
        <w:t>od 1. januára 2014.</w:t>
      </w:r>
    </w:p>
    <w:p w14:paraId="246ADCBB" w14:textId="77777777" w:rsidR="00092409" w:rsidRDefault="00092409" w:rsidP="00CE429F">
      <w:pPr>
        <w:spacing w:after="0" w:line="276" w:lineRule="auto"/>
        <w:rPr>
          <w:rFonts w:ascii="Arial Narrow" w:hAnsi="Arial Narrow" w:cs="Times New Roman"/>
          <w:color w:val="000000"/>
        </w:rPr>
      </w:pPr>
    </w:p>
    <w:p w14:paraId="1B0C6975" w14:textId="77777777" w:rsidR="00092409" w:rsidRPr="00092409" w:rsidRDefault="00092409" w:rsidP="00092409">
      <w:pPr>
        <w:spacing w:after="0" w:line="276" w:lineRule="auto"/>
        <w:rPr>
          <w:rFonts w:ascii="Arial Narrow" w:eastAsia="Times New Roman" w:hAnsi="Arial Narrow" w:cs="Times New Roman"/>
          <w:b/>
          <w:bCs/>
          <w:color w:val="000000"/>
          <w:kern w:val="0"/>
          <w:lang w:eastAsia="sk-SK"/>
          <w14:ligatures w14:val="none"/>
        </w:rPr>
      </w:pPr>
      <w:r w:rsidRPr="00092409">
        <w:rPr>
          <w:rFonts w:ascii="Arial Narrow" w:eastAsia="Times New Roman" w:hAnsi="Arial Narrow" w:cs="Times New Roman"/>
          <w:b/>
          <w:bCs/>
          <w:color w:val="000000"/>
          <w:kern w:val="0"/>
          <w:lang w:eastAsia="sk-SK"/>
          <w14:ligatures w14:val="none"/>
        </w:rPr>
        <w:t>Metóda prideľovania finančných prostriedkov z Kohézneho fondu pre oprávnené členské štáty</w:t>
      </w:r>
    </w:p>
    <w:p w14:paraId="49E6D9AB" w14:textId="77777777" w:rsidR="00092409" w:rsidRDefault="00092409" w:rsidP="00092409">
      <w:pPr>
        <w:spacing w:after="0" w:line="276" w:lineRule="auto"/>
        <w:rPr>
          <w:rFonts w:ascii="Arial Narrow" w:eastAsia="Times New Roman" w:hAnsi="Arial Narrow" w:cs="Times New Roman"/>
          <w:color w:val="000000"/>
          <w:kern w:val="0"/>
          <w:lang w:eastAsia="sk-SK"/>
          <w14:ligatures w14:val="none"/>
        </w:rPr>
      </w:pPr>
    </w:p>
    <w:p w14:paraId="46367031" w14:textId="67087113" w:rsidR="00092409" w:rsidRPr="00092409" w:rsidRDefault="00092409" w:rsidP="00092409">
      <w:pPr>
        <w:spacing w:after="0" w:line="276" w:lineRule="auto"/>
        <w:rPr>
          <w:rFonts w:ascii="Arial Narrow" w:eastAsia="Times New Roman" w:hAnsi="Arial Narrow" w:cs="Times New Roman"/>
          <w:color w:val="000000"/>
          <w:kern w:val="0"/>
          <w:lang w:eastAsia="sk-SK"/>
          <w14:ligatures w14:val="none"/>
        </w:rPr>
      </w:pPr>
      <w:r w:rsidRPr="00092409">
        <w:rPr>
          <w:rFonts w:ascii="Arial Narrow" w:eastAsia="Times New Roman" w:hAnsi="Arial Narrow" w:cs="Times New Roman"/>
          <w:color w:val="000000"/>
          <w:kern w:val="0"/>
          <w:lang w:eastAsia="sk-SK"/>
          <w14:ligatures w14:val="none"/>
        </w:rPr>
        <w:t xml:space="preserve">52. Finančné krytie sa získa vynásobením priemernej intenzity pomoci na obyvateľa ročne na úrovni 62,9 EUR počtom oprávnených obyvateľov. Podiel z tohto teoretického finančného krytia, ktorý je pridelený každému </w:t>
      </w:r>
      <w:r w:rsidRPr="00092409">
        <w:rPr>
          <w:rFonts w:ascii="Arial Narrow" w:eastAsia="Times New Roman" w:hAnsi="Arial Narrow" w:cs="Times New Roman"/>
          <w:color w:val="000000"/>
          <w:kern w:val="0"/>
          <w:lang w:eastAsia="sk-SK"/>
          <w14:ligatures w14:val="none"/>
        </w:rPr>
        <w:lastRenderedPageBreak/>
        <w:t>oprávnenému členskému štátu, zodpovedá percentuálnej hodnote, ktorá vychádza z jeho počtu obyvateľov, rozlohy a prosperity štátu a ktorá sa získa takto:</w:t>
      </w:r>
    </w:p>
    <w:p w14:paraId="077D7D3A" w14:textId="77777777" w:rsidR="00092409" w:rsidRDefault="00092409" w:rsidP="00092409">
      <w:pPr>
        <w:spacing w:after="0" w:line="276" w:lineRule="auto"/>
        <w:rPr>
          <w:rFonts w:ascii="Arial Narrow" w:eastAsia="Times New Roman" w:hAnsi="Arial Narrow" w:cs="Times New Roman"/>
          <w:color w:val="000000"/>
          <w:kern w:val="0"/>
          <w:lang w:eastAsia="sk-SK"/>
          <w14:ligatures w14:val="none"/>
        </w:rPr>
      </w:pPr>
    </w:p>
    <w:p w14:paraId="3EEAB71D" w14:textId="08EB67DD" w:rsidR="00092409" w:rsidRPr="00092409" w:rsidRDefault="00092409" w:rsidP="00092409">
      <w:pPr>
        <w:spacing w:after="0" w:line="276" w:lineRule="auto"/>
        <w:ind w:left="567"/>
        <w:rPr>
          <w:rFonts w:ascii="Arial Narrow" w:eastAsia="Times New Roman" w:hAnsi="Arial Narrow" w:cs="Times New Roman"/>
          <w:color w:val="000000"/>
          <w:kern w:val="0"/>
          <w:lang w:eastAsia="sk-SK"/>
          <w14:ligatures w14:val="none"/>
        </w:rPr>
      </w:pPr>
      <w:r>
        <w:rPr>
          <w:rFonts w:ascii="Arial Narrow" w:eastAsia="Times New Roman" w:hAnsi="Arial Narrow" w:cs="Times New Roman"/>
          <w:color w:val="000000"/>
          <w:kern w:val="0"/>
          <w:lang w:eastAsia="sk-SK"/>
          <w14:ligatures w14:val="none"/>
        </w:rPr>
        <w:t xml:space="preserve">a) </w:t>
      </w:r>
      <w:r w:rsidRPr="00092409">
        <w:rPr>
          <w:rFonts w:ascii="Arial Narrow" w:eastAsia="Times New Roman" w:hAnsi="Arial Narrow" w:cs="Times New Roman"/>
          <w:color w:val="000000"/>
          <w:kern w:val="0"/>
          <w:lang w:eastAsia="sk-SK"/>
          <w14:ligatures w14:val="none"/>
        </w:rPr>
        <w:t>vypočíta sa aritmetický priemer z pomeru obyvateľstva a rozlohy daného členského</w:t>
      </w:r>
      <w:r w:rsidRPr="00092409">
        <w:rPr>
          <w:rFonts w:ascii="Arial Narrow" w:eastAsia="Times New Roman" w:hAnsi="Arial Narrow" w:cs="Times New Roman"/>
          <w:color w:val="000000"/>
          <w:kern w:val="0"/>
          <w:lang w:eastAsia="sk-SK"/>
          <w14:ligatures w14:val="none"/>
        </w:rPr>
        <w:t xml:space="preserve"> </w:t>
      </w:r>
      <w:r w:rsidRPr="00092409">
        <w:rPr>
          <w:rFonts w:ascii="Arial Narrow" w:eastAsia="Times New Roman" w:hAnsi="Arial Narrow" w:cs="Times New Roman"/>
          <w:color w:val="000000"/>
          <w:kern w:val="0"/>
          <w:lang w:eastAsia="sk-SK"/>
          <w14:ligatures w14:val="none"/>
        </w:rPr>
        <w:t>štátu k celkovému počtu obyvateľov a rozlohe všetkých oprávnených členských štátov. Ak však podiel celkového počtu obyvateľov členského štátu prekročí jeho podiel celkovej rozlohy päťnásobne alebo viac, čo odráža extrémne vysokú hustotu obyvateľstva, použije sa na výpočet tohto kroku len podiel celkového počtu obyvateľov;</w:t>
      </w:r>
    </w:p>
    <w:p w14:paraId="6D12B23E" w14:textId="77777777" w:rsidR="00092409" w:rsidRDefault="00092409" w:rsidP="00092409">
      <w:pPr>
        <w:spacing w:after="0" w:line="276" w:lineRule="auto"/>
        <w:ind w:left="567"/>
        <w:rPr>
          <w:rFonts w:ascii="Arial Narrow" w:eastAsia="Times New Roman" w:hAnsi="Arial Narrow" w:cs="Times New Roman"/>
          <w:color w:val="000000"/>
          <w:kern w:val="0"/>
          <w:lang w:eastAsia="sk-SK"/>
          <w14:ligatures w14:val="none"/>
        </w:rPr>
      </w:pPr>
    </w:p>
    <w:p w14:paraId="35C9DB94" w14:textId="6F8402C3" w:rsidR="00092409" w:rsidRPr="00092409" w:rsidRDefault="00092409" w:rsidP="00092409">
      <w:pPr>
        <w:spacing w:after="0" w:line="276" w:lineRule="auto"/>
        <w:ind w:left="567"/>
        <w:rPr>
          <w:rFonts w:ascii="Arial Narrow" w:eastAsia="Times New Roman" w:hAnsi="Arial Narrow" w:cs="Times New Roman"/>
          <w:color w:val="000000"/>
          <w:kern w:val="0"/>
          <w:lang w:eastAsia="sk-SK"/>
          <w14:ligatures w14:val="none"/>
        </w:rPr>
      </w:pPr>
      <w:r w:rsidRPr="00092409">
        <w:rPr>
          <w:rFonts w:ascii="Arial Narrow" w:eastAsia="Times New Roman" w:hAnsi="Arial Narrow" w:cs="Times New Roman"/>
          <w:color w:val="000000"/>
          <w:kern w:val="0"/>
          <w:lang w:eastAsia="sk-SK"/>
          <w14:ligatures w14:val="none"/>
        </w:rPr>
        <w:t>b) takto získané percentuálne hodnoty sa upravia o koeficient, ktorý predstavuje jednu</w:t>
      </w:r>
      <w:r>
        <w:rPr>
          <w:rFonts w:ascii="Arial Narrow" w:eastAsia="Times New Roman" w:hAnsi="Arial Narrow" w:cs="Times New Roman"/>
          <w:color w:val="000000"/>
          <w:kern w:val="0"/>
          <w:lang w:eastAsia="sk-SK"/>
          <w14:ligatures w14:val="none"/>
        </w:rPr>
        <w:t xml:space="preserve"> </w:t>
      </w:r>
      <w:r w:rsidRPr="00092409">
        <w:rPr>
          <w:rFonts w:ascii="Arial Narrow" w:eastAsia="Times New Roman" w:hAnsi="Arial Narrow" w:cs="Times New Roman"/>
          <w:color w:val="000000"/>
          <w:kern w:val="0"/>
          <w:lang w:eastAsia="sk-SK"/>
          <w14:ligatures w14:val="none"/>
        </w:rPr>
        <w:t xml:space="preserve">tretinu percentuálnej hodnoty, o ktorú </w:t>
      </w:r>
      <w:proofErr w:type="spellStart"/>
      <w:r w:rsidRPr="00092409">
        <w:rPr>
          <w:rFonts w:ascii="Arial Narrow" w:eastAsia="Times New Roman" w:hAnsi="Arial Narrow" w:cs="Times New Roman"/>
          <w:color w:val="000000"/>
          <w:kern w:val="0"/>
          <w:lang w:eastAsia="sk-SK"/>
          <w14:ligatures w14:val="none"/>
        </w:rPr>
        <w:t>HND</w:t>
      </w:r>
      <w:proofErr w:type="spellEnd"/>
      <w:r w:rsidRPr="00092409">
        <w:rPr>
          <w:rFonts w:ascii="Arial Narrow" w:eastAsia="Times New Roman" w:hAnsi="Arial Narrow" w:cs="Times New Roman"/>
          <w:color w:val="000000"/>
          <w:kern w:val="0"/>
          <w:lang w:eastAsia="sk-SK"/>
          <w14:ligatures w14:val="none"/>
        </w:rPr>
        <w:t xml:space="preserve"> na obyvateľa tohto členského štátu (v </w:t>
      </w:r>
      <w:proofErr w:type="spellStart"/>
      <w:r w:rsidRPr="00092409">
        <w:rPr>
          <w:rFonts w:ascii="Arial Narrow" w:eastAsia="Times New Roman" w:hAnsi="Arial Narrow" w:cs="Times New Roman"/>
          <w:color w:val="000000"/>
          <w:kern w:val="0"/>
          <w:lang w:eastAsia="sk-SK"/>
          <w14:ligatures w14:val="none"/>
        </w:rPr>
        <w:t>PKS</w:t>
      </w:r>
      <w:proofErr w:type="spellEnd"/>
      <w:r w:rsidRPr="00092409">
        <w:rPr>
          <w:rFonts w:ascii="Arial Narrow" w:eastAsia="Times New Roman" w:hAnsi="Arial Narrow" w:cs="Times New Roman"/>
          <w:color w:val="000000"/>
          <w:kern w:val="0"/>
          <w:lang w:eastAsia="sk-SK"/>
          <w14:ligatures w14:val="none"/>
        </w:rPr>
        <w:t>)</w:t>
      </w:r>
      <w:r>
        <w:rPr>
          <w:rFonts w:ascii="Arial Narrow" w:eastAsia="Times New Roman" w:hAnsi="Arial Narrow" w:cs="Times New Roman"/>
          <w:color w:val="000000"/>
          <w:kern w:val="0"/>
          <w:lang w:eastAsia="sk-SK"/>
          <w14:ligatures w14:val="none"/>
        </w:rPr>
        <w:t xml:space="preserve"> </w:t>
      </w:r>
      <w:r w:rsidRPr="00092409">
        <w:rPr>
          <w:rFonts w:ascii="Arial Narrow" w:eastAsia="Times New Roman" w:hAnsi="Arial Narrow" w:cs="Times New Roman"/>
          <w:color w:val="000000"/>
          <w:kern w:val="0"/>
          <w:lang w:eastAsia="sk-SK"/>
          <w14:ligatures w14:val="none"/>
        </w:rPr>
        <w:t xml:space="preserve">v období 2015 – 2017 prevyšuje alebo nedosahuje priemer </w:t>
      </w:r>
      <w:proofErr w:type="spellStart"/>
      <w:r w:rsidRPr="00092409">
        <w:rPr>
          <w:rFonts w:ascii="Arial Narrow" w:eastAsia="Times New Roman" w:hAnsi="Arial Narrow" w:cs="Times New Roman"/>
          <w:color w:val="000000"/>
          <w:kern w:val="0"/>
          <w:lang w:eastAsia="sk-SK"/>
          <w14:ligatures w14:val="none"/>
        </w:rPr>
        <w:t>HND</w:t>
      </w:r>
      <w:proofErr w:type="spellEnd"/>
      <w:r w:rsidRPr="00092409">
        <w:rPr>
          <w:rFonts w:ascii="Arial Narrow" w:eastAsia="Times New Roman" w:hAnsi="Arial Narrow" w:cs="Times New Roman"/>
          <w:color w:val="000000"/>
          <w:kern w:val="0"/>
          <w:lang w:eastAsia="sk-SK"/>
          <w14:ligatures w14:val="none"/>
        </w:rPr>
        <w:t xml:space="preserve"> na obyvateľa všetkých</w:t>
      </w:r>
      <w:r>
        <w:rPr>
          <w:rFonts w:ascii="Arial Narrow" w:eastAsia="Times New Roman" w:hAnsi="Arial Narrow" w:cs="Times New Roman"/>
          <w:color w:val="000000"/>
          <w:kern w:val="0"/>
          <w:lang w:eastAsia="sk-SK"/>
          <w14:ligatures w14:val="none"/>
        </w:rPr>
        <w:t xml:space="preserve"> </w:t>
      </w:r>
      <w:r w:rsidRPr="00092409">
        <w:rPr>
          <w:rFonts w:ascii="Arial Narrow" w:eastAsia="Times New Roman" w:hAnsi="Arial Narrow" w:cs="Times New Roman"/>
          <w:color w:val="000000"/>
          <w:kern w:val="0"/>
          <w:lang w:eastAsia="sk-SK"/>
          <w14:ligatures w14:val="none"/>
        </w:rPr>
        <w:t>oprávnených členských štátov (priemer vyjadrený ako 100 %).</w:t>
      </w:r>
    </w:p>
    <w:p w14:paraId="6F6A87B0" w14:textId="77777777" w:rsidR="00092409" w:rsidRDefault="00092409" w:rsidP="00092409">
      <w:pPr>
        <w:spacing w:after="0" w:line="276" w:lineRule="auto"/>
        <w:rPr>
          <w:rFonts w:ascii="Arial Narrow" w:eastAsia="Times New Roman" w:hAnsi="Arial Narrow" w:cs="Times New Roman"/>
          <w:color w:val="000000"/>
          <w:kern w:val="0"/>
          <w:lang w:eastAsia="sk-SK"/>
          <w14:ligatures w14:val="none"/>
        </w:rPr>
      </w:pPr>
    </w:p>
    <w:p w14:paraId="4B010363" w14:textId="64E45C61" w:rsidR="00092409" w:rsidRDefault="00092409" w:rsidP="00092409">
      <w:pPr>
        <w:spacing w:after="0" w:line="276" w:lineRule="auto"/>
        <w:rPr>
          <w:rFonts w:ascii="Arial Narrow" w:eastAsia="Times New Roman" w:hAnsi="Arial Narrow" w:cs="Times New Roman"/>
          <w:color w:val="000000"/>
          <w:kern w:val="0"/>
          <w:lang w:eastAsia="sk-SK"/>
          <w14:ligatures w14:val="none"/>
        </w:rPr>
      </w:pPr>
      <w:r w:rsidRPr="00092409">
        <w:rPr>
          <w:rFonts w:ascii="Arial Narrow" w:eastAsia="Times New Roman" w:hAnsi="Arial Narrow" w:cs="Times New Roman"/>
          <w:color w:val="000000"/>
          <w:kern w:val="0"/>
          <w:lang w:eastAsia="sk-SK"/>
          <w14:ligatures w14:val="none"/>
        </w:rPr>
        <w:t xml:space="preserve">Pre každý oprávnený členský štát nebude podiel z Kohézneho fondu vyšší ako jedna tretina celkových pridelených prostriedkov mínus prostriedky pridelené na cieľ Európsky územný rozvoj po uplatnení bodov 50 až </w:t>
      </w:r>
    </w:p>
    <w:p w14:paraId="26B8C769" w14:textId="4CCF6275" w:rsidR="00092409" w:rsidRDefault="00092409" w:rsidP="00092409">
      <w:pPr>
        <w:spacing w:after="0" w:line="276" w:lineRule="auto"/>
        <w:rPr>
          <w:rFonts w:ascii="Arial Narrow" w:eastAsia="Times New Roman" w:hAnsi="Arial Narrow" w:cs="Times New Roman"/>
          <w:color w:val="000000"/>
          <w:kern w:val="0"/>
          <w:lang w:eastAsia="sk-SK"/>
          <w14:ligatures w14:val="none"/>
        </w:rPr>
      </w:pPr>
      <w:r w:rsidRPr="00092409">
        <w:rPr>
          <w:rFonts w:ascii="Arial Narrow" w:eastAsia="Times New Roman" w:hAnsi="Arial Narrow" w:cs="Times New Roman"/>
          <w:color w:val="000000"/>
          <w:kern w:val="0"/>
          <w:lang w:eastAsia="sk-SK"/>
          <w14:ligatures w14:val="none"/>
        </w:rPr>
        <w:t>55. Touto úpravou sa úmerne zvýšia všetky ostatné prevody vyplývajúce z bodov 40 až 45.</w:t>
      </w:r>
    </w:p>
    <w:p w14:paraId="5CF20998" w14:textId="77777777" w:rsidR="00092409" w:rsidRPr="00092409" w:rsidRDefault="00092409" w:rsidP="00092409">
      <w:pPr>
        <w:spacing w:after="0" w:line="276" w:lineRule="auto"/>
        <w:rPr>
          <w:rFonts w:ascii="Arial Narrow" w:eastAsia="Times New Roman" w:hAnsi="Arial Narrow" w:cs="Times New Roman"/>
          <w:color w:val="000000"/>
          <w:kern w:val="0"/>
          <w:lang w:eastAsia="sk-SK"/>
          <w14:ligatures w14:val="none"/>
        </w:rPr>
      </w:pPr>
    </w:p>
    <w:p w14:paraId="6B2B9D32" w14:textId="77777777" w:rsidR="00092409" w:rsidRPr="00092409" w:rsidRDefault="00092409" w:rsidP="00092409">
      <w:pPr>
        <w:spacing w:after="0" w:line="240" w:lineRule="auto"/>
        <w:rPr>
          <w:rFonts w:ascii="Arial Narrow" w:eastAsia="Times New Roman" w:hAnsi="Arial Narrow" w:cs="Times New Roman"/>
          <w:b/>
          <w:bCs/>
          <w:color w:val="000000"/>
          <w:kern w:val="0"/>
          <w:lang w:eastAsia="sk-SK"/>
          <w14:ligatures w14:val="none"/>
        </w:rPr>
      </w:pPr>
      <w:r w:rsidRPr="00092409">
        <w:rPr>
          <w:rFonts w:ascii="Arial Narrow" w:eastAsia="Times New Roman" w:hAnsi="Arial Narrow" w:cs="Times New Roman"/>
          <w:b/>
          <w:bCs/>
          <w:color w:val="000000"/>
          <w:kern w:val="0"/>
          <w:lang w:eastAsia="sk-SK"/>
          <w14:ligatures w14:val="none"/>
        </w:rPr>
        <w:t>Metóda prideľovania finančných prostriedkov pre cieľ Európska územná spolupráca</w:t>
      </w:r>
    </w:p>
    <w:p w14:paraId="598E7A93" w14:textId="77777777" w:rsidR="00092409" w:rsidRPr="00092409" w:rsidRDefault="00092409" w:rsidP="00092409">
      <w:pPr>
        <w:spacing w:after="0" w:line="240" w:lineRule="auto"/>
        <w:rPr>
          <w:rFonts w:ascii="Arial Narrow" w:eastAsia="Times New Roman" w:hAnsi="Arial Narrow" w:cs="Times New Roman"/>
          <w:color w:val="000000"/>
          <w:kern w:val="0"/>
          <w:lang w:eastAsia="sk-SK"/>
          <w14:ligatures w14:val="none"/>
        </w:rPr>
      </w:pPr>
    </w:p>
    <w:p w14:paraId="033A69D9" w14:textId="77777777" w:rsidR="00092409" w:rsidRPr="00092409" w:rsidRDefault="00092409" w:rsidP="00092409">
      <w:pPr>
        <w:spacing w:after="0" w:line="276" w:lineRule="auto"/>
        <w:rPr>
          <w:rFonts w:ascii="Arial Narrow" w:eastAsia="Times New Roman" w:hAnsi="Arial Narrow" w:cs="Times New Roman"/>
          <w:color w:val="000000"/>
          <w:kern w:val="0"/>
          <w:lang w:eastAsia="sk-SK"/>
          <w14:ligatures w14:val="none"/>
        </w:rPr>
      </w:pPr>
      <w:r w:rsidRPr="00092409">
        <w:rPr>
          <w:rFonts w:ascii="Arial Narrow" w:eastAsia="Times New Roman" w:hAnsi="Arial Narrow" w:cs="Times New Roman"/>
          <w:color w:val="000000"/>
          <w:kern w:val="0"/>
          <w:lang w:eastAsia="sk-SK"/>
          <w14:ligatures w14:val="none"/>
        </w:rPr>
        <w:t>53. Prideľovanie zdrojov členského štátu na cezhraničnú a nadnárodnú spoluprácu a spoluprácu najvzdialenejších regiónov sa stanoví ako vážený súčet podielov určených na základe nasledujúcich kritérií, vážených takto:</w:t>
      </w:r>
    </w:p>
    <w:p w14:paraId="75606183" w14:textId="7706FBE0" w:rsidR="00092409" w:rsidRPr="00092409" w:rsidRDefault="00092409" w:rsidP="00092409">
      <w:pPr>
        <w:spacing w:after="0" w:line="276" w:lineRule="auto"/>
        <w:ind w:left="567"/>
        <w:rPr>
          <w:rFonts w:ascii="Arial Narrow" w:eastAsia="Times New Roman" w:hAnsi="Arial Narrow" w:cs="Times New Roman"/>
          <w:color w:val="000000"/>
          <w:kern w:val="0"/>
          <w:lang w:eastAsia="sk-SK"/>
          <w14:ligatures w14:val="none"/>
        </w:rPr>
      </w:pPr>
      <w:r w:rsidRPr="00092409">
        <w:rPr>
          <w:rFonts w:ascii="Arial Narrow" w:eastAsia="Times New Roman" w:hAnsi="Arial Narrow" w:cs="Times New Roman"/>
          <w:color w:val="000000"/>
          <w:kern w:val="0"/>
          <w:lang w:eastAsia="sk-SK"/>
          <w14:ligatures w14:val="none"/>
        </w:rPr>
        <w:t xml:space="preserve">a) celkový počet obyvateľov všetkých pohraničných regiónov úrovne </w:t>
      </w:r>
      <w:proofErr w:type="spellStart"/>
      <w:r w:rsidRPr="00092409">
        <w:rPr>
          <w:rFonts w:ascii="Arial Narrow" w:eastAsia="Times New Roman" w:hAnsi="Arial Narrow" w:cs="Times New Roman"/>
          <w:color w:val="000000"/>
          <w:kern w:val="0"/>
          <w:lang w:eastAsia="sk-SK"/>
          <w14:ligatures w14:val="none"/>
        </w:rPr>
        <w:t>NUTS</w:t>
      </w:r>
      <w:proofErr w:type="spellEnd"/>
      <w:r w:rsidRPr="00092409">
        <w:rPr>
          <w:rFonts w:ascii="Arial Narrow" w:eastAsia="Times New Roman" w:hAnsi="Arial Narrow" w:cs="Times New Roman"/>
          <w:color w:val="000000"/>
          <w:kern w:val="0"/>
          <w:lang w:eastAsia="sk-SK"/>
          <w14:ligatures w14:val="none"/>
        </w:rPr>
        <w:t xml:space="preserve"> 3 a</w:t>
      </w:r>
      <w:r>
        <w:rPr>
          <w:rFonts w:ascii="Arial Narrow" w:eastAsia="Times New Roman" w:hAnsi="Arial Narrow" w:cs="Times New Roman"/>
          <w:color w:val="000000"/>
          <w:kern w:val="0"/>
          <w:lang w:eastAsia="sk-SK"/>
          <w14:ligatures w14:val="none"/>
        </w:rPr>
        <w:t> </w:t>
      </w:r>
      <w:r w:rsidRPr="00092409">
        <w:rPr>
          <w:rFonts w:ascii="Arial Narrow" w:eastAsia="Times New Roman" w:hAnsi="Arial Narrow" w:cs="Times New Roman"/>
          <w:color w:val="000000"/>
          <w:kern w:val="0"/>
          <w:lang w:eastAsia="sk-SK"/>
          <w14:ligatures w14:val="none"/>
        </w:rPr>
        <w:t>ďalších</w:t>
      </w:r>
      <w:r>
        <w:rPr>
          <w:rFonts w:ascii="Arial Narrow" w:eastAsia="Times New Roman" w:hAnsi="Arial Narrow" w:cs="Times New Roman"/>
          <w:color w:val="000000"/>
          <w:kern w:val="0"/>
          <w:lang w:eastAsia="sk-SK"/>
          <w14:ligatures w14:val="none"/>
        </w:rPr>
        <w:t xml:space="preserve"> </w:t>
      </w:r>
      <w:r w:rsidRPr="00092409">
        <w:rPr>
          <w:rFonts w:ascii="Arial Narrow" w:eastAsia="Times New Roman" w:hAnsi="Arial Narrow" w:cs="Times New Roman"/>
          <w:color w:val="000000"/>
          <w:kern w:val="0"/>
          <w:lang w:eastAsia="sk-SK"/>
          <w14:ligatures w14:val="none"/>
        </w:rPr>
        <w:t xml:space="preserve">regiónov úrovne </w:t>
      </w:r>
      <w:proofErr w:type="spellStart"/>
      <w:r w:rsidRPr="00092409">
        <w:rPr>
          <w:rFonts w:ascii="Arial Narrow" w:eastAsia="Times New Roman" w:hAnsi="Arial Narrow" w:cs="Times New Roman"/>
          <w:color w:val="000000"/>
          <w:kern w:val="0"/>
          <w:lang w:eastAsia="sk-SK"/>
          <w14:ligatures w14:val="none"/>
        </w:rPr>
        <w:t>NUTS</w:t>
      </w:r>
      <w:proofErr w:type="spellEnd"/>
      <w:r w:rsidRPr="00092409">
        <w:rPr>
          <w:rFonts w:ascii="Arial Narrow" w:eastAsia="Times New Roman" w:hAnsi="Arial Narrow" w:cs="Times New Roman"/>
          <w:color w:val="000000"/>
          <w:kern w:val="0"/>
          <w:lang w:eastAsia="sk-SK"/>
          <w14:ligatures w14:val="none"/>
        </w:rPr>
        <w:t xml:space="preserve"> 3, v ktorých aspoň polovica obyvateľstva regiónu žije</w:t>
      </w:r>
      <w:r>
        <w:rPr>
          <w:rFonts w:ascii="Arial Narrow" w:eastAsia="Times New Roman" w:hAnsi="Arial Narrow" w:cs="Times New Roman"/>
          <w:color w:val="000000"/>
          <w:kern w:val="0"/>
          <w:lang w:eastAsia="sk-SK"/>
          <w14:ligatures w14:val="none"/>
        </w:rPr>
        <w:t xml:space="preserve"> </w:t>
      </w:r>
      <w:r w:rsidRPr="00092409">
        <w:rPr>
          <w:rFonts w:ascii="Arial Narrow" w:eastAsia="Times New Roman" w:hAnsi="Arial Narrow" w:cs="Times New Roman"/>
          <w:color w:val="000000"/>
          <w:kern w:val="0"/>
          <w:lang w:eastAsia="sk-SK"/>
          <w14:ligatures w14:val="none"/>
        </w:rPr>
        <w:t>vo vzdialenosti do 25 kilometrov od hranice (váha 45,8 %);</w:t>
      </w:r>
    </w:p>
    <w:p w14:paraId="0D89D56E" w14:textId="77777777" w:rsidR="00092409" w:rsidRPr="00092409" w:rsidRDefault="00092409" w:rsidP="00092409">
      <w:pPr>
        <w:spacing w:after="0" w:line="276" w:lineRule="auto"/>
        <w:ind w:left="567"/>
        <w:rPr>
          <w:rFonts w:ascii="Arial Narrow" w:eastAsia="Times New Roman" w:hAnsi="Arial Narrow" w:cs="Times New Roman"/>
          <w:color w:val="000000"/>
          <w:kern w:val="0"/>
          <w:lang w:eastAsia="sk-SK"/>
          <w14:ligatures w14:val="none"/>
        </w:rPr>
      </w:pPr>
      <w:r w:rsidRPr="00092409">
        <w:rPr>
          <w:rFonts w:ascii="Arial Narrow" w:eastAsia="Times New Roman" w:hAnsi="Arial Narrow" w:cs="Times New Roman"/>
          <w:color w:val="000000"/>
          <w:kern w:val="0"/>
          <w:lang w:eastAsia="sk-SK"/>
          <w14:ligatures w14:val="none"/>
        </w:rPr>
        <w:t>b) obyvateľstvo, ktoré žije vo vzdialenosti do 25 kilometrov od hranice (váha 30,5 %);</w:t>
      </w:r>
    </w:p>
    <w:p w14:paraId="7BCD93BB" w14:textId="77777777" w:rsidR="00092409" w:rsidRPr="00092409" w:rsidRDefault="00092409" w:rsidP="00092409">
      <w:pPr>
        <w:spacing w:after="0" w:line="276" w:lineRule="auto"/>
        <w:ind w:left="567"/>
        <w:rPr>
          <w:rFonts w:ascii="Arial Narrow" w:eastAsia="Times New Roman" w:hAnsi="Arial Narrow" w:cs="Times New Roman"/>
          <w:color w:val="000000"/>
          <w:kern w:val="0"/>
          <w:lang w:eastAsia="sk-SK"/>
          <w14:ligatures w14:val="none"/>
        </w:rPr>
      </w:pPr>
      <w:r w:rsidRPr="00092409">
        <w:rPr>
          <w:rFonts w:ascii="Arial Narrow" w:eastAsia="Times New Roman" w:hAnsi="Arial Narrow" w:cs="Times New Roman"/>
          <w:color w:val="000000"/>
          <w:kern w:val="0"/>
          <w:lang w:eastAsia="sk-SK"/>
          <w14:ligatures w14:val="none"/>
        </w:rPr>
        <w:t>c) celkový počet obyvateľov členských štátov (váha 20 %);</w:t>
      </w:r>
    </w:p>
    <w:p w14:paraId="18A964AC" w14:textId="77777777" w:rsidR="00092409" w:rsidRPr="00092409" w:rsidRDefault="00092409" w:rsidP="00092409">
      <w:pPr>
        <w:spacing w:after="0" w:line="276" w:lineRule="auto"/>
        <w:ind w:left="567"/>
        <w:rPr>
          <w:rFonts w:ascii="Arial Narrow" w:eastAsia="Times New Roman" w:hAnsi="Arial Narrow" w:cs="Times New Roman"/>
          <w:color w:val="000000"/>
          <w:kern w:val="0"/>
          <w:lang w:eastAsia="sk-SK"/>
          <w14:ligatures w14:val="none"/>
        </w:rPr>
      </w:pPr>
      <w:r w:rsidRPr="00092409">
        <w:rPr>
          <w:rFonts w:ascii="Arial Narrow" w:eastAsia="Times New Roman" w:hAnsi="Arial Narrow" w:cs="Times New Roman"/>
          <w:color w:val="000000"/>
          <w:kern w:val="0"/>
          <w:lang w:eastAsia="sk-SK"/>
          <w14:ligatures w14:val="none"/>
        </w:rPr>
        <w:t>d) celkový počet obyvateľov najvzdialenejších regiónov (váha 3,7 %).</w:t>
      </w:r>
    </w:p>
    <w:p w14:paraId="627D7D38" w14:textId="77777777" w:rsidR="00092409" w:rsidRDefault="00092409" w:rsidP="00092409">
      <w:pPr>
        <w:spacing w:after="0" w:line="276" w:lineRule="auto"/>
        <w:rPr>
          <w:rFonts w:ascii="Arial Narrow" w:eastAsia="Times New Roman" w:hAnsi="Arial Narrow" w:cs="Times New Roman"/>
          <w:color w:val="000000"/>
          <w:kern w:val="0"/>
          <w:lang w:eastAsia="sk-SK"/>
          <w14:ligatures w14:val="none"/>
        </w:rPr>
      </w:pPr>
    </w:p>
    <w:p w14:paraId="22AB9E17" w14:textId="1E3B42C7" w:rsidR="00092409" w:rsidRDefault="00092409" w:rsidP="00092409">
      <w:pPr>
        <w:spacing w:after="0" w:line="276" w:lineRule="auto"/>
        <w:rPr>
          <w:rFonts w:ascii="Arial Narrow" w:eastAsia="Times New Roman" w:hAnsi="Arial Narrow" w:cs="Times New Roman"/>
          <w:color w:val="000000"/>
          <w:kern w:val="0"/>
          <w:lang w:eastAsia="sk-SK"/>
          <w14:ligatures w14:val="none"/>
        </w:rPr>
      </w:pPr>
      <w:r w:rsidRPr="00092409">
        <w:rPr>
          <w:rFonts w:ascii="Arial Narrow" w:eastAsia="Times New Roman" w:hAnsi="Arial Narrow" w:cs="Times New Roman"/>
          <w:color w:val="000000"/>
          <w:kern w:val="0"/>
          <w:lang w:eastAsia="sk-SK"/>
          <w14:ligatures w14:val="none"/>
        </w:rPr>
        <w:t>Podiel cezhraničnej zložky zodpovedá sume váh kritérií a) a b). Podiel nadnárodnej zložky zodpovedá váhe kritéria c). Podiel spolupráce najvzdialenejších regiónov zodpovedá váhe kritéria d).</w:t>
      </w:r>
    </w:p>
    <w:p w14:paraId="0007CC5A" w14:textId="77777777" w:rsidR="00092409" w:rsidRDefault="00092409" w:rsidP="00092409">
      <w:pPr>
        <w:spacing w:after="0" w:line="276" w:lineRule="auto"/>
        <w:rPr>
          <w:rFonts w:ascii="Arial Narrow" w:eastAsia="Times New Roman" w:hAnsi="Arial Narrow" w:cs="Times New Roman"/>
          <w:color w:val="000000"/>
          <w:kern w:val="0"/>
          <w:lang w:eastAsia="sk-SK"/>
          <w14:ligatures w14:val="none"/>
        </w:rPr>
      </w:pPr>
    </w:p>
    <w:p w14:paraId="2CE13165" w14:textId="77777777" w:rsidR="00784B29" w:rsidRPr="00784B29" w:rsidRDefault="00784B29" w:rsidP="00784B29">
      <w:pPr>
        <w:spacing w:after="0" w:line="276" w:lineRule="auto"/>
        <w:rPr>
          <w:rFonts w:ascii="Arial Narrow" w:eastAsia="Times New Roman" w:hAnsi="Arial Narrow" w:cs="Times New Roman"/>
          <w:b/>
          <w:bCs/>
          <w:color w:val="000000"/>
          <w:kern w:val="0"/>
          <w:lang w:eastAsia="sk-SK"/>
          <w14:ligatures w14:val="none"/>
        </w:rPr>
      </w:pPr>
      <w:r w:rsidRPr="00784B29">
        <w:rPr>
          <w:rFonts w:ascii="Arial Narrow" w:eastAsia="Times New Roman" w:hAnsi="Arial Narrow" w:cs="Times New Roman"/>
          <w:b/>
          <w:bCs/>
          <w:color w:val="000000"/>
          <w:kern w:val="0"/>
          <w:lang w:eastAsia="sk-SK"/>
          <w14:ligatures w14:val="none"/>
        </w:rPr>
        <w:t>Minimálne a maximálne úrovne prevodov z finančných prostriedkov na podporu hospodárskej, sociálnej a územnej súdržnosti (stropy a bezpečnostné siete)</w:t>
      </w:r>
    </w:p>
    <w:p w14:paraId="30D8863A"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5630CD0D" w14:textId="18F2ACB6" w:rsidR="00784B29" w:rsidRPr="00784B29"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55. Aby sa prispelo k dosiahnutiu adekvátnej koncentrácie kohézneho financovania na najmenej rozvinuté regióny a členské štáty a k zníženiu rozdielov medzi priemernými intenzitami pomoci na obyvateľa, maximálna úroveň prevodu (strop) finančných prostriedkov každému jednotlivému členskému štátu sa stanoví ako percentuálny podiel na HDP členského štátu, pričom percentuálne podiely zodpovedajú týmto kritériám:</w:t>
      </w:r>
    </w:p>
    <w:p w14:paraId="4A51A184" w14:textId="5411ECF2" w:rsidR="00784B29" w:rsidRPr="00784B29" w:rsidRDefault="00784B29" w:rsidP="00784B29">
      <w:pPr>
        <w:spacing w:after="0" w:line="276" w:lineRule="auto"/>
        <w:ind w:left="567"/>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 xml:space="preserve">a) pre členské štáty, ktorých priemerný </w:t>
      </w:r>
      <w:proofErr w:type="spellStart"/>
      <w:r w:rsidRPr="00784B29">
        <w:rPr>
          <w:rFonts w:ascii="Arial Narrow" w:eastAsia="Times New Roman" w:hAnsi="Arial Narrow" w:cs="Times New Roman"/>
          <w:color w:val="000000"/>
          <w:kern w:val="0"/>
          <w:lang w:eastAsia="sk-SK"/>
          <w14:ligatures w14:val="none"/>
        </w:rPr>
        <w:t>HND</w:t>
      </w:r>
      <w:proofErr w:type="spellEnd"/>
      <w:r w:rsidRPr="00784B29">
        <w:rPr>
          <w:rFonts w:ascii="Arial Narrow" w:eastAsia="Times New Roman" w:hAnsi="Arial Narrow" w:cs="Times New Roman"/>
          <w:color w:val="000000"/>
          <w:kern w:val="0"/>
          <w:lang w:eastAsia="sk-SK"/>
          <w14:ligatures w14:val="none"/>
        </w:rPr>
        <w:t xml:space="preserve"> na obyvateľa (v </w:t>
      </w:r>
      <w:proofErr w:type="spellStart"/>
      <w:r w:rsidRPr="00784B29">
        <w:rPr>
          <w:rFonts w:ascii="Arial Narrow" w:eastAsia="Times New Roman" w:hAnsi="Arial Narrow" w:cs="Times New Roman"/>
          <w:color w:val="000000"/>
          <w:kern w:val="0"/>
          <w:lang w:eastAsia="sk-SK"/>
          <w14:ligatures w14:val="none"/>
        </w:rPr>
        <w:t>PKS</w:t>
      </w:r>
      <w:proofErr w:type="spellEnd"/>
      <w:r w:rsidRPr="00784B29">
        <w:rPr>
          <w:rFonts w:ascii="Arial Narrow" w:eastAsia="Times New Roman" w:hAnsi="Arial Narrow" w:cs="Times New Roman"/>
          <w:color w:val="000000"/>
          <w:kern w:val="0"/>
          <w:lang w:eastAsia="sk-SK"/>
          <w14:ligatures w14:val="none"/>
        </w:rPr>
        <w:t>) v období 2015 – 2017</w:t>
      </w:r>
      <w:r>
        <w:rPr>
          <w:rFonts w:ascii="Arial Narrow" w:eastAsia="Times New Roman" w:hAnsi="Arial Narrow" w:cs="Times New Roman"/>
          <w:color w:val="000000"/>
          <w:kern w:val="0"/>
          <w:lang w:eastAsia="sk-SK"/>
          <w14:ligatures w14:val="none"/>
        </w:rPr>
        <w:t xml:space="preserve"> </w:t>
      </w:r>
      <w:r w:rsidRPr="00784B29">
        <w:rPr>
          <w:rFonts w:ascii="Arial Narrow" w:eastAsia="Times New Roman" w:hAnsi="Arial Narrow" w:cs="Times New Roman"/>
          <w:color w:val="000000"/>
          <w:kern w:val="0"/>
          <w:lang w:eastAsia="sk-SK"/>
          <w14:ligatures w14:val="none"/>
        </w:rPr>
        <w:t xml:space="preserve">dosahoval úroveň pod 55 % priemeru </w:t>
      </w:r>
      <w:proofErr w:type="spellStart"/>
      <w:r w:rsidRPr="00784B29">
        <w:rPr>
          <w:rFonts w:ascii="Arial Narrow" w:eastAsia="Times New Roman" w:hAnsi="Arial Narrow" w:cs="Times New Roman"/>
          <w:color w:val="000000"/>
          <w:kern w:val="0"/>
          <w:lang w:eastAsia="sk-SK"/>
          <w14:ligatures w14:val="none"/>
        </w:rPr>
        <w:t>EÚ27</w:t>
      </w:r>
      <w:proofErr w:type="spellEnd"/>
      <w:r w:rsidRPr="00784B29">
        <w:rPr>
          <w:rFonts w:ascii="Arial Narrow" w:eastAsia="Times New Roman" w:hAnsi="Arial Narrow" w:cs="Times New Roman"/>
          <w:color w:val="000000"/>
          <w:kern w:val="0"/>
          <w:lang w:eastAsia="sk-SK"/>
          <w14:ligatures w14:val="none"/>
        </w:rPr>
        <w:t>: 2,3 % ich HDP;</w:t>
      </w:r>
    </w:p>
    <w:p w14:paraId="66CC7DC9" w14:textId="6A34872C" w:rsidR="00784B29" w:rsidRPr="00784B29" w:rsidRDefault="00784B29" w:rsidP="00784B29">
      <w:pPr>
        <w:spacing w:after="0" w:line="276" w:lineRule="auto"/>
        <w:ind w:left="567"/>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 xml:space="preserve">b) pre členské štáty, ktorých priemerný </w:t>
      </w:r>
      <w:proofErr w:type="spellStart"/>
      <w:r w:rsidRPr="00784B29">
        <w:rPr>
          <w:rFonts w:ascii="Arial Narrow" w:eastAsia="Times New Roman" w:hAnsi="Arial Narrow" w:cs="Times New Roman"/>
          <w:color w:val="000000"/>
          <w:kern w:val="0"/>
          <w:lang w:eastAsia="sk-SK"/>
          <w14:ligatures w14:val="none"/>
        </w:rPr>
        <w:t>HND</w:t>
      </w:r>
      <w:proofErr w:type="spellEnd"/>
      <w:r w:rsidRPr="00784B29">
        <w:rPr>
          <w:rFonts w:ascii="Arial Narrow" w:eastAsia="Times New Roman" w:hAnsi="Arial Narrow" w:cs="Times New Roman"/>
          <w:color w:val="000000"/>
          <w:kern w:val="0"/>
          <w:lang w:eastAsia="sk-SK"/>
          <w14:ligatures w14:val="none"/>
        </w:rPr>
        <w:t xml:space="preserve"> na obyvateľa (v </w:t>
      </w:r>
      <w:proofErr w:type="spellStart"/>
      <w:r w:rsidRPr="00784B29">
        <w:rPr>
          <w:rFonts w:ascii="Arial Narrow" w:eastAsia="Times New Roman" w:hAnsi="Arial Narrow" w:cs="Times New Roman"/>
          <w:color w:val="000000"/>
          <w:kern w:val="0"/>
          <w:lang w:eastAsia="sk-SK"/>
          <w14:ligatures w14:val="none"/>
        </w:rPr>
        <w:t>PKS</w:t>
      </w:r>
      <w:proofErr w:type="spellEnd"/>
      <w:r w:rsidRPr="00784B29">
        <w:rPr>
          <w:rFonts w:ascii="Arial Narrow" w:eastAsia="Times New Roman" w:hAnsi="Arial Narrow" w:cs="Times New Roman"/>
          <w:color w:val="000000"/>
          <w:kern w:val="0"/>
          <w:lang w:eastAsia="sk-SK"/>
          <w14:ligatures w14:val="none"/>
        </w:rPr>
        <w:t>) v období 2015 – 2017</w:t>
      </w:r>
      <w:r>
        <w:rPr>
          <w:rFonts w:ascii="Arial Narrow" w:eastAsia="Times New Roman" w:hAnsi="Arial Narrow" w:cs="Times New Roman"/>
          <w:color w:val="000000"/>
          <w:kern w:val="0"/>
          <w:lang w:eastAsia="sk-SK"/>
          <w14:ligatures w14:val="none"/>
        </w:rPr>
        <w:t xml:space="preserve"> </w:t>
      </w:r>
      <w:r w:rsidRPr="00784B29">
        <w:rPr>
          <w:rFonts w:ascii="Arial Narrow" w:eastAsia="Times New Roman" w:hAnsi="Arial Narrow" w:cs="Times New Roman"/>
          <w:color w:val="000000"/>
          <w:kern w:val="0"/>
          <w:lang w:eastAsia="sk-SK"/>
          <w14:ligatures w14:val="none"/>
        </w:rPr>
        <w:t xml:space="preserve">dosahoval úroveň rovnú 68 % alebo vyššiu než 68 % priemeru </w:t>
      </w:r>
      <w:proofErr w:type="spellStart"/>
      <w:r w:rsidRPr="00784B29">
        <w:rPr>
          <w:rFonts w:ascii="Arial Narrow" w:eastAsia="Times New Roman" w:hAnsi="Arial Narrow" w:cs="Times New Roman"/>
          <w:color w:val="000000"/>
          <w:kern w:val="0"/>
          <w:lang w:eastAsia="sk-SK"/>
          <w14:ligatures w14:val="none"/>
        </w:rPr>
        <w:t>EÚ27</w:t>
      </w:r>
      <w:proofErr w:type="spellEnd"/>
      <w:r w:rsidRPr="00784B29">
        <w:rPr>
          <w:rFonts w:ascii="Arial Narrow" w:eastAsia="Times New Roman" w:hAnsi="Arial Narrow" w:cs="Times New Roman"/>
          <w:color w:val="000000"/>
          <w:kern w:val="0"/>
          <w:lang w:eastAsia="sk-SK"/>
          <w14:ligatures w14:val="none"/>
        </w:rPr>
        <w:t>: 1,5 % ich HDP;</w:t>
      </w:r>
      <w:r>
        <w:rPr>
          <w:rFonts w:ascii="Arial Narrow" w:eastAsia="Times New Roman" w:hAnsi="Arial Narrow" w:cs="Times New Roman"/>
          <w:color w:val="000000"/>
          <w:kern w:val="0"/>
          <w:lang w:eastAsia="sk-SK"/>
          <w14:ligatures w14:val="none"/>
        </w:rPr>
        <w:t xml:space="preserve"> </w:t>
      </w:r>
      <w:r w:rsidRPr="00784B29">
        <w:rPr>
          <w:rFonts w:ascii="Arial Narrow" w:eastAsia="Times New Roman" w:hAnsi="Arial Narrow" w:cs="Times New Roman"/>
          <w:color w:val="000000"/>
          <w:kern w:val="0"/>
          <w:lang w:eastAsia="sk-SK"/>
          <w14:ligatures w14:val="none"/>
        </w:rPr>
        <w:t xml:space="preserve">c) pre členské štáty, ktorých priemerný </w:t>
      </w:r>
      <w:proofErr w:type="spellStart"/>
      <w:r w:rsidRPr="00784B29">
        <w:rPr>
          <w:rFonts w:ascii="Arial Narrow" w:eastAsia="Times New Roman" w:hAnsi="Arial Narrow" w:cs="Times New Roman"/>
          <w:color w:val="000000"/>
          <w:kern w:val="0"/>
          <w:lang w:eastAsia="sk-SK"/>
          <w14:ligatures w14:val="none"/>
        </w:rPr>
        <w:t>HND</w:t>
      </w:r>
      <w:proofErr w:type="spellEnd"/>
      <w:r w:rsidRPr="00784B29">
        <w:rPr>
          <w:rFonts w:ascii="Arial Narrow" w:eastAsia="Times New Roman" w:hAnsi="Arial Narrow" w:cs="Times New Roman"/>
          <w:color w:val="000000"/>
          <w:kern w:val="0"/>
          <w:lang w:eastAsia="sk-SK"/>
          <w14:ligatures w14:val="none"/>
        </w:rPr>
        <w:t xml:space="preserve"> na obyvateľa (v </w:t>
      </w:r>
      <w:proofErr w:type="spellStart"/>
      <w:r w:rsidRPr="00784B29">
        <w:rPr>
          <w:rFonts w:ascii="Arial Narrow" w:eastAsia="Times New Roman" w:hAnsi="Arial Narrow" w:cs="Times New Roman"/>
          <w:color w:val="000000"/>
          <w:kern w:val="0"/>
          <w:lang w:eastAsia="sk-SK"/>
          <w14:ligatures w14:val="none"/>
        </w:rPr>
        <w:t>PKS</w:t>
      </w:r>
      <w:proofErr w:type="spellEnd"/>
      <w:r w:rsidRPr="00784B29">
        <w:rPr>
          <w:rFonts w:ascii="Arial Narrow" w:eastAsia="Times New Roman" w:hAnsi="Arial Narrow" w:cs="Times New Roman"/>
          <w:color w:val="000000"/>
          <w:kern w:val="0"/>
          <w:lang w:eastAsia="sk-SK"/>
          <w14:ligatures w14:val="none"/>
        </w:rPr>
        <w:t xml:space="preserve">) na v období 2015 –2017 je rovný 55 % alebo vyšší ako 55 % a nižší ako 68 % priemeru </w:t>
      </w:r>
      <w:proofErr w:type="spellStart"/>
      <w:r w:rsidRPr="00784B29">
        <w:rPr>
          <w:rFonts w:ascii="Arial Narrow" w:eastAsia="Times New Roman" w:hAnsi="Arial Narrow" w:cs="Times New Roman"/>
          <w:color w:val="000000"/>
          <w:kern w:val="0"/>
          <w:lang w:eastAsia="sk-SK"/>
          <w14:ligatures w14:val="none"/>
        </w:rPr>
        <w:t>EÚ27</w:t>
      </w:r>
      <w:proofErr w:type="spellEnd"/>
      <w:r w:rsidRPr="00784B29">
        <w:rPr>
          <w:rFonts w:ascii="Arial Narrow" w:eastAsia="Times New Roman" w:hAnsi="Arial Narrow" w:cs="Times New Roman"/>
          <w:color w:val="000000"/>
          <w:kern w:val="0"/>
          <w:lang w:eastAsia="sk-SK"/>
          <w14:ligatures w14:val="none"/>
        </w:rPr>
        <w:t>: percentuálny podiel sa vypočíta lineárnou interpoláciou medzi úrovňou 2,3 % a 1,5 % ich HDP, výsledkom čoho sa percentuálny podiel stropu zníži úmerne k zvýšeniu prosperity.</w:t>
      </w:r>
    </w:p>
    <w:p w14:paraId="4E026CF3" w14:textId="77777777" w:rsidR="00784B29" w:rsidRPr="00784B29"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lastRenderedPageBreak/>
        <w:t>Strop sa bude stanovovať každoročne na základe prognóz HDP, ktoré vypracuje Komisia, pričom sa prípadne úmerne znížia všetky prevody (s výnimkou rozvinutejších regiónov a cieľa Európska územná spolupráca) dotknutému členskému štátu s cieľom dosiahnuť maximálnu úroveň prevodu.</w:t>
      </w:r>
    </w:p>
    <w:p w14:paraId="38DA1197"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54A28C70" w14:textId="7C32830A" w:rsidR="00092409"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56. Pravidlá opísané v bode 50 nemôžu viesť k prideleniu prostriedkov, ktoré by pre daný členský štát dosahovali úroveň vyššiu ako 107 % ich úrovne v reálnych hodnotách za programové obdobie 2014 – 2020. Táto úprava sa uplatní úmerne pri všetkých prevodoch (s výnimkou prevodov na cieľ Európsky územný rozvoj) dotknutému členskému štátu, aby sa dosiahla maximálna úroveň prevodu.</w:t>
      </w:r>
    </w:p>
    <w:p w14:paraId="556B0E06"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0D7E8DD5"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 xml:space="preserve">57. S cieľom konsolidovať úsilie v oblasti konvergencie a zabezpečiť, aby prechod bol hladký a postupný, bude minimálna úroveň celkových pridelených prostriedkov z fondov jednému členskému štátu zodpovedať 76 % jeho celkových pridelených prostriedkov v období 2014 – 2020. Minimálna úroveň celkových pridelených prostriedkov z fondov pre členský štát, v ktorom najmenej jedna tretina obyvateľstva žije v regiónoch úrovne </w:t>
      </w:r>
      <w:proofErr w:type="spellStart"/>
      <w:r w:rsidRPr="00784B29">
        <w:rPr>
          <w:rFonts w:ascii="Arial Narrow" w:eastAsia="Times New Roman" w:hAnsi="Arial Narrow" w:cs="Times New Roman"/>
          <w:color w:val="000000"/>
          <w:kern w:val="0"/>
          <w:lang w:eastAsia="sk-SK"/>
          <w14:ligatures w14:val="none"/>
        </w:rPr>
        <w:t>NUTS</w:t>
      </w:r>
      <w:proofErr w:type="spellEnd"/>
      <w:r w:rsidRPr="00784B29">
        <w:rPr>
          <w:rFonts w:ascii="Arial Narrow" w:eastAsia="Times New Roman" w:hAnsi="Arial Narrow" w:cs="Times New Roman"/>
          <w:color w:val="000000"/>
          <w:kern w:val="0"/>
          <w:lang w:eastAsia="sk-SK"/>
          <w14:ligatures w14:val="none"/>
        </w:rPr>
        <w:t xml:space="preserve"> 2 a HDP na obyvateľa je nižší ako 50 % priemeru EÚ, bude zodpovedať 85 % jeho celkových pridelených prostriedkov v období 2014 – 2020. Úpravy potrebné na splnenie tejto požiadavky sa budú uplatňovať úmerne na finančné prostriedky z fondov s výnimkou prostriedkov pridelených z cieľa Európska územná spolupráca.</w:t>
      </w:r>
    </w:p>
    <w:p w14:paraId="4E8C24A0"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067A4949" w14:textId="39175106" w:rsidR="00784B29"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 xml:space="preserve">58. Maximálna úroveň celkových prostriedkov z fondov pridelených jednému členskému štátu, ktorého </w:t>
      </w:r>
      <w:proofErr w:type="spellStart"/>
      <w:r w:rsidRPr="00784B29">
        <w:rPr>
          <w:rFonts w:ascii="Arial Narrow" w:eastAsia="Times New Roman" w:hAnsi="Arial Narrow" w:cs="Times New Roman"/>
          <w:color w:val="000000"/>
          <w:kern w:val="0"/>
          <w:lang w:eastAsia="sk-SK"/>
          <w14:ligatures w14:val="none"/>
        </w:rPr>
        <w:t>HND</w:t>
      </w:r>
      <w:proofErr w:type="spellEnd"/>
      <w:r w:rsidRPr="00784B29">
        <w:rPr>
          <w:rFonts w:ascii="Arial Narrow" w:eastAsia="Times New Roman" w:hAnsi="Arial Narrow" w:cs="Times New Roman"/>
          <w:color w:val="000000"/>
          <w:kern w:val="0"/>
          <w:lang w:eastAsia="sk-SK"/>
          <w14:ligatures w14:val="none"/>
        </w:rPr>
        <w:t xml:space="preserve"> na obyvateľa (v </w:t>
      </w:r>
      <w:proofErr w:type="spellStart"/>
      <w:r w:rsidRPr="00784B29">
        <w:rPr>
          <w:rFonts w:ascii="Arial Narrow" w:eastAsia="Times New Roman" w:hAnsi="Arial Narrow" w:cs="Times New Roman"/>
          <w:color w:val="000000"/>
          <w:kern w:val="0"/>
          <w:lang w:eastAsia="sk-SK"/>
          <w14:ligatures w14:val="none"/>
        </w:rPr>
        <w:t>PKS</w:t>
      </w:r>
      <w:proofErr w:type="spellEnd"/>
      <w:r w:rsidRPr="00784B29">
        <w:rPr>
          <w:rFonts w:ascii="Arial Narrow" w:eastAsia="Times New Roman" w:hAnsi="Arial Narrow" w:cs="Times New Roman"/>
          <w:color w:val="000000"/>
          <w:kern w:val="0"/>
          <w:lang w:eastAsia="sk-SK"/>
          <w14:ligatures w14:val="none"/>
        </w:rPr>
        <w:t xml:space="preserve">) dosahuje najmenej 120 % priemeru </w:t>
      </w:r>
      <w:proofErr w:type="spellStart"/>
      <w:r w:rsidRPr="00784B29">
        <w:rPr>
          <w:rFonts w:ascii="Arial Narrow" w:eastAsia="Times New Roman" w:hAnsi="Arial Narrow" w:cs="Times New Roman"/>
          <w:color w:val="000000"/>
          <w:kern w:val="0"/>
          <w:lang w:eastAsia="sk-SK"/>
          <w14:ligatures w14:val="none"/>
        </w:rPr>
        <w:t>EÚ27</w:t>
      </w:r>
      <w:proofErr w:type="spellEnd"/>
      <w:r w:rsidRPr="00784B29">
        <w:rPr>
          <w:rFonts w:ascii="Arial Narrow" w:eastAsia="Times New Roman" w:hAnsi="Arial Narrow" w:cs="Times New Roman"/>
          <w:color w:val="000000"/>
          <w:kern w:val="0"/>
          <w:lang w:eastAsia="sk-SK"/>
          <w14:ligatures w14:val="none"/>
        </w:rPr>
        <w:t xml:space="preserve">, bude zodpovedať 80 % jeho individuálnych celkových pridelených prostriedkov v období 2014 – 2020. Maximálna úroveň celkových pridelených prostriedkov z fondov jednému členskému štátu, ktorého </w:t>
      </w:r>
      <w:proofErr w:type="spellStart"/>
      <w:r w:rsidRPr="00784B29">
        <w:rPr>
          <w:rFonts w:ascii="Arial Narrow" w:eastAsia="Times New Roman" w:hAnsi="Arial Narrow" w:cs="Times New Roman"/>
          <w:color w:val="000000"/>
          <w:kern w:val="0"/>
          <w:lang w:eastAsia="sk-SK"/>
          <w14:ligatures w14:val="none"/>
        </w:rPr>
        <w:t>HND</w:t>
      </w:r>
      <w:proofErr w:type="spellEnd"/>
      <w:r w:rsidRPr="00784B29">
        <w:rPr>
          <w:rFonts w:ascii="Arial Narrow" w:eastAsia="Times New Roman" w:hAnsi="Arial Narrow" w:cs="Times New Roman"/>
          <w:color w:val="000000"/>
          <w:kern w:val="0"/>
          <w:lang w:eastAsia="sk-SK"/>
          <w14:ligatures w14:val="none"/>
        </w:rPr>
        <w:t xml:space="preserve"> na obyvateľa (v </w:t>
      </w:r>
      <w:proofErr w:type="spellStart"/>
      <w:r w:rsidRPr="00784B29">
        <w:rPr>
          <w:rFonts w:ascii="Arial Narrow" w:eastAsia="Times New Roman" w:hAnsi="Arial Narrow" w:cs="Times New Roman"/>
          <w:color w:val="000000"/>
          <w:kern w:val="0"/>
          <w:lang w:eastAsia="sk-SK"/>
          <w14:ligatures w14:val="none"/>
        </w:rPr>
        <w:t>PKS</w:t>
      </w:r>
      <w:proofErr w:type="spellEnd"/>
      <w:r w:rsidRPr="00784B29">
        <w:rPr>
          <w:rFonts w:ascii="Arial Narrow" w:eastAsia="Times New Roman" w:hAnsi="Arial Narrow" w:cs="Times New Roman"/>
          <w:color w:val="000000"/>
          <w:kern w:val="0"/>
          <w:lang w:eastAsia="sk-SK"/>
          <w14:ligatures w14:val="none"/>
        </w:rPr>
        <w:t xml:space="preserve">) dosahuje úroveň rovnú 110 % alebo vyššiu ako 110 % a zároveň nižšiu ako 120 % priemeru </w:t>
      </w:r>
      <w:proofErr w:type="spellStart"/>
      <w:r w:rsidRPr="00784B29">
        <w:rPr>
          <w:rFonts w:ascii="Arial Narrow" w:eastAsia="Times New Roman" w:hAnsi="Arial Narrow" w:cs="Times New Roman"/>
          <w:color w:val="000000"/>
          <w:kern w:val="0"/>
          <w:lang w:eastAsia="sk-SK"/>
          <w14:ligatures w14:val="none"/>
        </w:rPr>
        <w:t>EÚ27</w:t>
      </w:r>
      <w:proofErr w:type="spellEnd"/>
      <w:r w:rsidRPr="00784B29">
        <w:rPr>
          <w:rFonts w:ascii="Arial Narrow" w:eastAsia="Times New Roman" w:hAnsi="Arial Narrow" w:cs="Times New Roman"/>
          <w:color w:val="000000"/>
          <w:kern w:val="0"/>
          <w:lang w:eastAsia="sk-SK"/>
          <w14:ligatures w14:val="none"/>
        </w:rPr>
        <w:t>, bude zodpovedať 90 % jeho individuálnych celkových pridelených prostriedkov v období 2014 – 2020. Úpravy potrebné na splnenie tejto požiadavky sa uplatňujú úmerne na prostriedky pridelené z fondov s výnimkou prostriedkov pridelených z cieľa Európska územná spolupráca. Ak má členský štát prechodné regióny, pre ktoré platí bod 61, 25 % prostriedkov pridelených členskému štátu pre rozvinutejšie regióny sa presunie do prostriedkov pridelených členskému štátu pre tieto prechodné regióny.</w:t>
      </w:r>
    </w:p>
    <w:p w14:paraId="5BA6B966"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0B24E1E4" w14:textId="77777777" w:rsidR="00784B29" w:rsidRPr="00784B29" w:rsidRDefault="00784B29" w:rsidP="00784B29">
      <w:pPr>
        <w:spacing w:after="0" w:line="240" w:lineRule="auto"/>
        <w:rPr>
          <w:rFonts w:ascii="Arial Narrow" w:eastAsia="Times New Roman" w:hAnsi="Arial Narrow" w:cs="Times New Roman"/>
          <w:b/>
          <w:bCs/>
          <w:color w:val="000000"/>
          <w:kern w:val="0"/>
          <w:lang w:eastAsia="sk-SK"/>
          <w14:ligatures w14:val="none"/>
        </w:rPr>
      </w:pPr>
      <w:r w:rsidRPr="00784B29">
        <w:rPr>
          <w:rFonts w:ascii="Arial Narrow" w:eastAsia="Times New Roman" w:hAnsi="Arial Narrow" w:cs="Times New Roman"/>
          <w:b/>
          <w:bCs/>
          <w:color w:val="000000"/>
          <w:kern w:val="0"/>
          <w:lang w:eastAsia="sk-SK"/>
          <w14:ligatures w14:val="none"/>
        </w:rPr>
        <w:t>Ďalšie ustanovenia týkajúce sa prideľovania finančných prostriedkov</w:t>
      </w:r>
    </w:p>
    <w:p w14:paraId="6A671D70"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342F2687" w14:textId="5C6D5BC9" w:rsidR="00784B29"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 xml:space="preserve">59. Pri všetkých regiónoch klasifikovaných v programovom období 2014 – 2020 ako menej rozvinuté regióny, ktorých HDP na obyvateľa je však zároveň vyšší ako 75 % priemeru </w:t>
      </w:r>
      <w:proofErr w:type="spellStart"/>
      <w:r w:rsidRPr="00784B29">
        <w:rPr>
          <w:rFonts w:ascii="Arial Narrow" w:eastAsia="Times New Roman" w:hAnsi="Arial Narrow" w:cs="Times New Roman"/>
          <w:color w:val="000000"/>
          <w:kern w:val="0"/>
          <w:lang w:eastAsia="sk-SK"/>
          <w14:ligatures w14:val="none"/>
        </w:rPr>
        <w:t>EÚ27</w:t>
      </w:r>
      <w:proofErr w:type="spellEnd"/>
      <w:r w:rsidRPr="00784B29">
        <w:rPr>
          <w:rFonts w:ascii="Arial Narrow" w:eastAsia="Times New Roman" w:hAnsi="Arial Narrow" w:cs="Times New Roman"/>
          <w:color w:val="000000"/>
          <w:kern w:val="0"/>
          <w:lang w:eastAsia="sk-SK"/>
          <w14:ligatures w14:val="none"/>
        </w:rPr>
        <w:t xml:space="preserve">, bude minimálna ročná úroveň podpory z cieľa Investovanie do zamestnanosti a rastu zodpovedať úrovni 60 % ich predchádzajúcej orientačnej priemernej úrovne ročných pridelených prostriedkov z cieľa Investovanie do zamestnanosti a rastu, ako ho vypočítala Komisia pre </w:t>
      </w:r>
      <w:proofErr w:type="spellStart"/>
      <w:r w:rsidRPr="00784B29">
        <w:rPr>
          <w:rFonts w:ascii="Arial Narrow" w:eastAsia="Times New Roman" w:hAnsi="Arial Narrow" w:cs="Times New Roman"/>
          <w:color w:val="000000"/>
          <w:kern w:val="0"/>
          <w:lang w:eastAsia="sk-SK"/>
          <w14:ligatures w14:val="none"/>
        </w:rPr>
        <w:t>VFR</w:t>
      </w:r>
      <w:proofErr w:type="spellEnd"/>
      <w:r w:rsidRPr="00784B29">
        <w:rPr>
          <w:rFonts w:ascii="Arial Narrow" w:eastAsia="Times New Roman" w:hAnsi="Arial Narrow" w:cs="Times New Roman"/>
          <w:color w:val="000000"/>
          <w:kern w:val="0"/>
          <w:lang w:eastAsia="sk-SK"/>
          <w14:ligatures w14:val="none"/>
        </w:rPr>
        <w:t xml:space="preserve"> na obdobie 2014 – 2020.</w:t>
      </w:r>
    </w:p>
    <w:p w14:paraId="12C5CB3A"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17621DFE" w14:textId="77777777" w:rsidR="00784B29" w:rsidRDefault="00784B29" w:rsidP="00784B29">
      <w:pPr>
        <w:spacing w:after="0" w:line="240"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60. Žiadny prechodný región nedostane sumu nižšiu, ako je suma, ktorú by dostal, ak by bol rozvinutejším regiónom.</w:t>
      </w:r>
    </w:p>
    <w:p w14:paraId="062CA69E" w14:textId="77777777" w:rsidR="00784B29" w:rsidRPr="00784B29" w:rsidRDefault="00784B29" w:rsidP="00784B29">
      <w:pPr>
        <w:spacing w:after="0" w:line="240" w:lineRule="auto"/>
        <w:rPr>
          <w:rFonts w:ascii="Arial Narrow" w:eastAsia="Times New Roman" w:hAnsi="Arial Narrow" w:cs="Times New Roman"/>
          <w:color w:val="000000"/>
          <w:kern w:val="0"/>
          <w:lang w:eastAsia="sk-SK"/>
          <w14:ligatures w14:val="none"/>
        </w:rPr>
      </w:pPr>
    </w:p>
    <w:p w14:paraId="2A2546FB" w14:textId="77777777" w:rsidR="00784B29" w:rsidRDefault="00784B29" w:rsidP="00784B29">
      <w:pPr>
        <w:spacing w:after="0" w:line="240"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61. Minimálna úroveň celkových prostriedkov pridelených členskému štátu pre jeho prechodné regióny, ktoré boli prechodnými regiónmi už v období 2014 – 2020, zodpovedá najmenej 65 % celkových pridelených prostriedkov v období 2014 – 2020 pre tieto regióny v danom členskom štáte.</w:t>
      </w:r>
    </w:p>
    <w:p w14:paraId="09CB3BD3" w14:textId="77777777" w:rsidR="00784B29" w:rsidRPr="00784B29" w:rsidRDefault="00784B29" w:rsidP="00784B29">
      <w:pPr>
        <w:spacing w:after="0" w:line="240" w:lineRule="auto"/>
        <w:rPr>
          <w:rFonts w:ascii="Arial Narrow" w:eastAsia="Times New Roman" w:hAnsi="Arial Narrow" w:cs="Times New Roman"/>
          <w:color w:val="000000"/>
          <w:kern w:val="0"/>
          <w:lang w:eastAsia="sk-SK"/>
          <w14:ligatures w14:val="none"/>
        </w:rPr>
      </w:pPr>
    </w:p>
    <w:p w14:paraId="7320DD61" w14:textId="77777777" w:rsidR="00784B29" w:rsidRDefault="00784B29" w:rsidP="00784B29">
      <w:pPr>
        <w:spacing w:after="0" w:line="240"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62. Bez ohľadu na body 55 až 58 sa uplatňujú dodatočné prostriedky uvedené v bodoch 63 až 67.</w:t>
      </w:r>
    </w:p>
    <w:p w14:paraId="4CCE73CD" w14:textId="77777777" w:rsidR="00784B29" w:rsidRPr="00784B29" w:rsidRDefault="00784B29" w:rsidP="00784B29">
      <w:pPr>
        <w:spacing w:after="0" w:line="240" w:lineRule="auto"/>
        <w:rPr>
          <w:rFonts w:ascii="Arial Narrow" w:eastAsia="Times New Roman" w:hAnsi="Arial Narrow" w:cs="Times New Roman"/>
          <w:color w:val="000000"/>
          <w:kern w:val="0"/>
          <w:lang w:eastAsia="sk-SK"/>
          <w14:ligatures w14:val="none"/>
        </w:rPr>
      </w:pPr>
    </w:p>
    <w:p w14:paraId="4ED9B60B" w14:textId="77777777" w:rsidR="00784B29" w:rsidRDefault="00784B29" w:rsidP="00784B29">
      <w:pPr>
        <w:spacing w:after="0" w:line="240"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 xml:space="preserve">63. Celková suma 120 miliónov EUR sa pridelí na program PEACE PLUS, kde slúži na podporu mieru a uzmierenia a podporu pokračovania </w:t>
      </w:r>
      <w:proofErr w:type="spellStart"/>
      <w:r w:rsidRPr="00784B29">
        <w:rPr>
          <w:rFonts w:ascii="Arial Narrow" w:eastAsia="Times New Roman" w:hAnsi="Arial Narrow" w:cs="Times New Roman"/>
          <w:color w:val="000000"/>
          <w:kern w:val="0"/>
          <w:lang w:eastAsia="sk-SK"/>
          <w14:ligatures w14:val="none"/>
        </w:rPr>
        <w:t>severo</w:t>
      </w:r>
      <w:proofErr w:type="spellEnd"/>
      <w:r w:rsidRPr="00784B29">
        <w:rPr>
          <w:rFonts w:ascii="Arial Narrow" w:eastAsia="Times New Roman" w:hAnsi="Arial Narrow" w:cs="Times New Roman"/>
          <w:color w:val="000000"/>
          <w:kern w:val="0"/>
          <w:lang w:eastAsia="sk-SK"/>
          <w14:ligatures w14:val="none"/>
        </w:rPr>
        <w:t>-južnej cezhraničnej spolupráce.</w:t>
      </w:r>
    </w:p>
    <w:p w14:paraId="76F16B3B" w14:textId="77777777" w:rsidR="00784B29" w:rsidRPr="00784B29" w:rsidRDefault="00784B29" w:rsidP="00784B29">
      <w:pPr>
        <w:spacing w:after="0" w:line="240" w:lineRule="auto"/>
        <w:rPr>
          <w:rFonts w:ascii="Arial Narrow" w:eastAsia="Times New Roman" w:hAnsi="Arial Narrow" w:cs="Times New Roman"/>
          <w:color w:val="000000"/>
          <w:kern w:val="0"/>
          <w:lang w:eastAsia="sk-SK"/>
          <w14:ligatures w14:val="none"/>
        </w:rPr>
      </w:pPr>
    </w:p>
    <w:p w14:paraId="11299BBE" w14:textId="77777777" w:rsidR="00784B29" w:rsidRDefault="00784B29" w:rsidP="00784B29">
      <w:pPr>
        <w:spacing w:after="0" w:line="240"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 xml:space="preserve">64. Ak počet obyvateľov členského štátu klesol v priemere o viac ako 1 % za rok medzi obdobiami 2007 – 2009 a 2016 – 2018, dotknutý členský štát dostane dodatočné prostriedky ekvivalentné celkovému poklesu počtu jeho </w:t>
      </w:r>
      <w:r w:rsidRPr="00784B29">
        <w:rPr>
          <w:rFonts w:ascii="Arial Narrow" w:eastAsia="Times New Roman" w:hAnsi="Arial Narrow" w:cs="Times New Roman"/>
          <w:color w:val="000000"/>
          <w:kern w:val="0"/>
          <w:lang w:eastAsia="sk-SK"/>
          <w14:ligatures w14:val="none"/>
        </w:rPr>
        <w:lastRenderedPageBreak/>
        <w:t>obyvateľov medzi týmito dvoma obdobiami vynásobenému hodnotou 500 EUR. Tieto dodatočné prostriedky budú určené pre menej rozvinuté regióny v dotknutom členskom štáte.</w:t>
      </w:r>
    </w:p>
    <w:p w14:paraId="25CC4E7B" w14:textId="77777777" w:rsidR="00784B29" w:rsidRPr="00784B29" w:rsidRDefault="00784B29" w:rsidP="00784B29">
      <w:pPr>
        <w:spacing w:after="0" w:line="240" w:lineRule="auto"/>
        <w:rPr>
          <w:rFonts w:ascii="Arial Narrow" w:eastAsia="Times New Roman" w:hAnsi="Arial Narrow" w:cs="Times New Roman"/>
          <w:color w:val="000000"/>
          <w:kern w:val="0"/>
          <w:lang w:eastAsia="sk-SK"/>
          <w14:ligatures w14:val="none"/>
        </w:rPr>
      </w:pPr>
    </w:p>
    <w:p w14:paraId="5A4068A1" w14:textId="0448700A" w:rsidR="00784B29" w:rsidRDefault="00784B29" w:rsidP="00784B29">
      <w:pPr>
        <w:spacing w:after="0" w:line="276" w:lineRule="auto"/>
        <w:rPr>
          <w:rFonts w:ascii="Times New Roman" w:eastAsia="Times New Roman" w:hAnsi="Times New Roman" w:cs="Times New Roman"/>
          <w:color w:val="000000"/>
          <w:kern w:val="0"/>
          <w:sz w:val="24"/>
          <w:szCs w:val="24"/>
          <w:lang w:eastAsia="sk-SK"/>
          <w14:ligatures w14:val="none"/>
        </w:rPr>
      </w:pPr>
      <w:r w:rsidRPr="00784B29">
        <w:rPr>
          <w:rFonts w:ascii="Arial Narrow" w:eastAsia="Times New Roman" w:hAnsi="Arial Narrow" w:cs="Times New Roman"/>
          <w:color w:val="000000"/>
          <w:kern w:val="0"/>
          <w:lang w:eastAsia="sk-SK"/>
          <w14:ligatures w14:val="none"/>
        </w:rPr>
        <w:t>65. Pre menej rozvinuté regióny v členskom štáte, ktoré využívali podporu v rámci politiky súdržnosti len počas jedného obdobia, sa poskytnú dodatočné prostriedky vo výške 400 miliónov EUR pre tieto menej rozvinuté regióny</w:t>
      </w:r>
      <w:r w:rsidRPr="00784B29">
        <w:rPr>
          <w:rFonts w:ascii="Times New Roman" w:eastAsia="Times New Roman" w:hAnsi="Times New Roman" w:cs="Times New Roman"/>
          <w:color w:val="000000"/>
          <w:kern w:val="0"/>
          <w:sz w:val="24"/>
          <w:szCs w:val="24"/>
          <w:lang w:eastAsia="sk-SK"/>
          <w14:ligatures w14:val="none"/>
        </w:rPr>
        <w:t>.</w:t>
      </w:r>
    </w:p>
    <w:p w14:paraId="4A39A562" w14:textId="77777777" w:rsidR="00784B29" w:rsidRDefault="00784B29" w:rsidP="00784B29">
      <w:pPr>
        <w:spacing w:after="0" w:line="276" w:lineRule="auto"/>
        <w:rPr>
          <w:rFonts w:ascii="Times New Roman" w:eastAsia="Times New Roman" w:hAnsi="Times New Roman" w:cs="Times New Roman"/>
          <w:color w:val="000000"/>
          <w:kern w:val="0"/>
          <w:sz w:val="24"/>
          <w:szCs w:val="24"/>
          <w:lang w:eastAsia="sk-SK"/>
          <w14:ligatures w14:val="none"/>
        </w:rPr>
      </w:pPr>
    </w:p>
    <w:p w14:paraId="6B0D59FB" w14:textId="77777777" w:rsidR="00784B29" w:rsidRPr="00784B29"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66. S cieľom uznať výzvy, ktoré predstavuje situácia ostrovných členských štátov a odľahlosť niektorých častí Európskej únie, Malta a Cyprus dostanú jednotlivo dodatočné finančné krytie vo výške 100 miliónov EUR pre štrukturálne fondy v rámci cieľa Investovanie do zamestnanosti a rastu. Severným riedko osídleným regiónom Fínska sa zo štrukturálnych fondov pridelí dodatočné finančné krytie vo výške 100 miliónov EUR.</w:t>
      </w:r>
    </w:p>
    <w:p w14:paraId="391A9256"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7D9BDACB" w14:textId="21619EEC" w:rsidR="00784B29"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67. S cieľom podporiť konkurencieschopnosť, rast a tvorbu nových pracovných miest v niektorých členských štátoch sa zo štrukturálnych fondov pridelia tieto dodatočné finančné prostriedky v rámci cieľa Investovanie do zamestnanosti a rastu: 200 miliónov EUR pre Belgicko pre prechodné regióny, 200 miliónov EUR pre Bulharsko pre menej rozvinuté regióny, 1 550 miliónov pre Českú republiku v rámci Kohézneho fondu, 100 miliónov EUR pre Cyprus pre štrukturálne fondy v rámci cieľa Investovanie do zamestnanosti a rastu, 50 miliónov EUR pre Estónsko, 650 miliónov EUR pre Nemecko pre prechodné regióny patriace do bezpečnostnej siete uvedenej v bode 61, 50 miliónov EUR pre Maltu pre štrukturálne fondy v rámci cieľa Investovanie do zamestnanosti a rastu, 600 miliónov EUR pre Poľsko pre menej rozvinuté regióny, 300 miliónov EUR pre Portugalsko pre prechodné regióny a 350 miliónov EUR pre rozvinutejší región Slovinska.</w:t>
      </w:r>
    </w:p>
    <w:p w14:paraId="247AC0B2"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500C1C26" w14:textId="77777777" w:rsidR="00784B29" w:rsidRPr="00784B29" w:rsidRDefault="00784B29" w:rsidP="00784B29">
      <w:pPr>
        <w:spacing w:after="0" w:line="240" w:lineRule="auto"/>
        <w:rPr>
          <w:rFonts w:ascii="Arial Narrow" w:eastAsia="Times New Roman" w:hAnsi="Arial Narrow" w:cs="Times New Roman"/>
          <w:b/>
          <w:bCs/>
          <w:color w:val="000000"/>
          <w:kern w:val="0"/>
          <w:lang w:eastAsia="sk-SK"/>
          <w14:ligatures w14:val="none"/>
        </w:rPr>
      </w:pPr>
      <w:r w:rsidRPr="00784B29">
        <w:rPr>
          <w:rFonts w:ascii="Arial Narrow" w:eastAsia="Times New Roman" w:hAnsi="Arial Narrow" w:cs="Times New Roman"/>
          <w:b/>
          <w:bCs/>
          <w:color w:val="000000"/>
          <w:kern w:val="0"/>
          <w:lang w:eastAsia="sk-SK"/>
          <w14:ligatures w14:val="none"/>
        </w:rPr>
        <w:t>Miery spolufinancovania</w:t>
      </w:r>
    </w:p>
    <w:p w14:paraId="75A0B832" w14:textId="77777777" w:rsidR="00784B29" w:rsidRDefault="00784B29" w:rsidP="00784B29">
      <w:pPr>
        <w:spacing w:after="0" w:line="240" w:lineRule="auto"/>
        <w:rPr>
          <w:rFonts w:ascii="Arial Narrow" w:eastAsia="Times New Roman" w:hAnsi="Arial Narrow" w:cs="Times New Roman"/>
          <w:color w:val="000000"/>
          <w:kern w:val="0"/>
          <w:lang w:eastAsia="sk-SK"/>
          <w14:ligatures w14:val="none"/>
        </w:rPr>
      </w:pPr>
    </w:p>
    <w:p w14:paraId="7BA0C188" w14:textId="7E9357EA" w:rsidR="00784B29" w:rsidRPr="00784B29"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68. Miera spolufinancovania v rámci cieľa Investovanie do zamestnanosti a rastu nebude vyššia ako:</w:t>
      </w:r>
    </w:p>
    <w:p w14:paraId="612D758A" w14:textId="77777777" w:rsidR="00784B29" w:rsidRPr="00784B29" w:rsidRDefault="00784B29" w:rsidP="00784B29">
      <w:pPr>
        <w:spacing w:after="0" w:line="276" w:lineRule="auto"/>
        <w:ind w:left="567"/>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a) 85 % pre menej rozvinuté regióny;</w:t>
      </w:r>
    </w:p>
    <w:p w14:paraId="1C27D455" w14:textId="3DCA8398" w:rsidR="00784B29" w:rsidRPr="00784B29" w:rsidRDefault="00784B29" w:rsidP="00784B29">
      <w:pPr>
        <w:spacing w:after="0" w:line="276" w:lineRule="auto"/>
        <w:ind w:left="567"/>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b) 70 % pre prechodné regióny, ktoré boli v programovom období 2014 – 2020</w:t>
      </w:r>
      <w:r>
        <w:rPr>
          <w:rFonts w:ascii="Arial Narrow" w:eastAsia="Times New Roman" w:hAnsi="Arial Narrow" w:cs="Times New Roman"/>
          <w:color w:val="000000"/>
          <w:kern w:val="0"/>
          <w:lang w:eastAsia="sk-SK"/>
          <w14:ligatures w14:val="none"/>
        </w:rPr>
        <w:t xml:space="preserve"> </w:t>
      </w:r>
      <w:r w:rsidRPr="00784B29">
        <w:rPr>
          <w:rFonts w:ascii="Arial Narrow" w:eastAsia="Times New Roman" w:hAnsi="Arial Narrow" w:cs="Times New Roman"/>
          <w:color w:val="000000"/>
          <w:kern w:val="0"/>
          <w:lang w:eastAsia="sk-SK"/>
          <w14:ligatures w14:val="none"/>
        </w:rPr>
        <w:t>klasifikované ako menej rozvinuté regióny;</w:t>
      </w:r>
    </w:p>
    <w:p w14:paraId="3F097FE5" w14:textId="77777777" w:rsidR="00784B29" w:rsidRPr="00784B29" w:rsidRDefault="00784B29" w:rsidP="00784B29">
      <w:pPr>
        <w:spacing w:after="0" w:line="276" w:lineRule="auto"/>
        <w:ind w:left="567"/>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c) 60 % pre prechodné regióny;</w:t>
      </w:r>
    </w:p>
    <w:p w14:paraId="5616E75C" w14:textId="6A7C44D0" w:rsidR="00784B29" w:rsidRDefault="00784B29" w:rsidP="00784B29">
      <w:pPr>
        <w:spacing w:after="0" w:line="276" w:lineRule="auto"/>
        <w:ind w:left="567"/>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d) 40 % pre rozvinutejšie regióny</w:t>
      </w:r>
    </w:p>
    <w:p w14:paraId="7643333A"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0DEDFC96" w14:textId="77777777" w:rsidR="00784B29" w:rsidRPr="00784B29"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Miery spolufinancovania pre najvzdialenejšie regióny nebudú vyššie ako 85 %.</w:t>
      </w:r>
    </w:p>
    <w:p w14:paraId="68DB4CF0"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7DFFB64B" w14:textId="425F9B72" w:rsidR="00784B29" w:rsidRPr="00784B29"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Miera spolufinancovania pre Kohézny fond nebude vyššia ako 85 %.</w:t>
      </w:r>
    </w:p>
    <w:p w14:paraId="2C567D7B"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5601571A" w14:textId="40237BF0" w:rsidR="00784B29" w:rsidRPr="00784B29"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 xml:space="preserve">Vyššie miery spolufinancovania sa môžu uplatniť pri prioritách na podporu inovačných činností a na podporu najodkázanejších regiónov v rámci </w:t>
      </w:r>
      <w:proofErr w:type="spellStart"/>
      <w:r w:rsidRPr="00784B29">
        <w:rPr>
          <w:rFonts w:ascii="Arial Narrow" w:eastAsia="Times New Roman" w:hAnsi="Arial Narrow" w:cs="Times New Roman"/>
          <w:color w:val="000000"/>
          <w:kern w:val="0"/>
          <w:lang w:eastAsia="sk-SK"/>
          <w14:ligatures w14:val="none"/>
        </w:rPr>
        <w:t>ESF</w:t>
      </w:r>
      <w:proofErr w:type="spellEnd"/>
      <w:r w:rsidRPr="00784B29">
        <w:rPr>
          <w:rFonts w:ascii="Arial Narrow" w:eastAsia="Times New Roman" w:hAnsi="Arial Narrow" w:cs="Times New Roman"/>
          <w:color w:val="000000"/>
          <w:kern w:val="0"/>
          <w:lang w:eastAsia="sk-SK"/>
          <w14:ligatures w14:val="none"/>
        </w:rPr>
        <w:t>+.</w:t>
      </w:r>
    </w:p>
    <w:p w14:paraId="05232D17"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0C776407" w14:textId="0D18A29E" w:rsidR="00784B29" w:rsidRPr="00784B29"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 xml:space="preserve">Miera spolufinancovania pre programy </w:t>
      </w:r>
      <w:proofErr w:type="spellStart"/>
      <w:r w:rsidRPr="00784B29">
        <w:rPr>
          <w:rFonts w:ascii="Arial Narrow" w:eastAsia="Times New Roman" w:hAnsi="Arial Narrow" w:cs="Times New Roman"/>
          <w:color w:val="000000"/>
          <w:kern w:val="0"/>
          <w:lang w:eastAsia="sk-SK"/>
          <w14:ligatures w14:val="none"/>
        </w:rPr>
        <w:t>Interreg</w:t>
      </w:r>
      <w:proofErr w:type="spellEnd"/>
      <w:r w:rsidRPr="00784B29">
        <w:rPr>
          <w:rFonts w:ascii="Arial Narrow" w:eastAsia="Times New Roman" w:hAnsi="Arial Narrow" w:cs="Times New Roman"/>
          <w:color w:val="000000"/>
          <w:kern w:val="0"/>
          <w:lang w:eastAsia="sk-SK"/>
          <w14:ligatures w14:val="none"/>
        </w:rPr>
        <w:t xml:space="preserve"> nebude vyššia ako 80 %.</w:t>
      </w:r>
    </w:p>
    <w:p w14:paraId="6B790ADD"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5B452361" w14:textId="31858CD8" w:rsidR="00784B29" w:rsidRPr="00784B29"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Vyššie miery spolufinancovania sa môžu uplatniť pri programoch vonkajšej cezhraničnej spolupráce v rámci cieľa Európska územná spolupráca (</w:t>
      </w:r>
      <w:proofErr w:type="spellStart"/>
      <w:r w:rsidRPr="00784B29">
        <w:rPr>
          <w:rFonts w:ascii="Arial Narrow" w:eastAsia="Times New Roman" w:hAnsi="Arial Narrow" w:cs="Times New Roman"/>
          <w:color w:val="000000"/>
          <w:kern w:val="0"/>
          <w:lang w:eastAsia="sk-SK"/>
          <w14:ligatures w14:val="none"/>
        </w:rPr>
        <w:t>Interreg</w:t>
      </w:r>
      <w:proofErr w:type="spellEnd"/>
      <w:r w:rsidRPr="00784B29">
        <w:rPr>
          <w:rFonts w:ascii="Arial Narrow" w:eastAsia="Times New Roman" w:hAnsi="Arial Narrow" w:cs="Times New Roman"/>
          <w:color w:val="000000"/>
          <w:kern w:val="0"/>
          <w:lang w:eastAsia="sk-SK"/>
          <w14:ligatures w14:val="none"/>
        </w:rPr>
        <w:t>).</w:t>
      </w:r>
    </w:p>
    <w:p w14:paraId="072CB3AE" w14:textId="77777777" w:rsidR="00784B29" w:rsidRDefault="00784B29" w:rsidP="00784B29">
      <w:pPr>
        <w:spacing w:after="0" w:line="276" w:lineRule="auto"/>
        <w:rPr>
          <w:rFonts w:ascii="Arial Narrow" w:eastAsia="Times New Roman" w:hAnsi="Arial Narrow" w:cs="Times New Roman"/>
          <w:color w:val="000000"/>
          <w:kern w:val="0"/>
          <w:lang w:eastAsia="sk-SK"/>
          <w14:ligatures w14:val="none"/>
        </w:rPr>
      </w:pPr>
    </w:p>
    <w:p w14:paraId="2C38E351" w14:textId="6C82E3B4" w:rsidR="00290CD0" w:rsidRDefault="00784B29" w:rsidP="00784B29">
      <w:pPr>
        <w:spacing w:after="0" w:line="276" w:lineRule="auto"/>
        <w:rPr>
          <w:rFonts w:ascii="Arial Narrow" w:eastAsia="Times New Roman" w:hAnsi="Arial Narrow" w:cs="Times New Roman"/>
          <w:color w:val="000000"/>
          <w:kern w:val="0"/>
          <w:lang w:eastAsia="sk-SK"/>
          <w14:ligatures w14:val="none"/>
        </w:rPr>
      </w:pPr>
      <w:r w:rsidRPr="00784B29">
        <w:rPr>
          <w:rFonts w:ascii="Arial Narrow" w:eastAsia="Times New Roman" w:hAnsi="Arial Narrow" w:cs="Times New Roman"/>
          <w:color w:val="000000"/>
          <w:kern w:val="0"/>
          <w:lang w:eastAsia="sk-SK"/>
          <w14:ligatures w14:val="none"/>
        </w:rPr>
        <w:t>Opatrenia technickej pomoci realizované z iniciatívy Komisie alebo v jej mene sa môžu financovať na úrovni 100 %</w:t>
      </w:r>
    </w:p>
    <w:p w14:paraId="746652C5" w14:textId="77777777" w:rsidR="00290CD0" w:rsidRDefault="00290CD0">
      <w:pPr>
        <w:rPr>
          <w:rFonts w:ascii="Arial Narrow" w:eastAsia="Times New Roman" w:hAnsi="Arial Narrow" w:cs="Times New Roman"/>
          <w:color w:val="000000"/>
          <w:kern w:val="0"/>
          <w:lang w:eastAsia="sk-SK"/>
          <w14:ligatures w14:val="none"/>
        </w:rPr>
      </w:pPr>
      <w:r>
        <w:rPr>
          <w:rFonts w:ascii="Arial Narrow" w:eastAsia="Times New Roman" w:hAnsi="Arial Narrow" w:cs="Times New Roman"/>
          <w:color w:val="000000"/>
          <w:kern w:val="0"/>
          <w:lang w:eastAsia="sk-SK"/>
          <w14:ligatures w14:val="none"/>
        </w:rPr>
        <w:br w:type="page"/>
      </w:r>
    </w:p>
    <w:p w14:paraId="75465487" w14:textId="6ADF205A" w:rsidR="00290CD0" w:rsidRDefault="00290CD0" w:rsidP="00290CD0">
      <w:pPr>
        <w:spacing w:after="0" w:line="240" w:lineRule="auto"/>
        <w:rPr>
          <w:rFonts w:ascii="Arial Narrow" w:eastAsia="Times New Roman" w:hAnsi="Arial Narrow" w:cs="Times New Roman"/>
          <w:b/>
          <w:bCs/>
          <w:color w:val="000000"/>
          <w:kern w:val="0"/>
          <w:lang w:eastAsia="sk-SK"/>
          <w14:ligatures w14:val="none"/>
        </w:rPr>
      </w:pPr>
      <w:r w:rsidRPr="00290CD0">
        <w:rPr>
          <w:rFonts w:ascii="Arial Narrow" w:eastAsia="Times New Roman" w:hAnsi="Arial Narrow" w:cs="Times New Roman"/>
          <w:b/>
          <w:bCs/>
          <w:color w:val="000000"/>
          <w:kern w:val="0"/>
          <w:lang w:eastAsia="sk-SK"/>
          <w14:ligatures w14:val="none"/>
        </w:rPr>
        <w:lastRenderedPageBreak/>
        <w:t>Tematická koncentrácia podpory z</w:t>
      </w:r>
      <w:r>
        <w:rPr>
          <w:rFonts w:ascii="Arial Narrow" w:eastAsia="Times New Roman" w:hAnsi="Arial Narrow" w:cs="Times New Roman"/>
          <w:b/>
          <w:bCs/>
          <w:color w:val="000000"/>
          <w:kern w:val="0"/>
          <w:lang w:eastAsia="sk-SK"/>
          <w14:ligatures w14:val="none"/>
        </w:rPr>
        <w:t> </w:t>
      </w:r>
      <w:proofErr w:type="spellStart"/>
      <w:r w:rsidRPr="00290CD0">
        <w:rPr>
          <w:rFonts w:ascii="Arial Narrow" w:eastAsia="Times New Roman" w:hAnsi="Arial Narrow" w:cs="Times New Roman"/>
          <w:b/>
          <w:bCs/>
          <w:color w:val="000000"/>
          <w:kern w:val="0"/>
          <w:lang w:eastAsia="sk-SK"/>
          <w14:ligatures w14:val="none"/>
        </w:rPr>
        <w:t>EFRR</w:t>
      </w:r>
      <w:proofErr w:type="spellEnd"/>
    </w:p>
    <w:p w14:paraId="65906D80" w14:textId="77777777" w:rsidR="00290CD0" w:rsidRPr="00290CD0" w:rsidRDefault="00290CD0" w:rsidP="00290CD0">
      <w:pPr>
        <w:spacing w:after="0" w:line="240" w:lineRule="auto"/>
        <w:rPr>
          <w:rFonts w:ascii="Arial Narrow" w:eastAsia="Times New Roman" w:hAnsi="Arial Narrow" w:cs="Times New Roman"/>
          <w:b/>
          <w:bCs/>
          <w:color w:val="000000"/>
          <w:kern w:val="0"/>
          <w:lang w:eastAsia="sk-SK"/>
          <w14:ligatures w14:val="none"/>
        </w:rPr>
      </w:pPr>
    </w:p>
    <w:p w14:paraId="2625B163" w14:textId="77777777" w:rsidR="00290CD0" w:rsidRPr="00290CD0" w:rsidRDefault="00290CD0" w:rsidP="00290CD0">
      <w:pPr>
        <w:spacing w:after="0" w:line="276" w:lineRule="auto"/>
        <w:rPr>
          <w:rFonts w:ascii="Arial Narrow" w:eastAsia="Times New Roman" w:hAnsi="Arial Narrow" w:cs="Times New Roman"/>
          <w:color w:val="000000"/>
          <w:kern w:val="0"/>
          <w:lang w:eastAsia="sk-SK"/>
          <w14:ligatures w14:val="none"/>
        </w:rPr>
      </w:pPr>
      <w:r w:rsidRPr="00290CD0">
        <w:rPr>
          <w:rFonts w:ascii="Arial Narrow" w:eastAsia="Times New Roman" w:hAnsi="Arial Narrow" w:cs="Times New Roman"/>
          <w:color w:val="000000"/>
          <w:kern w:val="0"/>
          <w:lang w:eastAsia="sk-SK"/>
          <w14:ligatures w14:val="none"/>
        </w:rPr>
        <w:t xml:space="preserve">72. Pokiaľ ide o programy realizované v rámci cieľa Investovanie do zamestnanosti a rastu, celkové zdroje </w:t>
      </w:r>
      <w:proofErr w:type="spellStart"/>
      <w:r w:rsidRPr="00290CD0">
        <w:rPr>
          <w:rFonts w:ascii="Arial Narrow" w:eastAsia="Times New Roman" w:hAnsi="Arial Narrow" w:cs="Times New Roman"/>
          <w:color w:val="000000"/>
          <w:kern w:val="0"/>
          <w:lang w:eastAsia="sk-SK"/>
          <w14:ligatures w14:val="none"/>
        </w:rPr>
        <w:t>EFRR</w:t>
      </w:r>
      <w:proofErr w:type="spellEnd"/>
      <w:r w:rsidRPr="00290CD0">
        <w:rPr>
          <w:rFonts w:ascii="Arial Narrow" w:eastAsia="Times New Roman" w:hAnsi="Arial Narrow" w:cs="Times New Roman"/>
          <w:color w:val="000000"/>
          <w:kern w:val="0"/>
          <w:lang w:eastAsia="sk-SK"/>
          <w14:ligatures w14:val="none"/>
        </w:rPr>
        <w:t xml:space="preserve"> v každom členskom štáte sa skoncentrujú buď na národnej, alebo regionálnej úrovni takto:</w:t>
      </w:r>
    </w:p>
    <w:p w14:paraId="60F32FC1" w14:textId="77777777" w:rsidR="00290CD0" w:rsidRDefault="00290CD0" w:rsidP="00290CD0">
      <w:pPr>
        <w:spacing w:after="0" w:line="276" w:lineRule="auto"/>
        <w:rPr>
          <w:rFonts w:ascii="Arial Narrow" w:eastAsia="Times New Roman" w:hAnsi="Arial Narrow" w:cs="Times New Roman"/>
          <w:color w:val="000000"/>
          <w:kern w:val="0"/>
          <w:lang w:eastAsia="sk-SK"/>
          <w14:ligatures w14:val="none"/>
        </w:rPr>
      </w:pPr>
    </w:p>
    <w:p w14:paraId="20D4C746" w14:textId="4F7D251E" w:rsidR="00290CD0" w:rsidRPr="00290CD0" w:rsidRDefault="00290CD0" w:rsidP="00290CD0">
      <w:pPr>
        <w:spacing w:after="0" w:line="276" w:lineRule="auto"/>
        <w:ind w:left="567"/>
        <w:rPr>
          <w:rFonts w:ascii="Arial Narrow" w:eastAsia="Times New Roman" w:hAnsi="Arial Narrow" w:cs="Times New Roman"/>
          <w:color w:val="000000"/>
          <w:kern w:val="0"/>
          <w:lang w:eastAsia="sk-SK"/>
          <w14:ligatures w14:val="none"/>
        </w:rPr>
      </w:pPr>
      <w:r w:rsidRPr="00290CD0">
        <w:rPr>
          <w:rFonts w:ascii="Arial Narrow" w:eastAsia="Times New Roman" w:hAnsi="Arial Narrow" w:cs="Times New Roman"/>
          <w:color w:val="000000"/>
          <w:kern w:val="0"/>
          <w:lang w:eastAsia="sk-SK"/>
          <w14:ligatures w14:val="none"/>
        </w:rPr>
        <w:t>a) členské štáty s mierou hrubého národného dôchodku na úrovni 100 % alebo vyššou</w:t>
      </w:r>
      <w:r>
        <w:rPr>
          <w:rFonts w:ascii="Arial Narrow" w:eastAsia="Times New Roman" w:hAnsi="Arial Narrow" w:cs="Times New Roman"/>
          <w:color w:val="000000"/>
          <w:kern w:val="0"/>
          <w:lang w:eastAsia="sk-SK"/>
          <w14:ligatures w14:val="none"/>
        </w:rPr>
        <w:t xml:space="preserve"> </w:t>
      </w:r>
      <w:r w:rsidRPr="00290CD0">
        <w:rPr>
          <w:rFonts w:ascii="Arial Narrow" w:eastAsia="Times New Roman" w:hAnsi="Arial Narrow" w:cs="Times New Roman"/>
          <w:color w:val="000000"/>
          <w:kern w:val="0"/>
          <w:lang w:eastAsia="sk-SK"/>
          <w14:ligatures w14:val="none"/>
        </w:rPr>
        <w:t>alebo rozvinutejšie regióny pridelia najmenej 85 % svojich celkových zdrojov z</w:t>
      </w:r>
      <w:r>
        <w:rPr>
          <w:rFonts w:ascii="Arial Narrow" w:eastAsia="Times New Roman" w:hAnsi="Arial Narrow" w:cs="Times New Roman"/>
          <w:color w:val="000000"/>
          <w:kern w:val="0"/>
          <w:lang w:eastAsia="sk-SK"/>
          <w14:ligatures w14:val="none"/>
        </w:rPr>
        <w:t> </w:t>
      </w:r>
      <w:proofErr w:type="spellStart"/>
      <w:r w:rsidRPr="00290CD0">
        <w:rPr>
          <w:rFonts w:ascii="Arial Narrow" w:eastAsia="Times New Roman" w:hAnsi="Arial Narrow" w:cs="Times New Roman"/>
          <w:color w:val="000000"/>
          <w:kern w:val="0"/>
          <w:lang w:eastAsia="sk-SK"/>
          <w14:ligatures w14:val="none"/>
        </w:rPr>
        <w:t>EFRR</w:t>
      </w:r>
      <w:proofErr w:type="spellEnd"/>
      <w:r>
        <w:rPr>
          <w:rFonts w:ascii="Arial Narrow" w:eastAsia="Times New Roman" w:hAnsi="Arial Narrow" w:cs="Times New Roman"/>
          <w:color w:val="000000"/>
          <w:kern w:val="0"/>
          <w:lang w:eastAsia="sk-SK"/>
          <w14:ligatures w14:val="none"/>
        </w:rPr>
        <w:t xml:space="preserve"> </w:t>
      </w:r>
      <w:r w:rsidRPr="00290CD0">
        <w:rPr>
          <w:rFonts w:ascii="Arial Narrow" w:eastAsia="Times New Roman" w:hAnsi="Arial Narrow" w:cs="Times New Roman"/>
          <w:color w:val="000000"/>
          <w:kern w:val="0"/>
          <w:lang w:eastAsia="sk-SK"/>
          <w14:ligatures w14:val="none"/>
        </w:rPr>
        <w:t>na iné priority, než je technická pomoc pre „inteligentné“ a „zelené“ ciele, a</w:t>
      </w:r>
      <w:r>
        <w:rPr>
          <w:rFonts w:ascii="Arial Narrow" w:eastAsia="Times New Roman" w:hAnsi="Arial Narrow" w:cs="Times New Roman"/>
          <w:color w:val="000000"/>
          <w:kern w:val="0"/>
          <w:lang w:eastAsia="sk-SK"/>
          <w14:ligatures w14:val="none"/>
        </w:rPr>
        <w:t> </w:t>
      </w:r>
      <w:r w:rsidRPr="00290CD0">
        <w:rPr>
          <w:rFonts w:ascii="Arial Narrow" w:eastAsia="Times New Roman" w:hAnsi="Arial Narrow" w:cs="Times New Roman"/>
          <w:color w:val="000000"/>
          <w:kern w:val="0"/>
          <w:lang w:eastAsia="sk-SK"/>
          <w14:ligatures w14:val="none"/>
        </w:rPr>
        <w:t>najmenej</w:t>
      </w:r>
      <w:r>
        <w:rPr>
          <w:rFonts w:ascii="Arial Narrow" w:eastAsia="Times New Roman" w:hAnsi="Arial Narrow" w:cs="Times New Roman"/>
          <w:color w:val="000000"/>
          <w:kern w:val="0"/>
          <w:lang w:eastAsia="sk-SK"/>
          <w14:ligatures w14:val="none"/>
        </w:rPr>
        <w:t xml:space="preserve"> </w:t>
      </w:r>
      <w:r w:rsidRPr="00290CD0">
        <w:rPr>
          <w:rFonts w:ascii="Arial Narrow" w:eastAsia="Times New Roman" w:hAnsi="Arial Narrow" w:cs="Times New Roman"/>
          <w:color w:val="000000"/>
          <w:kern w:val="0"/>
          <w:lang w:eastAsia="sk-SK"/>
          <w14:ligatures w14:val="none"/>
        </w:rPr>
        <w:t>30 % na „zelené“ ciele;</w:t>
      </w:r>
    </w:p>
    <w:p w14:paraId="3F6E8EA3" w14:textId="6B896FCC" w:rsidR="00290CD0" w:rsidRPr="00290CD0" w:rsidRDefault="00290CD0" w:rsidP="00290CD0">
      <w:pPr>
        <w:spacing w:after="0" w:line="276" w:lineRule="auto"/>
        <w:ind w:left="567"/>
        <w:rPr>
          <w:rFonts w:ascii="Arial Narrow" w:eastAsia="Times New Roman" w:hAnsi="Arial Narrow" w:cs="Times New Roman"/>
          <w:color w:val="000000"/>
          <w:kern w:val="0"/>
          <w:lang w:eastAsia="sk-SK"/>
          <w14:ligatures w14:val="none"/>
        </w:rPr>
      </w:pPr>
      <w:r w:rsidRPr="00290CD0">
        <w:rPr>
          <w:rFonts w:ascii="Arial Narrow" w:eastAsia="Times New Roman" w:hAnsi="Arial Narrow" w:cs="Times New Roman"/>
          <w:color w:val="000000"/>
          <w:kern w:val="0"/>
          <w:lang w:eastAsia="sk-SK"/>
          <w14:ligatures w14:val="none"/>
        </w:rPr>
        <w:t>b) členské štáty s mierou hrubého národného dôchodku na úrovni rovnej alebo vyššej ako</w:t>
      </w:r>
      <w:r>
        <w:rPr>
          <w:rFonts w:ascii="Arial Narrow" w:eastAsia="Times New Roman" w:hAnsi="Arial Narrow" w:cs="Times New Roman"/>
          <w:color w:val="000000"/>
          <w:kern w:val="0"/>
          <w:lang w:eastAsia="sk-SK"/>
          <w14:ligatures w14:val="none"/>
        </w:rPr>
        <w:t xml:space="preserve"> </w:t>
      </w:r>
      <w:r w:rsidRPr="00290CD0">
        <w:rPr>
          <w:rFonts w:ascii="Arial Narrow" w:eastAsia="Times New Roman" w:hAnsi="Arial Narrow" w:cs="Times New Roman"/>
          <w:color w:val="000000"/>
          <w:kern w:val="0"/>
          <w:lang w:eastAsia="sk-SK"/>
          <w14:ligatures w14:val="none"/>
        </w:rPr>
        <w:t xml:space="preserve">75 % a zároveň nižšej ako 100 % alebo prechodné regióny pridelia najmenej 40 % svojich celkových zdrojov z </w:t>
      </w:r>
      <w:proofErr w:type="spellStart"/>
      <w:r w:rsidRPr="00290CD0">
        <w:rPr>
          <w:rFonts w:ascii="Arial Narrow" w:eastAsia="Times New Roman" w:hAnsi="Arial Narrow" w:cs="Times New Roman"/>
          <w:color w:val="000000"/>
          <w:kern w:val="0"/>
          <w:lang w:eastAsia="sk-SK"/>
          <w14:ligatures w14:val="none"/>
        </w:rPr>
        <w:t>EFRR</w:t>
      </w:r>
      <w:proofErr w:type="spellEnd"/>
      <w:r w:rsidRPr="00290CD0">
        <w:rPr>
          <w:rFonts w:ascii="Arial Narrow" w:eastAsia="Times New Roman" w:hAnsi="Arial Narrow" w:cs="Times New Roman"/>
          <w:color w:val="000000"/>
          <w:kern w:val="0"/>
          <w:lang w:eastAsia="sk-SK"/>
          <w14:ligatures w14:val="none"/>
        </w:rPr>
        <w:t xml:space="preserve"> na iné priority, než je technická pomoc pre „inteligentné“ ciele, a najmenej 30 % na „zelené“ ciele;</w:t>
      </w:r>
    </w:p>
    <w:p w14:paraId="60ABCF7D" w14:textId="452EB69A" w:rsidR="00290CD0" w:rsidRPr="00290CD0" w:rsidRDefault="00290CD0" w:rsidP="00290CD0">
      <w:pPr>
        <w:spacing w:after="0" w:line="276" w:lineRule="auto"/>
        <w:ind w:left="567"/>
        <w:rPr>
          <w:rFonts w:ascii="Arial Narrow" w:eastAsia="Times New Roman" w:hAnsi="Arial Narrow" w:cs="Times New Roman"/>
          <w:color w:val="000000"/>
          <w:kern w:val="0"/>
          <w:lang w:eastAsia="sk-SK"/>
          <w14:ligatures w14:val="none"/>
        </w:rPr>
      </w:pPr>
      <w:r w:rsidRPr="00290CD0">
        <w:rPr>
          <w:rFonts w:ascii="Arial Narrow" w:eastAsia="Times New Roman" w:hAnsi="Arial Narrow" w:cs="Times New Roman"/>
          <w:color w:val="000000"/>
          <w:kern w:val="0"/>
          <w:lang w:eastAsia="sk-SK"/>
          <w14:ligatures w14:val="none"/>
        </w:rPr>
        <w:t>c) členské štáty s mierou hrubého národného dôchodku nižšou ako 75 % alebo menej</w:t>
      </w:r>
      <w:r>
        <w:rPr>
          <w:rFonts w:ascii="Arial Narrow" w:eastAsia="Times New Roman" w:hAnsi="Arial Narrow" w:cs="Times New Roman"/>
          <w:color w:val="000000"/>
          <w:kern w:val="0"/>
          <w:lang w:eastAsia="sk-SK"/>
          <w14:ligatures w14:val="none"/>
        </w:rPr>
        <w:t xml:space="preserve"> </w:t>
      </w:r>
      <w:r w:rsidRPr="00290CD0">
        <w:rPr>
          <w:rFonts w:ascii="Arial Narrow" w:eastAsia="Times New Roman" w:hAnsi="Arial Narrow" w:cs="Times New Roman"/>
          <w:color w:val="000000"/>
          <w:kern w:val="0"/>
          <w:lang w:eastAsia="sk-SK"/>
          <w14:ligatures w14:val="none"/>
        </w:rPr>
        <w:t xml:space="preserve">rozvinuté regióny pridelia najmenej 25 % svojich celkových zdrojov z </w:t>
      </w:r>
      <w:proofErr w:type="spellStart"/>
      <w:r w:rsidRPr="00290CD0">
        <w:rPr>
          <w:rFonts w:ascii="Arial Narrow" w:eastAsia="Times New Roman" w:hAnsi="Arial Narrow" w:cs="Times New Roman"/>
          <w:color w:val="000000"/>
          <w:kern w:val="0"/>
          <w:lang w:eastAsia="sk-SK"/>
          <w14:ligatures w14:val="none"/>
        </w:rPr>
        <w:t>EFRR</w:t>
      </w:r>
      <w:proofErr w:type="spellEnd"/>
      <w:r w:rsidRPr="00290CD0">
        <w:rPr>
          <w:rFonts w:ascii="Arial Narrow" w:eastAsia="Times New Roman" w:hAnsi="Arial Narrow" w:cs="Times New Roman"/>
          <w:color w:val="000000"/>
          <w:kern w:val="0"/>
          <w:lang w:eastAsia="sk-SK"/>
          <w14:ligatures w14:val="none"/>
        </w:rPr>
        <w:t xml:space="preserve"> na iné</w:t>
      </w:r>
      <w:r>
        <w:rPr>
          <w:rFonts w:ascii="Arial Narrow" w:eastAsia="Times New Roman" w:hAnsi="Arial Narrow" w:cs="Times New Roman"/>
          <w:color w:val="000000"/>
          <w:kern w:val="0"/>
          <w:lang w:eastAsia="sk-SK"/>
          <w14:ligatures w14:val="none"/>
        </w:rPr>
        <w:t xml:space="preserve"> </w:t>
      </w:r>
      <w:r w:rsidRPr="00290CD0">
        <w:rPr>
          <w:rFonts w:ascii="Arial Narrow" w:eastAsia="Times New Roman" w:hAnsi="Arial Narrow" w:cs="Times New Roman"/>
          <w:color w:val="000000"/>
          <w:kern w:val="0"/>
          <w:lang w:eastAsia="sk-SK"/>
          <w14:ligatures w14:val="none"/>
        </w:rPr>
        <w:t>priority, než je technická pomoc pre „inteligentné“ ciele, a</w:t>
      </w:r>
      <w:r>
        <w:rPr>
          <w:rFonts w:ascii="Arial Narrow" w:eastAsia="Times New Roman" w:hAnsi="Arial Narrow" w:cs="Times New Roman"/>
          <w:color w:val="000000"/>
          <w:kern w:val="0"/>
          <w:lang w:eastAsia="sk-SK"/>
          <w14:ligatures w14:val="none"/>
        </w:rPr>
        <w:t> </w:t>
      </w:r>
      <w:proofErr w:type="spellStart"/>
      <w:r w:rsidRPr="00290CD0">
        <w:rPr>
          <w:rFonts w:ascii="Arial Narrow" w:eastAsia="Times New Roman" w:hAnsi="Arial Narrow" w:cs="Times New Roman"/>
          <w:color w:val="000000"/>
          <w:kern w:val="0"/>
          <w:lang w:eastAsia="sk-SK"/>
          <w14:ligatures w14:val="none"/>
        </w:rPr>
        <w:t>najmene</w:t>
      </w:r>
      <w:proofErr w:type="spellEnd"/>
      <w:r>
        <w:rPr>
          <w:rFonts w:ascii="Arial Narrow" w:eastAsia="Times New Roman" w:hAnsi="Arial Narrow" w:cs="Times New Roman"/>
          <w:color w:val="000000"/>
          <w:kern w:val="0"/>
          <w:lang w:eastAsia="sk-SK"/>
          <w14:ligatures w14:val="none"/>
        </w:rPr>
        <w:t xml:space="preserve"> </w:t>
      </w:r>
      <w:r w:rsidRPr="00290CD0">
        <w:rPr>
          <w:rFonts w:ascii="Arial Narrow" w:eastAsia="Times New Roman" w:hAnsi="Arial Narrow" w:cs="Times New Roman"/>
          <w:color w:val="000000"/>
          <w:kern w:val="0"/>
          <w:lang w:eastAsia="sk-SK"/>
          <w14:ligatures w14:val="none"/>
        </w:rPr>
        <w:t xml:space="preserve"> 30 % na „zelené“</w:t>
      </w:r>
      <w:r>
        <w:rPr>
          <w:rFonts w:ascii="Arial Narrow" w:eastAsia="Times New Roman" w:hAnsi="Arial Narrow" w:cs="Times New Roman"/>
          <w:color w:val="000000"/>
          <w:kern w:val="0"/>
          <w:lang w:eastAsia="sk-SK"/>
          <w14:ligatures w14:val="none"/>
        </w:rPr>
        <w:t xml:space="preserve"> </w:t>
      </w:r>
      <w:r w:rsidRPr="00290CD0">
        <w:rPr>
          <w:rFonts w:ascii="Arial Narrow" w:eastAsia="Times New Roman" w:hAnsi="Arial Narrow" w:cs="Times New Roman"/>
          <w:color w:val="000000"/>
          <w:kern w:val="0"/>
          <w:lang w:eastAsia="sk-SK"/>
          <w14:ligatures w14:val="none"/>
        </w:rPr>
        <w:t>ciele.</w:t>
      </w:r>
    </w:p>
    <w:p w14:paraId="645710DA" w14:textId="77777777" w:rsidR="00290CD0" w:rsidRDefault="00290CD0" w:rsidP="00290CD0">
      <w:pPr>
        <w:spacing w:after="0" w:line="276" w:lineRule="auto"/>
        <w:rPr>
          <w:rFonts w:ascii="Arial Narrow" w:eastAsia="Times New Roman" w:hAnsi="Arial Narrow" w:cs="Times New Roman"/>
          <w:color w:val="000000"/>
          <w:kern w:val="0"/>
          <w:lang w:eastAsia="sk-SK"/>
          <w14:ligatures w14:val="none"/>
        </w:rPr>
      </w:pPr>
    </w:p>
    <w:p w14:paraId="3A43E2C6" w14:textId="2C200B1D" w:rsidR="00290CD0" w:rsidRPr="00290CD0" w:rsidRDefault="00290CD0" w:rsidP="00290CD0">
      <w:pPr>
        <w:spacing w:after="0" w:line="276" w:lineRule="auto"/>
        <w:rPr>
          <w:rFonts w:ascii="Arial Narrow" w:eastAsia="Times New Roman" w:hAnsi="Arial Narrow" w:cs="Times New Roman"/>
          <w:color w:val="000000"/>
          <w:kern w:val="0"/>
          <w:lang w:eastAsia="sk-SK"/>
          <w14:ligatures w14:val="none"/>
        </w:rPr>
      </w:pPr>
      <w:r w:rsidRPr="00290CD0">
        <w:rPr>
          <w:rFonts w:ascii="Arial Narrow" w:eastAsia="Times New Roman" w:hAnsi="Arial Narrow" w:cs="Times New Roman"/>
          <w:color w:val="000000"/>
          <w:kern w:val="0"/>
          <w:lang w:eastAsia="sk-SK"/>
          <w14:ligatures w14:val="none"/>
        </w:rPr>
        <w:t>Členské štáty na začiatku programového obdobia rozhodnú o tom, na ktorú úroveň – národnú alebo regionálnu – sa bude tematická koncentrácia uplatňovať. Ak sa členský štát rozhodne zaviesť tematickú koncentráciu na regionálnej úrovni, jej požiadavky sa určia pre všetky regióny členského štátu zaradené do tej istej rozvojovej kategórie.]</w:t>
      </w:r>
    </w:p>
    <w:p w14:paraId="40FEACB4" w14:textId="77777777" w:rsidR="00290CD0" w:rsidRDefault="00290CD0" w:rsidP="00290CD0">
      <w:pPr>
        <w:spacing w:after="0" w:line="276" w:lineRule="auto"/>
        <w:rPr>
          <w:rFonts w:ascii="Arial Narrow" w:eastAsia="Times New Roman" w:hAnsi="Arial Narrow" w:cs="Times New Roman"/>
          <w:color w:val="000000"/>
          <w:kern w:val="0"/>
          <w:lang w:eastAsia="sk-SK"/>
          <w14:ligatures w14:val="none"/>
        </w:rPr>
      </w:pPr>
    </w:p>
    <w:p w14:paraId="595FA324" w14:textId="7B2E79AC" w:rsidR="00290CD0" w:rsidRPr="00290CD0" w:rsidRDefault="00290CD0" w:rsidP="00290CD0">
      <w:pPr>
        <w:spacing w:after="0" w:line="276" w:lineRule="auto"/>
        <w:rPr>
          <w:rFonts w:ascii="Arial Narrow" w:eastAsia="Times New Roman" w:hAnsi="Arial Narrow" w:cs="Times New Roman"/>
          <w:color w:val="000000"/>
          <w:kern w:val="0"/>
          <w:lang w:eastAsia="sk-SK"/>
          <w14:ligatures w14:val="none"/>
        </w:rPr>
      </w:pPr>
      <w:r w:rsidRPr="00290CD0">
        <w:rPr>
          <w:rFonts w:ascii="Arial Narrow" w:eastAsia="Times New Roman" w:hAnsi="Arial Narrow" w:cs="Times New Roman"/>
          <w:color w:val="000000"/>
          <w:kern w:val="0"/>
          <w:lang w:eastAsia="sk-SK"/>
          <w14:ligatures w14:val="none"/>
        </w:rPr>
        <w:t xml:space="preserve">Ak je podiel zdrojov z Kohézneho fondu pridelených na podporu „zeleného“ cieľa vyšší ako 50 %, možno potom pridelené prostriedky presahujúce 50 % zarátať na dosiahnutie minimálnych podielov </w:t>
      </w:r>
      <w:proofErr w:type="spellStart"/>
      <w:r w:rsidRPr="00290CD0">
        <w:rPr>
          <w:rFonts w:ascii="Arial Narrow" w:eastAsia="Times New Roman" w:hAnsi="Arial Narrow" w:cs="Times New Roman"/>
          <w:color w:val="000000"/>
          <w:kern w:val="0"/>
          <w:lang w:eastAsia="sk-SK"/>
          <w14:ligatures w14:val="none"/>
        </w:rPr>
        <w:t>EFRR</w:t>
      </w:r>
      <w:proofErr w:type="spellEnd"/>
      <w:r w:rsidRPr="00290CD0">
        <w:rPr>
          <w:rFonts w:ascii="Arial Narrow" w:eastAsia="Times New Roman" w:hAnsi="Arial Narrow" w:cs="Times New Roman"/>
          <w:color w:val="000000"/>
          <w:kern w:val="0"/>
          <w:lang w:eastAsia="sk-SK"/>
          <w14:ligatures w14:val="none"/>
        </w:rPr>
        <w:t>.</w:t>
      </w:r>
    </w:p>
    <w:p w14:paraId="3FB6FFCD" w14:textId="77777777" w:rsidR="00290CD0" w:rsidRDefault="00290CD0" w:rsidP="00290CD0">
      <w:pPr>
        <w:spacing w:after="0" w:line="276" w:lineRule="auto"/>
        <w:rPr>
          <w:rFonts w:ascii="Arial Narrow" w:eastAsia="Times New Roman" w:hAnsi="Arial Narrow" w:cs="Times New Roman"/>
          <w:color w:val="000000"/>
          <w:kern w:val="0"/>
          <w:lang w:eastAsia="sk-SK"/>
          <w14:ligatures w14:val="none"/>
        </w:rPr>
      </w:pPr>
    </w:p>
    <w:p w14:paraId="504119AD" w14:textId="05343A8E" w:rsidR="00784B29" w:rsidRDefault="00290CD0" w:rsidP="00290CD0">
      <w:pPr>
        <w:spacing w:after="0" w:line="276" w:lineRule="auto"/>
        <w:rPr>
          <w:rFonts w:ascii="Arial Narrow" w:eastAsia="Times New Roman" w:hAnsi="Arial Narrow" w:cs="Times New Roman"/>
          <w:color w:val="000000"/>
          <w:kern w:val="0"/>
          <w:lang w:eastAsia="sk-SK"/>
          <w14:ligatures w14:val="none"/>
        </w:rPr>
      </w:pPr>
      <w:r w:rsidRPr="00290CD0">
        <w:rPr>
          <w:rFonts w:ascii="Arial Narrow" w:eastAsia="Times New Roman" w:hAnsi="Arial Narrow" w:cs="Times New Roman"/>
          <w:color w:val="000000"/>
          <w:kern w:val="0"/>
          <w:lang w:eastAsia="sk-SK"/>
          <w14:ligatures w14:val="none"/>
        </w:rPr>
        <w:t xml:space="preserve">Na účely tohto bodu miera hrubého národného dôchodku znamená pomer medzi hrubým národným dôchodkom na obyvateľa členského štátu meraným v </w:t>
      </w:r>
      <w:proofErr w:type="spellStart"/>
      <w:r w:rsidRPr="00290CD0">
        <w:rPr>
          <w:rFonts w:ascii="Arial Narrow" w:eastAsia="Times New Roman" w:hAnsi="Arial Narrow" w:cs="Times New Roman"/>
          <w:color w:val="000000"/>
          <w:kern w:val="0"/>
          <w:lang w:eastAsia="sk-SK"/>
          <w14:ligatures w14:val="none"/>
        </w:rPr>
        <w:t>PKS</w:t>
      </w:r>
      <w:proofErr w:type="spellEnd"/>
      <w:r w:rsidRPr="00290CD0">
        <w:rPr>
          <w:rFonts w:ascii="Arial Narrow" w:eastAsia="Times New Roman" w:hAnsi="Arial Narrow" w:cs="Times New Roman"/>
          <w:color w:val="000000"/>
          <w:kern w:val="0"/>
          <w:lang w:eastAsia="sk-SK"/>
          <w14:ligatures w14:val="none"/>
        </w:rPr>
        <w:t xml:space="preserve"> a vypočítaným na základe číselných údajov Únie za obdobie 2015 – 2017 a priemerným hrubým národným dôchodkom na obyvateľa vyjadreným v </w:t>
      </w:r>
      <w:proofErr w:type="spellStart"/>
      <w:r w:rsidRPr="00290CD0">
        <w:rPr>
          <w:rFonts w:ascii="Arial Narrow" w:eastAsia="Times New Roman" w:hAnsi="Arial Narrow" w:cs="Times New Roman"/>
          <w:color w:val="000000"/>
          <w:kern w:val="0"/>
          <w:lang w:eastAsia="sk-SK"/>
          <w14:ligatures w14:val="none"/>
        </w:rPr>
        <w:t>PKS</w:t>
      </w:r>
      <w:proofErr w:type="spellEnd"/>
      <w:r w:rsidRPr="00290CD0">
        <w:rPr>
          <w:rFonts w:ascii="Arial Narrow" w:eastAsia="Times New Roman" w:hAnsi="Arial Narrow" w:cs="Times New Roman"/>
          <w:color w:val="000000"/>
          <w:kern w:val="0"/>
          <w:lang w:eastAsia="sk-SK"/>
          <w14:ligatures w14:val="none"/>
        </w:rPr>
        <w:t xml:space="preserve"> 27 členských štátov za to isté referenčné obdobie.</w:t>
      </w:r>
    </w:p>
    <w:p w14:paraId="6E5D7243" w14:textId="77777777" w:rsidR="00290CD0" w:rsidRDefault="00290CD0" w:rsidP="00290CD0">
      <w:pPr>
        <w:spacing w:after="0" w:line="276" w:lineRule="auto"/>
        <w:rPr>
          <w:rFonts w:ascii="Arial Narrow" w:eastAsia="Times New Roman" w:hAnsi="Arial Narrow" w:cs="Times New Roman"/>
          <w:color w:val="000000"/>
          <w:kern w:val="0"/>
          <w:lang w:eastAsia="sk-SK"/>
          <w14:ligatures w14:val="none"/>
        </w:rPr>
      </w:pPr>
    </w:p>
    <w:p w14:paraId="0DB977A0" w14:textId="77777777" w:rsidR="00F26CB4" w:rsidRPr="00F26CB4" w:rsidRDefault="00F26CB4" w:rsidP="00F26CB4">
      <w:pPr>
        <w:spacing w:after="0" w:line="276" w:lineRule="auto"/>
        <w:rPr>
          <w:rFonts w:ascii="Arial Narrow" w:eastAsia="Times New Roman" w:hAnsi="Arial Narrow" w:cs="Times New Roman"/>
          <w:b/>
          <w:bCs/>
          <w:color w:val="000000"/>
          <w:kern w:val="0"/>
          <w:lang w:eastAsia="sk-SK"/>
          <w14:ligatures w14:val="none"/>
        </w:rPr>
      </w:pPr>
      <w:r w:rsidRPr="00F26CB4">
        <w:rPr>
          <w:rFonts w:ascii="Arial Narrow" w:eastAsia="Times New Roman" w:hAnsi="Arial Narrow" w:cs="Times New Roman"/>
          <w:b/>
          <w:bCs/>
          <w:color w:val="000000"/>
          <w:kern w:val="0"/>
          <w:lang w:eastAsia="sk-SK"/>
          <w14:ligatures w14:val="none"/>
        </w:rPr>
        <w:t>Investície do ľudí, sociálnej súdržnosti a hodnôt</w:t>
      </w:r>
    </w:p>
    <w:p w14:paraId="70477E34" w14:textId="77777777" w:rsidR="00F26CB4" w:rsidRDefault="00F26CB4" w:rsidP="00F26CB4">
      <w:pPr>
        <w:spacing w:after="0" w:line="276" w:lineRule="auto"/>
        <w:rPr>
          <w:rFonts w:ascii="Arial Narrow" w:eastAsia="Times New Roman" w:hAnsi="Arial Narrow" w:cs="Times New Roman"/>
          <w:color w:val="000000"/>
          <w:kern w:val="0"/>
          <w:lang w:eastAsia="sk-SK"/>
          <w14:ligatures w14:val="none"/>
        </w:rPr>
      </w:pPr>
    </w:p>
    <w:p w14:paraId="1F2EE468" w14:textId="218B18EA" w:rsidR="00F26CB4" w:rsidRPr="00F26CB4" w:rsidRDefault="00F26CB4" w:rsidP="00F26CB4">
      <w:pPr>
        <w:spacing w:after="0" w:line="276" w:lineRule="auto"/>
        <w:rPr>
          <w:rFonts w:ascii="Arial Narrow" w:eastAsia="Times New Roman" w:hAnsi="Arial Narrow" w:cs="Times New Roman"/>
          <w:color w:val="000000"/>
          <w:kern w:val="0"/>
          <w:lang w:eastAsia="sk-SK"/>
          <w14:ligatures w14:val="none"/>
        </w:rPr>
      </w:pPr>
      <w:r w:rsidRPr="00F26CB4">
        <w:rPr>
          <w:rFonts w:ascii="Arial Narrow" w:eastAsia="Times New Roman" w:hAnsi="Arial Narrow" w:cs="Times New Roman"/>
          <w:color w:val="000000"/>
          <w:kern w:val="0"/>
          <w:lang w:eastAsia="sk-SK"/>
          <w14:ligatures w14:val="none"/>
        </w:rPr>
        <w:t xml:space="preserve">76. Z </w:t>
      </w:r>
      <w:proofErr w:type="spellStart"/>
      <w:r w:rsidRPr="00F26CB4">
        <w:rPr>
          <w:rFonts w:ascii="Arial Narrow" w:eastAsia="Times New Roman" w:hAnsi="Arial Narrow" w:cs="Times New Roman"/>
          <w:color w:val="000000"/>
          <w:kern w:val="0"/>
          <w:lang w:eastAsia="sk-SK"/>
          <w14:ligatures w14:val="none"/>
        </w:rPr>
        <w:t>ESF</w:t>
      </w:r>
      <w:proofErr w:type="spellEnd"/>
      <w:r w:rsidRPr="00F26CB4">
        <w:rPr>
          <w:rFonts w:ascii="Arial Narrow" w:eastAsia="Times New Roman" w:hAnsi="Arial Narrow" w:cs="Times New Roman"/>
          <w:color w:val="000000"/>
          <w:kern w:val="0"/>
          <w:lang w:eastAsia="sk-SK"/>
          <w14:ligatures w14:val="none"/>
        </w:rPr>
        <w:t>+ sa bude poskytovať komplexná podpora pre zamestnanosť mladých ľudí, zvyšovanie kvalifikácie a rekvalifikáciu pracovníkov, sociálne začlenenie a znižovanie chudoby vrátane chudoby detí zlúčením existujúcich programov: Európskeho sociálneho fondu, iniciatívy na podporu zamestnanosti mladých ľudí, Fondu európskej pomoci pre najodkázanejšie osoby a programu Európskej únie v oblasti zamestnanosti a sociálnej inovácie.</w:t>
      </w:r>
    </w:p>
    <w:p w14:paraId="64FD34DC" w14:textId="77777777" w:rsidR="00F26CB4" w:rsidRPr="00F26CB4" w:rsidRDefault="00F26CB4" w:rsidP="00F26CB4">
      <w:pPr>
        <w:spacing w:after="0" w:line="276" w:lineRule="auto"/>
        <w:rPr>
          <w:rFonts w:ascii="Arial Narrow" w:eastAsia="Times New Roman" w:hAnsi="Arial Narrow" w:cs="Times New Roman"/>
          <w:color w:val="000000"/>
          <w:kern w:val="0"/>
          <w:lang w:eastAsia="sk-SK"/>
          <w14:ligatures w14:val="none"/>
        </w:rPr>
      </w:pPr>
      <w:r w:rsidRPr="00F26CB4">
        <w:rPr>
          <w:rFonts w:ascii="Arial Narrow" w:eastAsia="Times New Roman" w:hAnsi="Arial Narrow" w:cs="Times New Roman"/>
          <w:color w:val="000000"/>
          <w:kern w:val="0"/>
          <w:lang w:eastAsia="sk-SK"/>
          <w14:ligatures w14:val="none"/>
        </w:rPr>
        <w:t xml:space="preserve">Celkové finančné krytie pre </w:t>
      </w:r>
      <w:proofErr w:type="spellStart"/>
      <w:r w:rsidRPr="00F26CB4">
        <w:rPr>
          <w:rFonts w:ascii="Arial Narrow" w:eastAsia="Times New Roman" w:hAnsi="Arial Narrow" w:cs="Times New Roman"/>
          <w:color w:val="000000"/>
          <w:kern w:val="0"/>
          <w:lang w:eastAsia="sk-SK"/>
          <w14:ligatures w14:val="none"/>
        </w:rPr>
        <w:t>ESF</w:t>
      </w:r>
      <w:proofErr w:type="spellEnd"/>
      <w:r w:rsidRPr="00F26CB4">
        <w:rPr>
          <w:rFonts w:ascii="Arial Narrow" w:eastAsia="Times New Roman" w:hAnsi="Arial Narrow" w:cs="Times New Roman"/>
          <w:color w:val="000000"/>
          <w:kern w:val="0"/>
          <w:lang w:eastAsia="sk-SK"/>
          <w14:ligatures w14:val="none"/>
        </w:rPr>
        <w:t>+ na obdobie 2021 – 2027 bude 87 995 miliónov EUR, z toho:</w:t>
      </w:r>
    </w:p>
    <w:p w14:paraId="60E1B5E9" w14:textId="77777777" w:rsidR="00F26CB4" w:rsidRPr="00F26CB4" w:rsidRDefault="00F26CB4" w:rsidP="00F26CB4">
      <w:pPr>
        <w:spacing w:after="0" w:line="276" w:lineRule="auto"/>
        <w:ind w:left="567"/>
        <w:rPr>
          <w:rFonts w:ascii="Arial Narrow" w:eastAsia="Times New Roman" w:hAnsi="Arial Narrow" w:cs="Times New Roman"/>
          <w:color w:val="000000"/>
          <w:kern w:val="0"/>
          <w:lang w:eastAsia="sk-SK"/>
          <w14:ligatures w14:val="none"/>
        </w:rPr>
      </w:pPr>
      <w:r w:rsidRPr="00F26CB4">
        <w:rPr>
          <w:rFonts w:ascii="Arial Narrow" w:eastAsia="Times New Roman" w:hAnsi="Arial Narrow" w:cs="Times New Roman"/>
          <w:color w:val="000000"/>
          <w:kern w:val="0"/>
          <w:lang w:eastAsia="sk-SK"/>
          <w14:ligatures w14:val="none"/>
        </w:rPr>
        <w:t xml:space="preserve">• 676 miliónov EUR na vetvu </w:t>
      </w:r>
      <w:proofErr w:type="spellStart"/>
      <w:r w:rsidRPr="00F26CB4">
        <w:rPr>
          <w:rFonts w:ascii="Arial Narrow" w:eastAsia="Times New Roman" w:hAnsi="Arial Narrow" w:cs="Times New Roman"/>
          <w:color w:val="000000"/>
          <w:kern w:val="0"/>
          <w:lang w:eastAsia="sk-SK"/>
          <w14:ligatures w14:val="none"/>
        </w:rPr>
        <w:t>ESF</w:t>
      </w:r>
      <w:proofErr w:type="spellEnd"/>
      <w:r w:rsidRPr="00F26CB4">
        <w:rPr>
          <w:rFonts w:ascii="Arial Narrow" w:eastAsia="Times New Roman" w:hAnsi="Arial Narrow" w:cs="Times New Roman"/>
          <w:color w:val="000000"/>
          <w:kern w:val="0"/>
          <w:lang w:eastAsia="sk-SK"/>
          <w14:ligatures w14:val="none"/>
        </w:rPr>
        <w:t>+ v rámci priameho a nepriameho riadenia,</w:t>
      </w:r>
    </w:p>
    <w:p w14:paraId="52470DC3" w14:textId="0200AE64" w:rsidR="00F26CB4" w:rsidRPr="00F26CB4" w:rsidRDefault="00F26CB4" w:rsidP="00F26CB4">
      <w:pPr>
        <w:spacing w:after="0" w:line="276" w:lineRule="auto"/>
        <w:ind w:left="567"/>
        <w:rPr>
          <w:rFonts w:ascii="Arial Narrow" w:eastAsia="Times New Roman" w:hAnsi="Arial Narrow" w:cs="Times New Roman"/>
          <w:color w:val="000000"/>
          <w:kern w:val="0"/>
          <w:lang w:eastAsia="sk-SK"/>
          <w14:ligatures w14:val="none"/>
        </w:rPr>
      </w:pPr>
      <w:r w:rsidRPr="00F26CB4">
        <w:rPr>
          <w:rFonts w:ascii="Arial Narrow" w:eastAsia="Times New Roman" w:hAnsi="Arial Narrow" w:cs="Times New Roman"/>
          <w:color w:val="000000"/>
          <w:kern w:val="0"/>
          <w:lang w:eastAsia="sk-SK"/>
          <w14:ligatures w14:val="none"/>
        </w:rPr>
        <w:t xml:space="preserve">• 87 319 miliónov EUR na vetvu </w:t>
      </w:r>
      <w:proofErr w:type="spellStart"/>
      <w:r w:rsidRPr="00F26CB4">
        <w:rPr>
          <w:rFonts w:ascii="Arial Narrow" w:eastAsia="Times New Roman" w:hAnsi="Arial Narrow" w:cs="Times New Roman"/>
          <w:color w:val="000000"/>
          <w:kern w:val="0"/>
          <w:lang w:eastAsia="sk-SK"/>
          <w14:ligatures w14:val="none"/>
        </w:rPr>
        <w:t>ESF</w:t>
      </w:r>
      <w:proofErr w:type="spellEnd"/>
      <w:r w:rsidRPr="00F26CB4">
        <w:rPr>
          <w:rFonts w:ascii="Arial Narrow" w:eastAsia="Times New Roman" w:hAnsi="Arial Narrow" w:cs="Times New Roman"/>
          <w:color w:val="000000"/>
          <w:kern w:val="0"/>
          <w:lang w:eastAsia="sk-SK"/>
          <w14:ligatures w14:val="none"/>
        </w:rPr>
        <w:t>+ v rámci zdieľaného riadenia, pokiaľ ide o</w:t>
      </w:r>
      <w:r>
        <w:rPr>
          <w:rFonts w:ascii="Arial Narrow" w:eastAsia="Times New Roman" w:hAnsi="Arial Narrow" w:cs="Times New Roman"/>
          <w:color w:val="000000"/>
          <w:kern w:val="0"/>
          <w:lang w:eastAsia="sk-SK"/>
          <w14:ligatures w14:val="none"/>
        </w:rPr>
        <w:t> </w:t>
      </w:r>
      <w:r w:rsidRPr="00F26CB4">
        <w:rPr>
          <w:rFonts w:ascii="Arial Narrow" w:eastAsia="Times New Roman" w:hAnsi="Arial Narrow" w:cs="Times New Roman"/>
          <w:color w:val="000000"/>
          <w:kern w:val="0"/>
          <w:lang w:eastAsia="sk-SK"/>
          <w14:ligatures w14:val="none"/>
        </w:rPr>
        <w:t>cieľ</w:t>
      </w:r>
      <w:r>
        <w:rPr>
          <w:rFonts w:ascii="Arial Narrow" w:eastAsia="Times New Roman" w:hAnsi="Arial Narrow" w:cs="Times New Roman"/>
          <w:color w:val="000000"/>
          <w:kern w:val="0"/>
          <w:lang w:eastAsia="sk-SK"/>
          <w14:ligatures w14:val="none"/>
        </w:rPr>
        <w:t xml:space="preserve"> </w:t>
      </w:r>
      <w:r w:rsidRPr="00F26CB4">
        <w:rPr>
          <w:rFonts w:ascii="Arial Narrow" w:eastAsia="Times New Roman" w:hAnsi="Arial Narrow" w:cs="Times New Roman"/>
          <w:color w:val="000000"/>
          <w:kern w:val="0"/>
          <w:lang w:eastAsia="sk-SK"/>
          <w14:ligatures w14:val="none"/>
        </w:rPr>
        <w:t>Investovanie do zamestnanosti a rastu.</w:t>
      </w:r>
    </w:p>
    <w:p w14:paraId="7694719A" w14:textId="77777777" w:rsidR="00F26CB4" w:rsidRDefault="00F26CB4" w:rsidP="00F26CB4">
      <w:pPr>
        <w:spacing w:after="0" w:line="276" w:lineRule="auto"/>
        <w:rPr>
          <w:rFonts w:ascii="Arial Narrow" w:eastAsia="Times New Roman" w:hAnsi="Arial Narrow" w:cs="Times New Roman"/>
          <w:color w:val="000000"/>
          <w:kern w:val="0"/>
          <w:lang w:eastAsia="sk-SK"/>
          <w14:ligatures w14:val="none"/>
        </w:rPr>
      </w:pPr>
    </w:p>
    <w:p w14:paraId="0C65D9A2" w14:textId="6F2EEF04" w:rsidR="00290CD0" w:rsidRDefault="00F26CB4" w:rsidP="00F26CB4">
      <w:pPr>
        <w:spacing w:after="0" w:line="276" w:lineRule="auto"/>
        <w:rPr>
          <w:rFonts w:ascii="Arial Narrow" w:eastAsia="Times New Roman" w:hAnsi="Arial Narrow" w:cs="Times New Roman"/>
          <w:color w:val="000000"/>
          <w:kern w:val="0"/>
          <w:lang w:eastAsia="sk-SK"/>
          <w14:ligatures w14:val="none"/>
        </w:rPr>
      </w:pPr>
      <w:r w:rsidRPr="00F26CB4">
        <w:rPr>
          <w:rFonts w:ascii="Arial Narrow" w:eastAsia="Times New Roman" w:hAnsi="Arial Narrow" w:cs="Times New Roman"/>
          <w:color w:val="000000"/>
          <w:kern w:val="0"/>
          <w:lang w:eastAsia="sk-SK"/>
          <w14:ligatures w14:val="none"/>
        </w:rPr>
        <w:t xml:space="preserve">Vetva zdieľaného riadenia zostane v </w:t>
      </w:r>
      <w:proofErr w:type="spellStart"/>
      <w:r w:rsidRPr="00F26CB4">
        <w:rPr>
          <w:rFonts w:ascii="Arial Narrow" w:eastAsia="Times New Roman" w:hAnsi="Arial Narrow" w:cs="Times New Roman"/>
          <w:color w:val="000000"/>
          <w:kern w:val="0"/>
          <w:lang w:eastAsia="sk-SK"/>
          <w14:ligatures w14:val="none"/>
        </w:rPr>
        <w:t>podokruhu</w:t>
      </w:r>
      <w:proofErr w:type="spellEnd"/>
      <w:r w:rsidRPr="00F26CB4">
        <w:rPr>
          <w:rFonts w:ascii="Arial Narrow" w:eastAsia="Times New Roman" w:hAnsi="Arial Narrow" w:cs="Times New Roman"/>
          <w:color w:val="000000"/>
          <w:kern w:val="0"/>
          <w:lang w:eastAsia="sk-SK"/>
          <w14:ligatures w14:val="none"/>
        </w:rPr>
        <w:t xml:space="preserve"> spoločne s </w:t>
      </w:r>
      <w:proofErr w:type="spellStart"/>
      <w:r w:rsidRPr="00F26CB4">
        <w:rPr>
          <w:rFonts w:ascii="Arial Narrow" w:eastAsia="Times New Roman" w:hAnsi="Arial Narrow" w:cs="Times New Roman"/>
          <w:color w:val="000000"/>
          <w:kern w:val="0"/>
          <w:lang w:eastAsia="sk-SK"/>
          <w14:ligatures w14:val="none"/>
        </w:rPr>
        <w:t>EFRR</w:t>
      </w:r>
      <w:proofErr w:type="spellEnd"/>
      <w:r w:rsidRPr="00F26CB4">
        <w:rPr>
          <w:rFonts w:ascii="Arial Narrow" w:eastAsia="Times New Roman" w:hAnsi="Arial Narrow" w:cs="Times New Roman"/>
          <w:color w:val="000000"/>
          <w:kern w:val="0"/>
          <w:lang w:eastAsia="sk-SK"/>
          <w14:ligatures w14:val="none"/>
        </w:rPr>
        <w:t xml:space="preserve"> a Kohéznym fondom.</w:t>
      </w:r>
    </w:p>
    <w:p w14:paraId="288DBF6F" w14:textId="77777777" w:rsidR="00F26CB4" w:rsidRDefault="00F26CB4" w:rsidP="00F26CB4">
      <w:pPr>
        <w:spacing w:after="0" w:line="276" w:lineRule="auto"/>
        <w:rPr>
          <w:rFonts w:ascii="Arial Narrow" w:eastAsia="Times New Roman" w:hAnsi="Arial Narrow" w:cs="Times New Roman"/>
          <w:color w:val="000000"/>
          <w:kern w:val="0"/>
          <w:lang w:eastAsia="sk-SK"/>
          <w14:ligatures w14:val="none"/>
        </w:rPr>
      </w:pPr>
    </w:p>
    <w:p w14:paraId="7758FB2A" w14:textId="77777777" w:rsidR="00FE4713" w:rsidRPr="00FE4713" w:rsidRDefault="00FE4713" w:rsidP="00FE4713">
      <w:pPr>
        <w:spacing w:after="0" w:line="276" w:lineRule="auto"/>
        <w:rPr>
          <w:rFonts w:ascii="Arial Narrow" w:eastAsia="Times New Roman" w:hAnsi="Arial Narrow" w:cs="Times New Roman"/>
          <w:color w:val="000000"/>
          <w:kern w:val="0"/>
          <w:lang w:eastAsia="sk-SK"/>
          <w14:ligatures w14:val="none"/>
        </w:rPr>
      </w:pPr>
      <w:r w:rsidRPr="00FE4713">
        <w:rPr>
          <w:rFonts w:ascii="Arial Narrow" w:eastAsia="Times New Roman" w:hAnsi="Arial Narrow" w:cs="Times New Roman"/>
          <w:color w:val="000000"/>
          <w:kern w:val="0"/>
          <w:lang w:eastAsia="sk-SK"/>
          <w14:ligatures w14:val="none"/>
        </w:rPr>
        <w:t xml:space="preserve">77. Pokiaľ ide o zdroje </w:t>
      </w:r>
      <w:proofErr w:type="spellStart"/>
      <w:r w:rsidRPr="00FE4713">
        <w:rPr>
          <w:rFonts w:ascii="Arial Narrow" w:eastAsia="Times New Roman" w:hAnsi="Arial Narrow" w:cs="Times New Roman"/>
          <w:color w:val="000000"/>
          <w:kern w:val="0"/>
          <w:lang w:eastAsia="sk-SK"/>
          <w14:ligatures w14:val="none"/>
        </w:rPr>
        <w:t>ESF</w:t>
      </w:r>
      <w:proofErr w:type="spellEnd"/>
      <w:r w:rsidRPr="00FE4713">
        <w:rPr>
          <w:rFonts w:ascii="Arial Narrow" w:eastAsia="Times New Roman" w:hAnsi="Arial Narrow" w:cs="Times New Roman"/>
          <w:color w:val="000000"/>
          <w:kern w:val="0"/>
          <w:lang w:eastAsia="sk-SK"/>
          <w14:ligatures w14:val="none"/>
        </w:rPr>
        <w:t>+ v rámci zdieľaného riadenia, každý členský štát pridelí:</w:t>
      </w:r>
    </w:p>
    <w:p w14:paraId="2BA8737E" w14:textId="77777777" w:rsidR="00FE4713" w:rsidRPr="00FE4713" w:rsidRDefault="00FE4713" w:rsidP="00FE4713">
      <w:pPr>
        <w:spacing w:after="0" w:line="276" w:lineRule="auto"/>
        <w:ind w:left="567"/>
        <w:rPr>
          <w:rFonts w:ascii="Arial Narrow" w:eastAsia="Times New Roman" w:hAnsi="Arial Narrow" w:cs="Times New Roman"/>
          <w:color w:val="000000"/>
          <w:kern w:val="0"/>
          <w:lang w:eastAsia="sk-SK"/>
          <w14:ligatures w14:val="none"/>
        </w:rPr>
      </w:pPr>
      <w:r w:rsidRPr="00FE4713">
        <w:rPr>
          <w:rFonts w:ascii="Arial Narrow" w:eastAsia="Times New Roman" w:hAnsi="Arial Narrow" w:cs="Times New Roman"/>
          <w:color w:val="000000"/>
          <w:kern w:val="0"/>
          <w:lang w:eastAsia="sk-SK"/>
          <w14:ligatures w14:val="none"/>
        </w:rPr>
        <w:t>a) najmenej 25 % na špecifické ciele sociálneho začlenenia vrátane začlenenia migrantov;</w:t>
      </w:r>
    </w:p>
    <w:p w14:paraId="78637EB7" w14:textId="77777777" w:rsidR="00FE4713" w:rsidRPr="00FE4713" w:rsidRDefault="00FE4713" w:rsidP="00FE4713">
      <w:pPr>
        <w:spacing w:after="0" w:line="276" w:lineRule="auto"/>
        <w:ind w:left="567"/>
        <w:rPr>
          <w:rFonts w:ascii="Arial Narrow" w:eastAsia="Times New Roman" w:hAnsi="Arial Narrow" w:cs="Times New Roman"/>
          <w:color w:val="000000"/>
          <w:kern w:val="0"/>
          <w:lang w:eastAsia="sk-SK"/>
          <w14:ligatures w14:val="none"/>
        </w:rPr>
      </w:pPr>
      <w:r w:rsidRPr="00FE4713">
        <w:rPr>
          <w:rFonts w:ascii="Arial Narrow" w:eastAsia="Times New Roman" w:hAnsi="Arial Narrow" w:cs="Times New Roman"/>
          <w:color w:val="000000"/>
          <w:kern w:val="0"/>
          <w:lang w:eastAsia="sk-SK"/>
          <w14:ligatures w14:val="none"/>
        </w:rPr>
        <w:t>b) najmenej 2 % na špecifický cieľ týkajúci sa problému materiálnej deprivácie;</w:t>
      </w:r>
    </w:p>
    <w:p w14:paraId="1C01196F" w14:textId="77777777" w:rsidR="00FE4713" w:rsidRPr="00FE4713" w:rsidRDefault="00FE4713" w:rsidP="00FE4713">
      <w:pPr>
        <w:spacing w:after="0" w:line="276" w:lineRule="auto"/>
        <w:ind w:left="567"/>
        <w:rPr>
          <w:rFonts w:ascii="Arial Narrow" w:eastAsia="Times New Roman" w:hAnsi="Arial Narrow" w:cs="Times New Roman"/>
          <w:color w:val="000000"/>
          <w:kern w:val="0"/>
          <w:lang w:eastAsia="sk-SK"/>
          <w14:ligatures w14:val="none"/>
        </w:rPr>
      </w:pPr>
      <w:r w:rsidRPr="00FE4713">
        <w:rPr>
          <w:rFonts w:ascii="Arial Narrow" w:eastAsia="Times New Roman" w:hAnsi="Arial Narrow" w:cs="Times New Roman"/>
          <w:color w:val="000000"/>
          <w:kern w:val="0"/>
          <w:lang w:eastAsia="sk-SK"/>
          <w14:ligatures w14:val="none"/>
        </w:rPr>
        <w:t>c) najmenej 10 % na cielené opatrenia zamerané na mladých ľudí, ktorí nie sú zamestnaní</w:t>
      </w:r>
    </w:p>
    <w:p w14:paraId="4E54DB6B" w14:textId="713980FA" w:rsidR="00F26CB4" w:rsidRDefault="00FE4713" w:rsidP="00FE4713">
      <w:pPr>
        <w:spacing w:after="0" w:line="276" w:lineRule="auto"/>
        <w:ind w:left="567"/>
        <w:rPr>
          <w:rFonts w:ascii="Arial Narrow" w:eastAsia="Times New Roman" w:hAnsi="Arial Narrow" w:cs="Times New Roman"/>
          <w:color w:val="000000"/>
          <w:kern w:val="0"/>
          <w:lang w:eastAsia="sk-SK"/>
          <w14:ligatures w14:val="none"/>
        </w:rPr>
      </w:pPr>
      <w:r w:rsidRPr="00FE4713">
        <w:rPr>
          <w:rFonts w:ascii="Arial Narrow" w:eastAsia="Times New Roman" w:hAnsi="Arial Narrow" w:cs="Times New Roman"/>
          <w:color w:val="000000"/>
          <w:kern w:val="0"/>
          <w:lang w:eastAsia="sk-SK"/>
          <w14:ligatures w14:val="none"/>
        </w:rPr>
        <w:t>(</w:t>
      </w:r>
      <w:proofErr w:type="spellStart"/>
      <w:r w:rsidRPr="00FE4713">
        <w:rPr>
          <w:rFonts w:ascii="Arial Narrow" w:eastAsia="Times New Roman" w:hAnsi="Arial Narrow" w:cs="Times New Roman"/>
          <w:color w:val="000000"/>
          <w:kern w:val="0"/>
          <w:lang w:eastAsia="sk-SK"/>
          <w14:ligatures w14:val="none"/>
        </w:rPr>
        <w:t>NEET</w:t>
      </w:r>
      <w:proofErr w:type="spellEnd"/>
      <w:r w:rsidRPr="00FE4713">
        <w:rPr>
          <w:rFonts w:ascii="Arial Narrow" w:eastAsia="Times New Roman" w:hAnsi="Arial Narrow" w:cs="Times New Roman"/>
          <w:color w:val="000000"/>
          <w:kern w:val="0"/>
          <w:lang w:eastAsia="sk-SK"/>
          <w14:ligatures w14:val="none"/>
        </w:rPr>
        <w:t xml:space="preserve">), ak miera </w:t>
      </w:r>
      <w:proofErr w:type="spellStart"/>
      <w:r w:rsidRPr="00FE4713">
        <w:rPr>
          <w:rFonts w:ascii="Arial Narrow" w:eastAsia="Times New Roman" w:hAnsi="Arial Narrow" w:cs="Times New Roman"/>
          <w:color w:val="000000"/>
          <w:kern w:val="0"/>
          <w:lang w:eastAsia="sk-SK"/>
          <w14:ligatures w14:val="none"/>
        </w:rPr>
        <w:t>NEET</w:t>
      </w:r>
      <w:proofErr w:type="spellEnd"/>
      <w:r w:rsidRPr="00FE4713">
        <w:rPr>
          <w:rFonts w:ascii="Arial Narrow" w:eastAsia="Times New Roman" w:hAnsi="Arial Narrow" w:cs="Times New Roman"/>
          <w:color w:val="000000"/>
          <w:kern w:val="0"/>
          <w:lang w:eastAsia="sk-SK"/>
          <w14:ligatures w14:val="none"/>
        </w:rPr>
        <w:t xml:space="preserve"> prevyšuje priemer EÚ.</w:t>
      </w:r>
    </w:p>
    <w:p w14:paraId="3213973E" w14:textId="77777777" w:rsidR="00FE4713" w:rsidRDefault="00FE4713" w:rsidP="00FE4713">
      <w:pPr>
        <w:spacing w:after="0" w:line="276" w:lineRule="auto"/>
        <w:rPr>
          <w:rFonts w:ascii="Arial Narrow" w:eastAsia="Times New Roman" w:hAnsi="Arial Narrow" w:cs="Times New Roman"/>
          <w:color w:val="000000"/>
          <w:kern w:val="0"/>
          <w:lang w:eastAsia="sk-SK"/>
          <w14:ligatures w14:val="none"/>
        </w:rPr>
      </w:pPr>
    </w:p>
    <w:p w14:paraId="2A71BA72" w14:textId="77777777" w:rsidR="00FE4713" w:rsidRPr="00FE4713" w:rsidRDefault="00FE4713" w:rsidP="00FE4713">
      <w:pPr>
        <w:spacing w:after="0" w:line="276" w:lineRule="auto"/>
        <w:rPr>
          <w:rFonts w:ascii="Arial Narrow" w:eastAsia="Times New Roman" w:hAnsi="Arial Narrow" w:cs="Times New Roman"/>
          <w:color w:val="000000"/>
          <w:kern w:val="0"/>
          <w:lang w:eastAsia="sk-SK"/>
          <w14:ligatures w14:val="none"/>
        </w:rPr>
      </w:pPr>
    </w:p>
    <w:sectPr w:rsidR="00FE4713" w:rsidRPr="00FE47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2">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E566BA"/>
    <w:multiLevelType w:val="hybridMultilevel"/>
    <w:tmpl w:val="86F83D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3463B3B"/>
    <w:multiLevelType w:val="hybridMultilevel"/>
    <w:tmpl w:val="9E50DE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4056341"/>
    <w:multiLevelType w:val="hybridMultilevel"/>
    <w:tmpl w:val="B90C72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82996950">
    <w:abstractNumId w:val="0"/>
  </w:num>
  <w:num w:numId="2" w16cid:durableId="1535999433">
    <w:abstractNumId w:val="1"/>
  </w:num>
  <w:num w:numId="3" w16cid:durableId="20719960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10F"/>
    <w:rsid w:val="00024496"/>
    <w:rsid w:val="00092409"/>
    <w:rsid w:val="00152695"/>
    <w:rsid w:val="00290CD0"/>
    <w:rsid w:val="004E0829"/>
    <w:rsid w:val="00784B29"/>
    <w:rsid w:val="008A502A"/>
    <w:rsid w:val="00C2110F"/>
    <w:rsid w:val="00CE429F"/>
    <w:rsid w:val="00EA3544"/>
    <w:rsid w:val="00F26CB4"/>
    <w:rsid w:val="00F83E86"/>
    <w:rsid w:val="00FE47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6EB75"/>
  <w15:chartTrackingRefBased/>
  <w15:docId w15:val="{4704502A-E0D3-4C1F-A222-FAAB15DAA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2110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semiHidden/>
    <w:unhideWhenUsed/>
    <w:qFormat/>
    <w:rsid w:val="00C2110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C2110F"/>
    <w:pPr>
      <w:keepNext/>
      <w:keepLines/>
      <w:spacing w:before="160" w:after="80"/>
      <w:outlineLvl w:val="2"/>
    </w:pPr>
    <w:rPr>
      <w:rFonts w:eastAsiaTheme="majorEastAsia" w:cstheme="majorBidi"/>
      <w:color w:val="2E74B5" w:themeColor="accent1" w:themeShade="BF"/>
      <w:sz w:val="28"/>
      <w:szCs w:val="28"/>
    </w:rPr>
  </w:style>
  <w:style w:type="paragraph" w:styleId="Nadpis4">
    <w:name w:val="heading 4"/>
    <w:basedOn w:val="Normlny"/>
    <w:next w:val="Normlny"/>
    <w:link w:val="Nadpis4Char"/>
    <w:uiPriority w:val="9"/>
    <w:semiHidden/>
    <w:unhideWhenUsed/>
    <w:qFormat/>
    <w:rsid w:val="00C2110F"/>
    <w:pPr>
      <w:keepNext/>
      <w:keepLines/>
      <w:spacing w:before="80" w:after="40"/>
      <w:outlineLvl w:val="3"/>
    </w:pPr>
    <w:rPr>
      <w:rFonts w:eastAsiaTheme="majorEastAsia" w:cstheme="majorBidi"/>
      <w:i/>
      <w:iCs/>
      <w:color w:val="2E74B5" w:themeColor="accent1" w:themeShade="BF"/>
    </w:rPr>
  </w:style>
  <w:style w:type="paragraph" w:styleId="Nadpis5">
    <w:name w:val="heading 5"/>
    <w:basedOn w:val="Normlny"/>
    <w:next w:val="Normlny"/>
    <w:link w:val="Nadpis5Char"/>
    <w:uiPriority w:val="9"/>
    <w:semiHidden/>
    <w:unhideWhenUsed/>
    <w:qFormat/>
    <w:rsid w:val="00C2110F"/>
    <w:pPr>
      <w:keepNext/>
      <w:keepLines/>
      <w:spacing w:before="80" w:after="40"/>
      <w:outlineLvl w:val="4"/>
    </w:pPr>
    <w:rPr>
      <w:rFonts w:eastAsiaTheme="majorEastAsia" w:cstheme="majorBidi"/>
      <w:color w:val="2E74B5" w:themeColor="accent1" w:themeShade="BF"/>
    </w:rPr>
  </w:style>
  <w:style w:type="paragraph" w:styleId="Nadpis6">
    <w:name w:val="heading 6"/>
    <w:basedOn w:val="Normlny"/>
    <w:next w:val="Normlny"/>
    <w:link w:val="Nadpis6Char"/>
    <w:uiPriority w:val="9"/>
    <w:semiHidden/>
    <w:unhideWhenUsed/>
    <w:qFormat/>
    <w:rsid w:val="00C2110F"/>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C2110F"/>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C2110F"/>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C2110F"/>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2110F"/>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semiHidden/>
    <w:rsid w:val="00C2110F"/>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Predvolenpsmoodseku"/>
    <w:link w:val="Nadpis3"/>
    <w:uiPriority w:val="9"/>
    <w:semiHidden/>
    <w:rsid w:val="00C2110F"/>
    <w:rPr>
      <w:rFonts w:eastAsiaTheme="majorEastAsia" w:cstheme="majorBidi"/>
      <w:color w:val="2E74B5" w:themeColor="accent1" w:themeShade="BF"/>
      <w:sz w:val="28"/>
      <w:szCs w:val="28"/>
    </w:rPr>
  </w:style>
  <w:style w:type="character" w:customStyle="1" w:styleId="Nadpis4Char">
    <w:name w:val="Nadpis 4 Char"/>
    <w:basedOn w:val="Predvolenpsmoodseku"/>
    <w:link w:val="Nadpis4"/>
    <w:uiPriority w:val="9"/>
    <w:semiHidden/>
    <w:rsid w:val="00C2110F"/>
    <w:rPr>
      <w:rFonts w:eastAsiaTheme="majorEastAsia" w:cstheme="majorBidi"/>
      <w:i/>
      <w:iCs/>
      <w:color w:val="2E74B5" w:themeColor="accent1" w:themeShade="BF"/>
    </w:rPr>
  </w:style>
  <w:style w:type="character" w:customStyle="1" w:styleId="Nadpis5Char">
    <w:name w:val="Nadpis 5 Char"/>
    <w:basedOn w:val="Predvolenpsmoodseku"/>
    <w:link w:val="Nadpis5"/>
    <w:uiPriority w:val="9"/>
    <w:semiHidden/>
    <w:rsid w:val="00C2110F"/>
    <w:rPr>
      <w:rFonts w:eastAsiaTheme="majorEastAsia" w:cstheme="majorBidi"/>
      <w:color w:val="2E74B5" w:themeColor="accent1" w:themeShade="BF"/>
    </w:rPr>
  </w:style>
  <w:style w:type="character" w:customStyle="1" w:styleId="Nadpis6Char">
    <w:name w:val="Nadpis 6 Char"/>
    <w:basedOn w:val="Predvolenpsmoodseku"/>
    <w:link w:val="Nadpis6"/>
    <w:uiPriority w:val="9"/>
    <w:semiHidden/>
    <w:rsid w:val="00C2110F"/>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C2110F"/>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C2110F"/>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C2110F"/>
    <w:rPr>
      <w:rFonts w:eastAsiaTheme="majorEastAsia" w:cstheme="majorBidi"/>
      <w:color w:val="272727" w:themeColor="text1" w:themeTint="D8"/>
    </w:rPr>
  </w:style>
  <w:style w:type="paragraph" w:styleId="Nzov">
    <w:name w:val="Title"/>
    <w:basedOn w:val="Normlny"/>
    <w:next w:val="Normlny"/>
    <w:link w:val="NzovChar"/>
    <w:uiPriority w:val="10"/>
    <w:qFormat/>
    <w:rsid w:val="00C211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C2110F"/>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C2110F"/>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C2110F"/>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C2110F"/>
    <w:pPr>
      <w:spacing w:before="160"/>
      <w:jc w:val="center"/>
    </w:pPr>
    <w:rPr>
      <w:i/>
      <w:iCs/>
      <w:color w:val="404040" w:themeColor="text1" w:themeTint="BF"/>
    </w:rPr>
  </w:style>
  <w:style w:type="character" w:customStyle="1" w:styleId="CitciaChar">
    <w:name w:val="Citácia Char"/>
    <w:basedOn w:val="Predvolenpsmoodseku"/>
    <w:link w:val="Citcia"/>
    <w:uiPriority w:val="29"/>
    <w:rsid w:val="00C2110F"/>
    <w:rPr>
      <w:i/>
      <w:iCs/>
      <w:color w:val="404040" w:themeColor="text1" w:themeTint="BF"/>
    </w:rPr>
  </w:style>
  <w:style w:type="paragraph" w:styleId="Odsekzoznamu">
    <w:name w:val="List Paragraph"/>
    <w:basedOn w:val="Normlny"/>
    <w:uiPriority w:val="34"/>
    <w:qFormat/>
    <w:rsid w:val="00C2110F"/>
    <w:pPr>
      <w:ind w:left="720"/>
      <w:contextualSpacing/>
    </w:pPr>
  </w:style>
  <w:style w:type="character" w:styleId="Intenzvnezvraznenie">
    <w:name w:val="Intense Emphasis"/>
    <w:basedOn w:val="Predvolenpsmoodseku"/>
    <w:uiPriority w:val="21"/>
    <w:qFormat/>
    <w:rsid w:val="00C2110F"/>
    <w:rPr>
      <w:i/>
      <w:iCs/>
      <w:color w:val="2E74B5" w:themeColor="accent1" w:themeShade="BF"/>
    </w:rPr>
  </w:style>
  <w:style w:type="paragraph" w:styleId="Zvraznencitcia">
    <w:name w:val="Intense Quote"/>
    <w:basedOn w:val="Normlny"/>
    <w:next w:val="Normlny"/>
    <w:link w:val="ZvraznencitciaChar"/>
    <w:uiPriority w:val="30"/>
    <w:qFormat/>
    <w:rsid w:val="00C2110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ZvraznencitciaChar">
    <w:name w:val="Zvýraznená citácia Char"/>
    <w:basedOn w:val="Predvolenpsmoodseku"/>
    <w:link w:val="Zvraznencitcia"/>
    <w:uiPriority w:val="30"/>
    <w:rsid w:val="00C2110F"/>
    <w:rPr>
      <w:i/>
      <w:iCs/>
      <w:color w:val="2E74B5" w:themeColor="accent1" w:themeShade="BF"/>
    </w:rPr>
  </w:style>
  <w:style w:type="character" w:styleId="Zvraznenodkaz">
    <w:name w:val="Intense Reference"/>
    <w:basedOn w:val="Predvolenpsmoodseku"/>
    <w:uiPriority w:val="32"/>
    <w:qFormat/>
    <w:rsid w:val="00C2110F"/>
    <w:rPr>
      <w:b/>
      <w:bCs/>
      <w:smallCaps/>
      <w:color w:val="2E74B5" w:themeColor="accent1" w:themeShade="BF"/>
      <w:spacing w:val="5"/>
    </w:rPr>
  </w:style>
  <w:style w:type="character" w:customStyle="1" w:styleId="fontstyle01">
    <w:name w:val="fontstyle01"/>
    <w:basedOn w:val="Predvolenpsmoodseku"/>
    <w:rsid w:val="00C2110F"/>
    <w:rPr>
      <w:rFonts w:ascii="Times New Roman" w:hAnsi="Times New Roman" w:cs="Times New Roman" w:hint="default"/>
      <w:b/>
      <w:bCs/>
      <w:i w:val="0"/>
      <w:iCs w:val="0"/>
      <w:color w:val="000000"/>
      <w:sz w:val="24"/>
      <w:szCs w:val="24"/>
    </w:rPr>
  </w:style>
  <w:style w:type="character" w:customStyle="1" w:styleId="fontstyle21">
    <w:name w:val="fontstyle21"/>
    <w:basedOn w:val="Predvolenpsmoodseku"/>
    <w:rsid w:val="00C2110F"/>
    <w:rPr>
      <w:rFonts w:ascii="Times New Roman" w:hAnsi="Times New Roman" w:cs="Times New Roman" w:hint="default"/>
      <w:b/>
      <w:bCs/>
      <w:i w:val="0"/>
      <w:iCs w:val="0"/>
      <w:color w:val="000000"/>
      <w:sz w:val="24"/>
      <w:szCs w:val="24"/>
    </w:rPr>
  </w:style>
  <w:style w:type="character" w:customStyle="1" w:styleId="fontstyle31">
    <w:name w:val="fontstyle31"/>
    <w:basedOn w:val="Predvolenpsmoodseku"/>
    <w:rsid w:val="00C2110F"/>
    <w:rPr>
      <w:rFonts w:ascii="Times New Roman" w:hAnsi="Times New Roman" w:cs="Times New Roman" w:hint="default"/>
      <w:b w:val="0"/>
      <w:bCs w:val="0"/>
      <w:i w:val="0"/>
      <w:iCs w:val="0"/>
      <w:color w:val="000000"/>
      <w:sz w:val="24"/>
      <w:szCs w:val="24"/>
    </w:rPr>
  </w:style>
  <w:style w:type="character" w:customStyle="1" w:styleId="fontstyle41">
    <w:name w:val="fontstyle41"/>
    <w:basedOn w:val="Predvolenpsmoodseku"/>
    <w:rsid w:val="00C2110F"/>
    <w:rPr>
      <w:rFonts w:ascii="Times New Roman2" w:hAnsi="Times New Roman2" w:hint="default"/>
      <w:b w:val="0"/>
      <w:bCs w:val="0"/>
      <w:i w:val="0"/>
      <w:iCs w:val="0"/>
      <w:color w:val="000000"/>
      <w:sz w:val="24"/>
      <w:szCs w:val="24"/>
    </w:rPr>
  </w:style>
  <w:style w:type="character" w:customStyle="1" w:styleId="fontstyle51">
    <w:name w:val="fontstyle51"/>
    <w:basedOn w:val="Predvolenpsmoodseku"/>
    <w:rsid w:val="00F26CB4"/>
    <w:rPr>
      <w:rFonts w:ascii="Symbol" w:hAnsi="Symbol"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52891">
      <w:bodyDiv w:val="1"/>
      <w:marLeft w:val="0"/>
      <w:marRight w:val="0"/>
      <w:marTop w:val="0"/>
      <w:marBottom w:val="0"/>
      <w:divBdr>
        <w:top w:val="none" w:sz="0" w:space="0" w:color="auto"/>
        <w:left w:val="none" w:sz="0" w:space="0" w:color="auto"/>
        <w:bottom w:val="none" w:sz="0" w:space="0" w:color="auto"/>
        <w:right w:val="none" w:sz="0" w:space="0" w:color="auto"/>
      </w:divBdr>
    </w:div>
    <w:div w:id="244145635">
      <w:bodyDiv w:val="1"/>
      <w:marLeft w:val="0"/>
      <w:marRight w:val="0"/>
      <w:marTop w:val="0"/>
      <w:marBottom w:val="0"/>
      <w:divBdr>
        <w:top w:val="none" w:sz="0" w:space="0" w:color="auto"/>
        <w:left w:val="none" w:sz="0" w:space="0" w:color="auto"/>
        <w:bottom w:val="none" w:sz="0" w:space="0" w:color="auto"/>
        <w:right w:val="none" w:sz="0" w:space="0" w:color="auto"/>
      </w:divBdr>
    </w:div>
    <w:div w:id="271523999">
      <w:bodyDiv w:val="1"/>
      <w:marLeft w:val="0"/>
      <w:marRight w:val="0"/>
      <w:marTop w:val="0"/>
      <w:marBottom w:val="0"/>
      <w:divBdr>
        <w:top w:val="none" w:sz="0" w:space="0" w:color="auto"/>
        <w:left w:val="none" w:sz="0" w:space="0" w:color="auto"/>
        <w:bottom w:val="none" w:sz="0" w:space="0" w:color="auto"/>
        <w:right w:val="none" w:sz="0" w:space="0" w:color="auto"/>
      </w:divBdr>
    </w:div>
    <w:div w:id="387455621">
      <w:bodyDiv w:val="1"/>
      <w:marLeft w:val="0"/>
      <w:marRight w:val="0"/>
      <w:marTop w:val="0"/>
      <w:marBottom w:val="0"/>
      <w:divBdr>
        <w:top w:val="none" w:sz="0" w:space="0" w:color="auto"/>
        <w:left w:val="none" w:sz="0" w:space="0" w:color="auto"/>
        <w:bottom w:val="none" w:sz="0" w:space="0" w:color="auto"/>
        <w:right w:val="none" w:sz="0" w:space="0" w:color="auto"/>
      </w:divBdr>
    </w:div>
    <w:div w:id="420420457">
      <w:bodyDiv w:val="1"/>
      <w:marLeft w:val="0"/>
      <w:marRight w:val="0"/>
      <w:marTop w:val="0"/>
      <w:marBottom w:val="0"/>
      <w:divBdr>
        <w:top w:val="none" w:sz="0" w:space="0" w:color="auto"/>
        <w:left w:val="none" w:sz="0" w:space="0" w:color="auto"/>
        <w:bottom w:val="none" w:sz="0" w:space="0" w:color="auto"/>
        <w:right w:val="none" w:sz="0" w:space="0" w:color="auto"/>
      </w:divBdr>
    </w:div>
    <w:div w:id="454376975">
      <w:bodyDiv w:val="1"/>
      <w:marLeft w:val="0"/>
      <w:marRight w:val="0"/>
      <w:marTop w:val="0"/>
      <w:marBottom w:val="0"/>
      <w:divBdr>
        <w:top w:val="none" w:sz="0" w:space="0" w:color="auto"/>
        <w:left w:val="none" w:sz="0" w:space="0" w:color="auto"/>
        <w:bottom w:val="none" w:sz="0" w:space="0" w:color="auto"/>
        <w:right w:val="none" w:sz="0" w:space="0" w:color="auto"/>
      </w:divBdr>
    </w:div>
    <w:div w:id="459809537">
      <w:bodyDiv w:val="1"/>
      <w:marLeft w:val="0"/>
      <w:marRight w:val="0"/>
      <w:marTop w:val="0"/>
      <w:marBottom w:val="0"/>
      <w:divBdr>
        <w:top w:val="none" w:sz="0" w:space="0" w:color="auto"/>
        <w:left w:val="none" w:sz="0" w:space="0" w:color="auto"/>
        <w:bottom w:val="none" w:sz="0" w:space="0" w:color="auto"/>
        <w:right w:val="none" w:sz="0" w:space="0" w:color="auto"/>
      </w:divBdr>
    </w:div>
    <w:div w:id="470557389">
      <w:bodyDiv w:val="1"/>
      <w:marLeft w:val="0"/>
      <w:marRight w:val="0"/>
      <w:marTop w:val="0"/>
      <w:marBottom w:val="0"/>
      <w:divBdr>
        <w:top w:val="none" w:sz="0" w:space="0" w:color="auto"/>
        <w:left w:val="none" w:sz="0" w:space="0" w:color="auto"/>
        <w:bottom w:val="none" w:sz="0" w:space="0" w:color="auto"/>
        <w:right w:val="none" w:sz="0" w:space="0" w:color="auto"/>
      </w:divBdr>
    </w:div>
    <w:div w:id="601647688">
      <w:bodyDiv w:val="1"/>
      <w:marLeft w:val="0"/>
      <w:marRight w:val="0"/>
      <w:marTop w:val="0"/>
      <w:marBottom w:val="0"/>
      <w:divBdr>
        <w:top w:val="none" w:sz="0" w:space="0" w:color="auto"/>
        <w:left w:val="none" w:sz="0" w:space="0" w:color="auto"/>
        <w:bottom w:val="none" w:sz="0" w:space="0" w:color="auto"/>
        <w:right w:val="none" w:sz="0" w:space="0" w:color="auto"/>
      </w:divBdr>
    </w:div>
    <w:div w:id="647172227">
      <w:bodyDiv w:val="1"/>
      <w:marLeft w:val="0"/>
      <w:marRight w:val="0"/>
      <w:marTop w:val="0"/>
      <w:marBottom w:val="0"/>
      <w:divBdr>
        <w:top w:val="none" w:sz="0" w:space="0" w:color="auto"/>
        <w:left w:val="none" w:sz="0" w:space="0" w:color="auto"/>
        <w:bottom w:val="none" w:sz="0" w:space="0" w:color="auto"/>
        <w:right w:val="none" w:sz="0" w:space="0" w:color="auto"/>
      </w:divBdr>
    </w:div>
    <w:div w:id="779908737">
      <w:bodyDiv w:val="1"/>
      <w:marLeft w:val="0"/>
      <w:marRight w:val="0"/>
      <w:marTop w:val="0"/>
      <w:marBottom w:val="0"/>
      <w:divBdr>
        <w:top w:val="none" w:sz="0" w:space="0" w:color="auto"/>
        <w:left w:val="none" w:sz="0" w:space="0" w:color="auto"/>
        <w:bottom w:val="none" w:sz="0" w:space="0" w:color="auto"/>
        <w:right w:val="none" w:sz="0" w:space="0" w:color="auto"/>
      </w:divBdr>
    </w:div>
    <w:div w:id="820778729">
      <w:bodyDiv w:val="1"/>
      <w:marLeft w:val="0"/>
      <w:marRight w:val="0"/>
      <w:marTop w:val="0"/>
      <w:marBottom w:val="0"/>
      <w:divBdr>
        <w:top w:val="none" w:sz="0" w:space="0" w:color="auto"/>
        <w:left w:val="none" w:sz="0" w:space="0" w:color="auto"/>
        <w:bottom w:val="none" w:sz="0" w:space="0" w:color="auto"/>
        <w:right w:val="none" w:sz="0" w:space="0" w:color="auto"/>
      </w:divBdr>
    </w:div>
    <w:div w:id="990475719">
      <w:bodyDiv w:val="1"/>
      <w:marLeft w:val="0"/>
      <w:marRight w:val="0"/>
      <w:marTop w:val="0"/>
      <w:marBottom w:val="0"/>
      <w:divBdr>
        <w:top w:val="none" w:sz="0" w:space="0" w:color="auto"/>
        <w:left w:val="none" w:sz="0" w:space="0" w:color="auto"/>
        <w:bottom w:val="none" w:sz="0" w:space="0" w:color="auto"/>
        <w:right w:val="none" w:sz="0" w:space="0" w:color="auto"/>
      </w:divBdr>
    </w:div>
    <w:div w:id="1095440554">
      <w:bodyDiv w:val="1"/>
      <w:marLeft w:val="0"/>
      <w:marRight w:val="0"/>
      <w:marTop w:val="0"/>
      <w:marBottom w:val="0"/>
      <w:divBdr>
        <w:top w:val="none" w:sz="0" w:space="0" w:color="auto"/>
        <w:left w:val="none" w:sz="0" w:space="0" w:color="auto"/>
        <w:bottom w:val="none" w:sz="0" w:space="0" w:color="auto"/>
        <w:right w:val="none" w:sz="0" w:space="0" w:color="auto"/>
      </w:divBdr>
    </w:div>
    <w:div w:id="1296833014">
      <w:bodyDiv w:val="1"/>
      <w:marLeft w:val="0"/>
      <w:marRight w:val="0"/>
      <w:marTop w:val="0"/>
      <w:marBottom w:val="0"/>
      <w:divBdr>
        <w:top w:val="none" w:sz="0" w:space="0" w:color="auto"/>
        <w:left w:val="none" w:sz="0" w:space="0" w:color="auto"/>
        <w:bottom w:val="none" w:sz="0" w:space="0" w:color="auto"/>
        <w:right w:val="none" w:sz="0" w:space="0" w:color="auto"/>
      </w:divBdr>
    </w:div>
    <w:div w:id="1319067008">
      <w:bodyDiv w:val="1"/>
      <w:marLeft w:val="0"/>
      <w:marRight w:val="0"/>
      <w:marTop w:val="0"/>
      <w:marBottom w:val="0"/>
      <w:divBdr>
        <w:top w:val="none" w:sz="0" w:space="0" w:color="auto"/>
        <w:left w:val="none" w:sz="0" w:space="0" w:color="auto"/>
        <w:bottom w:val="none" w:sz="0" w:space="0" w:color="auto"/>
        <w:right w:val="none" w:sz="0" w:space="0" w:color="auto"/>
      </w:divBdr>
    </w:div>
    <w:div w:id="1359115795">
      <w:bodyDiv w:val="1"/>
      <w:marLeft w:val="0"/>
      <w:marRight w:val="0"/>
      <w:marTop w:val="0"/>
      <w:marBottom w:val="0"/>
      <w:divBdr>
        <w:top w:val="none" w:sz="0" w:space="0" w:color="auto"/>
        <w:left w:val="none" w:sz="0" w:space="0" w:color="auto"/>
        <w:bottom w:val="none" w:sz="0" w:space="0" w:color="auto"/>
        <w:right w:val="none" w:sz="0" w:space="0" w:color="auto"/>
      </w:divBdr>
    </w:div>
    <w:div w:id="1367754683">
      <w:bodyDiv w:val="1"/>
      <w:marLeft w:val="0"/>
      <w:marRight w:val="0"/>
      <w:marTop w:val="0"/>
      <w:marBottom w:val="0"/>
      <w:divBdr>
        <w:top w:val="none" w:sz="0" w:space="0" w:color="auto"/>
        <w:left w:val="none" w:sz="0" w:space="0" w:color="auto"/>
        <w:bottom w:val="none" w:sz="0" w:space="0" w:color="auto"/>
        <w:right w:val="none" w:sz="0" w:space="0" w:color="auto"/>
      </w:divBdr>
    </w:div>
    <w:div w:id="1594892744">
      <w:bodyDiv w:val="1"/>
      <w:marLeft w:val="0"/>
      <w:marRight w:val="0"/>
      <w:marTop w:val="0"/>
      <w:marBottom w:val="0"/>
      <w:divBdr>
        <w:top w:val="none" w:sz="0" w:space="0" w:color="auto"/>
        <w:left w:val="none" w:sz="0" w:space="0" w:color="auto"/>
        <w:bottom w:val="none" w:sz="0" w:space="0" w:color="auto"/>
        <w:right w:val="none" w:sz="0" w:space="0" w:color="auto"/>
      </w:divBdr>
    </w:div>
    <w:div w:id="1844660510">
      <w:bodyDiv w:val="1"/>
      <w:marLeft w:val="0"/>
      <w:marRight w:val="0"/>
      <w:marTop w:val="0"/>
      <w:marBottom w:val="0"/>
      <w:divBdr>
        <w:top w:val="none" w:sz="0" w:space="0" w:color="auto"/>
        <w:left w:val="none" w:sz="0" w:space="0" w:color="auto"/>
        <w:bottom w:val="none" w:sz="0" w:space="0" w:color="auto"/>
        <w:right w:val="none" w:sz="0" w:space="0" w:color="auto"/>
      </w:divBdr>
    </w:div>
    <w:div w:id="203456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E21DC5CDD18E4D88BAF1A931EB4023" ma:contentTypeVersion="19" ma:contentTypeDescription="Create a new document." ma:contentTypeScope="" ma:versionID="3ab41e2959be71b5d34c9bde94032b6b">
  <xsd:schema xmlns:xsd="http://www.w3.org/2001/XMLSchema" xmlns:xs="http://www.w3.org/2001/XMLSchema" xmlns:p="http://schemas.microsoft.com/office/2006/metadata/properties" xmlns:ns1="http://schemas.microsoft.com/sharepoint/v3" xmlns:ns2="86f6e348-abe5-4d56-9d23-1f98e7c16330" xmlns:ns3="a4ddc49a-2df6-4234-bb5b-ad51bd00edeb" targetNamespace="http://schemas.microsoft.com/office/2006/metadata/properties" ma:root="true" ma:fieldsID="6e643045f69c131423c38a0adcbecc24" ns1:_="" ns2:_="" ns3:_="">
    <xsd:import namespace="http://schemas.microsoft.com/sharepoint/v3"/>
    <xsd:import namespace="86f6e348-abe5-4d56-9d23-1f98e7c16330"/>
    <xsd:import namespace="a4ddc49a-2df6-4234-bb5b-ad51bd00ede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f6e348-abe5-4d56-9d23-1f98e7c163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23deb3c-b9f3-4fad-b534-fe0741e7144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ddc49a-2df6-4234-bb5b-ad51bd00ede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597b84d-2dd6-486a-9e28-313ba63a00dd}" ma:internalName="TaxCatchAll" ma:showField="CatchAllData" ma:web="a4ddc49a-2df6-4234-bb5b-ad51bd00e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4ddc49a-2df6-4234-bb5b-ad51bd00edeb" xsi:nil="true"/>
    <_ip_UnifiedCompliancePolicyProperties xmlns="http://schemas.microsoft.com/sharepoint/v3" xsi:nil="true"/>
    <lcf76f155ced4ddcb4097134ff3c332f xmlns="86f6e348-abe5-4d56-9d23-1f98e7c163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29F63D-169B-43DA-A82F-A0C23ACEEA96}"/>
</file>

<file path=customXml/itemProps2.xml><?xml version="1.0" encoding="utf-8"?>
<ds:datastoreItem xmlns:ds="http://schemas.openxmlformats.org/officeDocument/2006/customXml" ds:itemID="{6482DCD6-B68A-46EE-88A9-2A7D92CCBCC4}"/>
</file>

<file path=customXml/itemProps3.xml><?xml version="1.0" encoding="utf-8"?>
<ds:datastoreItem xmlns:ds="http://schemas.openxmlformats.org/officeDocument/2006/customXml" ds:itemID="{6F3AEEAE-A6D5-4E93-92C0-BA6ABED0A11E}"/>
</file>

<file path=docProps/app.xml><?xml version="1.0" encoding="utf-8"?>
<Properties xmlns="http://schemas.openxmlformats.org/officeDocument/2006/extended-properties" xmlns:vt="http://schemas.openxmlformats.org/officeDocument/2006/docPropsVTypes">
  <Template>Normal</Template>
  <TotalTime>65</TotalTime>
  <Pages>7</Pages>
  <Words>3350</Words>
  <Characters>19101</Characters>
  <Application>Microsoft Office Word</Application>
  <DocSecurity>0</DocSecurity>
  <Lines>159</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Vilim, Peter</dc:creator>
  <cp:keywords/>
  <dc:description/>
  <cp:lastModifiedBy>Vilim, Peter</cp:lastModifiedBy>
  <cp:revision>6</cp:revision>
  <dcterms:created xsi:type="dcterms:W3CDTF">2024-11-29T08:59:00Z</dcterms:created>
  <dcterms:modified xsi:type="dcterms:W3CDTF">2024-11-29T10:04:00Z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0x010100B5E21DC5CDD18E4D88BAF1A931EB4023</vt:lpwstr>
  </property>
</Properties>
</file>