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00A17" w14:textId="77777777" w:rsidR="005474AF" w:rsidRPr="009066B5" w:rsidRDefault="005474AF" w:rsidP="005474AF">
      <w:pPr>
        <w:ind w:left="284" w:hanging="284"/>
        <w:rPr>
          <w:b/>
          <w:sz w:val="20"/>
          <w:szCs w:val="20"/>
          <w:lang w:val="sk-SK"/>
        </w:rPr>
      </w:pPr>
      <w:r w:rsidRPr="009066B5">
        <w:rPr>
          <w:b/>
          <w:sz w:val="20"/>
          <w:szCs w:val="20"/>
          <w:lang w:val="sk-SK"/>
        </w:rPr>
        <w:t>B.1</w:t>
      </w:r>
      <w:r w:rsidRPr="009066B5">
        <w:rPr>
          <w:b/>
          <w:sz w:val="20"/>
          <w:szCs w:val="20"/>
          <w:lang w:val="sk-SK"/>
        </w:rPr>
        <w:tab/>
        <w:t>Opis predmetu zákazky</w:t>
      </w:r>
    </w:p>
    <w:p w14:paraId="760FDBD6" w14:textId="77777777" w:rsidR="005474AF" w:rsidRPr="009066B5" w:rsidRDefault="005474AF" w:rsidP="005474AF">
      <w:pPr>
        <w:jc w:val="both"/>
        <w:rPr>
          <w:bCs/>
          <w:color w:val="000000"/>
          <w:sz w:val="20"/>
          <w:szCs w:val="20"/>
          <w:lang w:val="sk-SK"/>
        </w:rPr>
      </w:pPr>
    </w:p>
    <w:p w14:paraId="59718585" w14:textId="62E73730" w:rsidR="005474AF" w:rsidRPr="009066B5" w:rsidRDefault="005474AF" w:rsidP="005474AF">
      <w:pPr>
        <w:jc w:val="both"/>
        <w:rPr>
          <w:sz w:val="20"/>
          <w:szCs w:val="20"/>
          <w:lang w:val="sk-SK"/>
        </w:rPr>
      </w:pPr>
      <w:r w:rsidRPr="6A0A9623">
        <w:rPr>
          <w:sz w:val="20"/>
          <w:szCs w:val="20"/>
          <w:lang w:val="sk-SK"/>
        </w:rPr>
        <w:t>Predmetom zákazky je zabezpečenie centrálnej rámcovej dohody na zabezpečenie služieb licenčnej podpory SAP softvérových licencií v majetku štátu a produktov SAP na obdobie 60 mesiacov od nadobudnutia účinnosti zmluvy</w:t>
      </w:r>
      <w:r w:rsidR="00427D0B" w:rsidRPr="6A0A9623">
        <w:rPr>
          <w:sz w:val="20"/>
          <w:szCs w:val="20"/>
          <w:lang w:val="sk-SK"/>
        </w:rPr>
        <w:t xml:space="preserve"> </w:t>
      </w:r>
      <w:r w:rsidR="00722732" w:rsidRPr="6A0A9623">
        <w:rPr>
          <w:sz w:val="20"/>
          <w:szCs w:val="20"/>
          <w:lang w:val="sk-SK"/>
        </w:rPr>
        <w:t>nadväzujúc na</w:t>
      </w:r>
      <w:r w:rsidR="00427D0B" w:rsidRPr="6A0A9623">
        <w:rPr>
          <w:sz w:val="20"/>
          <w:szCs w:val="20"/>
          <w:lang w:val="sk-SK"/>
        </w:rPr>
        <w:t xml:space="preserve"> </w:t>
      </w:r>
      <w:r w:rsidR="00722732" w:rsidRPr="6A0A9623">
        <w:rPr>
          <w:sz w:val="20"/>
          <w:szCs w:val="20"/>
          <w:lang w:val="sk-SK"/>
        </w:rPr>
        <w:t xml:space="preserve">terajšiu centrálnu rámcovú dohodu s názvom  </w:t>
      </w:r>
      <w:r w:rsidR="00427D0B" w:rsidRPr="6A0A9623">
        <w:rPr>
          <w:sz w:val="20"/>
          <w:szCs w:val="20"/>
          <w:lang w:val="sk-SK"/>
        </w:rPr>
        <w:t>„Rámcová dohoda na zabezpečenie licenčnej podpory licencií SAP, produktov SAP a služieb s nimi súvisiacich č. 2880/2022“</w:t>
      </w:r>
      <w:r w:rsidRPr="6A0A9623">
        <w:rPr>
          <w:sz w:val="20"/>
          <w:szCs w:val="20"/>
          <w:lang w:val="sk-SK"/>
        </w:rPr>
        <w:t>, za účelom zabezpečenia kontinuity prevádzky jednotlivých IS v rámci verejného sektora na platforme SAP, ako aj zabezpečenie súvisiacich služieb.</w:t>
      </w:r>
    </w:p>
    <w:p w14:paraId="731C24FE" w14:textId="77777777" w:rsidR="005474AF" w:rsidRPr="009066B5" w:rsidRDefault="005474AF" w:rsidP="005474AF">
      <w:pPr>
        <w:tabs>
          <w:tab w:val="left" w:pos="1641"/>
        </w:tabs>
        <w:spacing w:before="6"/>
        <w:ind w:left="720"/>
        <w:jc w:val="both"/>
        <w:rPr>
          <w:sz w:val="20"/>
          <w:szCs w:val="20"/>
          <w:lang w:val="sk-SK"/>
        </w:rPr>
      </w:pPr>
    </w:p>
    <w:p w14:paraId="19C410C6" w14:textId="5B3D0C1F" w:rsidR="005474AF" w:rsidRPr="009066B5" w:rsidRDefault="005474AF" w:rsidP="005474AF">
      <w:pPr>
        <w:spacing w:after="60"/>
        <w:jc w:val="both"/>
        <w:rPr>
          <w:bCs/>
          <w:sz w:val="20"/>
          <w:szCs w:val="20"/>
          <w:lang w:val="sk-SK"/>
        </w:rPr>
      </w:pPr>
      <w:r w:rsidRPr="009066B5">
        <w:rPr>
          <w:bCs/>
          <w:sz w:val="20"/>
          <w:szCs w:val="20"/>
          <w:lang w:val="sk-SK"/>
        </w:rPr>
        <w:t>Verejný obstarávateľ, Ministerstvo investícii, regionálneho rozvoja a informatizácie Slovenskej republiky (ďalej len „</w:t>
      </w:r>
      <w:r w:rsidRPr="009066B5">
        <w:rPr>
          <w:b/>
          <w:sz w:val="20"/>
          <w:szCs w:val="20"/>
          <w:lang w:val="sk-SK"/>
        </w:rPr>
        <w:t>MIRRI SR</w:t>
      </w:r>
      <w:r w:rsidRPr="009066B5">
        <w:rPr>
          <w:bCs/>
          <w:sz w:val="20"/>
          <w:szCs w:val="20"/>
          <w:lang w:val="sk-SK"/>
        </w:rPr>
        <w:t xml:space="preserve">“) je zároveň </w:t>
      </w:r>
      <w:r w:rsidR="00EF5A39">
        <w:rPr>
          <w:bCs/>
          <w:sz w:val="20"/>
          <w:szCs w:val="20"/>
          <w:lang w:val="sk-SK"/>
        </w:rPr>
        <w:t>c</w:t>
      </w:r>
      <w:r w:rsidRPr="009066B5">
        <w:rPr>
          <w:bCs/>
          <w:sz w:val="20"/>
          <w:szCs w:val="20"/>
          <w:lang w:val="sk-SK"/>
        </w:rPr>
        <w:t>entrálna obstarávacia organizácia (ďalej len „</w:t>
      </w:r>
      <w:r w:rsidRPr="009066B5">
        <w:rPr>
          <w:b/>
          <w:sz w:val="20"/>
          <w:szCs w:val="20"/>
          <w:lang w:val="sk-SK"/>
        </w:rPr>
        <w:t>COO</w:t>
      </w:r>
      <w:r w:rsidRPr="009066B5">
        <w:rPr>
          <w:bCs/>
          <w:sz w:val="20"/>
          <w:szCs w:val="20"/>
          <w:lang w:val="sk-SK"/>
        </w:rPr>
        <w:t>“) a má za cieľ prostredníctvom rámcovej dohody (ďalej len „</w:t>
      </w:r>
      <w:r w:rsidRPr="009066B5">
        <w:rPr>
          <w:b/>
          <w:sz w:val="20"/>
          <w:szCs w:val="20"/>
          <w:lang w:val="sk-SK"/>
        </w:rPr>
        <w:t>RD</w:t>
      </w:r>
      <w:r w:rsidRPr="009066B5">
        <w:rPr>
          <w:bCs/>
          <w:sz w:val="20"/>
          <w:szCs w:val="20"/>
          <w:lang w:val="sk-SK"/>
        </w:rPr>
        <w:t>“) uzavretej na 60 mesiacov zabezpečiť, aby produkty a služby SAP vrátane služieb s tým súvisiacich a ich aktualizáciou a podporou pre potreby COO a jednotlivé oprávnené subjekty RD boli poskytované za rovnakých podmienok, prostredníctvom COO, a to na základe Dohody o pristúpení k Rámcovej dohode na zabezpečenie služieb licenčnej podpory licencií SAP, produktov SAP a služieb s nimi súvisiacich v spojitosti s udelením písomného súhlasu COO k následnému vystaveniu objednávky.</w:t>
      </w:r>
    </w:p>
    <w:p w14:paraId="11C43002" w14:textId="77777777" w:rsidR="005474AF" w:rsidRPr="009066B5" w:rsidRDefault="005474AF" w:rsidP="005474AF">
      <w:pPr>
        <w:jc w:val="both"/>
        <w:rPr>
          <w:bCs/>
          <w:sz w:val="20"/>
          <w:szCs w:val="20"/>
          <w:lang w:val="sk-SK"/>
        </w:rPr>
      </w:pPr>
    </w:p>
    <w:p w14:paraId="2E72796B" w14:textId="77777777" w:rsidR="005474AF" w:rsidRPr="009066B5" w:rsidRDefault="005474AF" w:rsidP="005474AF">
      <w:pPr>
        <w:rPr>
          <w:bCs/>
          <w:sz w:val="20"/>
          <w:szCs w:val="20"/>
          <w:lang w:val="sk-SK"/>
        </w:rPr>
      </w:pPr>
      <w:r w:rsidRPr="009066B5">
        <w:rPr>
          <w:bCs/>
          <w:sz w:val="20"/>
          <w:szCs w:val="20"/>
          <w:lang w:val="sk-SK"/>
        </w:rPr>
        <w:t xml:space="preserve">Predmet zákazky zahŕňa nasledovné plnenia, a to: </w:t>
      </w:r>
    </w:p>
    <w:p w14:paraId="78A8DCA7" w14:textId="72B2E513" w:rsidR="005474AF" w:rsidRPr="009066B5" w:rsidRDefault="005474AF" w:rsidP="005474AF">
      <w:pPr>
        <w:ind w:left="567" w:hanging="567"/>
        <w:jc w:val="both"/>
        <w:rPr>
          <w:bCs/>
          <w:sz w:val="20"/>
          <w:szCs w:val="20"/>
          <w:lang w:val="sk-SK"/>
        </w:rPr>
      </w:pPr>
      <w:r w:rsidRPr="009066B5">
        <w:rPr>
          <w:bCs/>
          <w:sz w:val="20"/>
          <w:szCs w:val="20"/>
          <w:lang w:val="sk-SK"/>
        </w:rPr>
        <w:t>-</w:t>
      </w:r>
      <w:r w:rsidRPr="009066B5">
        <w:rPr>
          <w:bCs/>
          <w:sz w:val="20"/>
          <w:szCs w:val="20"/>
          <w:lang w:val="sk-SK"/>
        </w:rPr>
        <w:tab/>
        <w:t xml:space="preserve">zabezpečenie </w:t>
      </w:r>
      <w:r w:rsidRPr="009066B5">
        <w:rPr>
          <w:b/>
          <w:bCs/>
          <w:sz w:val="20"/>
          <w:szCs w:val="20"/>
          <w:lang w:val="sk-SK"/>
        </w:rPr>
        <w:t>služieb podpory licencií SAP</w:t>
      </w:r>
      <w:r w:rsidRPr="009066B5">
        <w:rPr>
          <w:bCs/>
          <w:sz w:val="20"/>
          <w:szCs w:val="20"/>
          <w:lang w:val="sk-SK"/>
        </w:rPr>
        <w:t xml:space="preserve"> pre jednotlivé oprávnené subjekty a ich licencie uvedené v tabuľke č. 1 „Zoznam terajších Oprávnených subjektov a nimi licencovaných produktov Softvéru SAP“ tohto opisu predmetu zákazky. Verejný obstarávateľ zároveň požaduje zabezpečiť službu podpory licencií SAP aj pre potenciálne pristupujúce organizácie a službu podpory pre novo zakúpené licencie</w:t>
      </w:r>
      <w:r w:rsidR="00215CCA" w:rsidRPr="009066B5">
        <w:rPr>
          <w:bCs/>
          <w:sz w:val="20"/>
          <w:szCs w:val="20"/>
          <w:lang w:val="sk-SK"/>
        </w:rPr>
        <w:t>;</w:t>
      </w:r>
    </w:p>
    <w:p w14:paraId="78AAA6EC" w14:textId="0AD42241" w:rsidR="00215CCA" w:rsidRPr="009066B5" w:rsidRDefault="00215CCA" w:rsidP="005474AF">
      <w:pPr>
        <w:ind w:left="567" w:hanging="567"/>
        <w:jc w:val="both"/>
        <w:rPr>
          <w:sz w:val="20"/>
          <w:szCs w:val="20"/>
          <w:lang w:val="sk-SK"/>
        </w:rPr>
      </w:pPr>
      <w:r w:rsidRPr="009066B5">
        <w:rPr>
          <w:bCs/>
          <w:sz w:val="20"/>
          <w:szCs w:val="20"/>
          <w:lang w:val="sk-SK"/>
        </w:rPr>
        <w:t>-</w:t>
      </w:r>
      <w:r w:rsidRPr="009066B5">
        <w:rPr>
          <w:bCs/>
          <w:sz w:val="20"/>
          <w:szCs w:val="20"/>
          <w:lang w:val="sk-SK"/>
        </w:rPr>
        <w:tab/>
        <w:t xml:space="preserve">zabezpečenie </w:t>
      </w:r>
      <w:r w:rsidRPr="009066B5">
        <w:rPr>
          <w:b/>
          <w:sz w:val="20"/>
          <w:szCs w:val="20"/>
          <w:lang w:val="sk-SK"/>
        </w:rPr>
        <w:t>služieb rozšírenej podpory licencií SAP</w:t>
      </w:r>
      <w:r w:rsidRPr="009066B5">
        <w:rPr>
          <w:bCs/>
          <w:sz w:val="20"/>
          <w:szCs w:val="20"/>
          <w:lang w:val="sk-SK"/>
        </w:rPr>
        <w:t xml:space="preserve"> pre jednotlivé oprávnené subjekty a ich licencie SAP ECC po</w:t>
      </w:r>
      <w:r w:rsidR="00771040" w:rsidRPr="009066B5">
        <w:rPr>
          <w:bCs/>
          <w:sz w:val="20"/>
          <w:szCs w:val="20"/>
          <w:lang w:val="sk-SK"/>
        </w:rPr>
        <w:t xml:space="preserve"> oficiálnom</w:t>
      </w:r>
      <w:r w:rsidRPr="009066B5">
        <w:rPr>
          <w:bCs/>
          <w:sz w:val="20"/>
          <w:szCs w:val="20"/>
          <w:lang w:val="sk-SK"/>
        </w:rPr>
        <w:t xml:space="preserve"> ukončení</w:t>
      </w:r>
      <w:r w:rsidR="00771040" w:rsidRPr="009066B5">
        <w:rPr>
          <w:bCs/>
          <w:sz w:val="20"/>
          <w:szCs w:val="20"/>
          <w:lang w:val="sk-SK"/>
        </w:rPr>
        <w:t xml:space="preserve"> bežnej podpory, t</w:t>
      </w:r>
      <w:r w:rsidR="00477284">
        <w:rPr>
          <w:bCs/>
          <w:sz w:val="20"/>
          <w:szCs w:val="20"/>
          <w:lang w:val="sk-SK"/>
        </w:rPr>
        <w:t xml:space="preserve">. </w:t>
      </w:r>
      <w:r w:rsidR="00771040" w:rsidRPr="009066B5">
        <w:rPr>
          <w:bCs/>
          <w:sz w:val="20"/>
          <w:szCs w:val="20"/>
          <w:lang w:val="sk-SK"/>
        </w:rPr>
        <w:t>j</w:t>
      </w:r>
      <w:r w:rsidR="00477284">
        <w:rPr>
          <w:bCs/>
          <w:sz w:val="20"/>
          <w:szCs w:val="20"/>
          <w:lang w:val="sk-SK"/>
        </w:rPr>
        <w:t>.</w:t>
      </w:r>
      <w:r w:rsidR="00771040" w:rsidRPr="009066B5">
        <w:rPr>
          <w:bCs/>
          <w:sz w:val="20"/>
          <w:szCs w:val="20"/>
          <w:lang w:val="sk-SK"/>
        </w:rPr>
        <w:t xml:space="preserve"> po roku</w:t>
      </w:r>
      <w:r w:rsidRPr="009066B5">
        <w:rPr>
          <w:bCs/>
          <w:sz w:val="20"/>
          <w:szCs w:val="20"/>
          <w:lang w:val="sk-SK"/>
        </w:rPr>
        <w:t xml:space="preserve"> 2027;</w:t>
      </w:r>
    </w:p>
    <w:p w14:paraId="0125EA42" w14:textId="360679B7" w:rsidR="005474AF" w:rsidRPr="009066B5" w:rsidRDefault="005474AF" w:rsidP="005474AF">
      <w:pPr>
        <w:ind w:left="567" w:hanging="567"/>
        <w:jc w:val="both"/>
        <w:rPr>
          <w:bCs/>
          <w:sz w:val="20"/>
          <w:szCs w:val="20"/>
          <w:lang w:val="sk-SK"/>
        </w:rPr>
      </w:pPr>
      <w:r w:rsidRPr="009066B5">
        <w:rPr>
          <w:bCs/>
          <w:sz w:val="20"/>
          <w:szCs w:val="20"/>
          <w:lang w:val="sk-SK"/>
        </w:rPr>
        <w:t>-</w:t>
      </w:r>
      <w:r w:rsidRPr="009066B5">
        <w:rPr>
          <w:bCs/>
          <w:sz w:val="20"/>
          <w:szCs w:val="20"/>
          <w:lang w:val="sk-SK"/>
        </w:rPr>
        <w:tab/>
        <w:t xml:space="preserve">nákup </w:t>
      </w:r>
      <w:r w:rsidRPr="009066B5">
        <w:rPr>
          <w:b/>
          <w:bCs/>
          <w:sz w:val="20"/>
          <w:szCs w:val="20"/>
          <w:lang w:val="sk-SK"/>
        </w:rPr>
        <w:t>nových licencií SAP a/alebo cloudových služieb SAP</w:t>
      </w:r>
      <w:r w:rsidRPr="009066B5">
        <w:rPr>
          <w:bCs/>
          <w:sz w:val="20"/>
          <w:szCs w:val="20"/>
          <w:lang w:val="sk-SK"/>
        </w:rPr>
        <w:t xml:space="preserve"> v zmysle skutočností uvedených nižšie</w:t>
      </w:r>
      <w:r w:rsidR="00215CCA" w:rsidRPr="009066B5">
        <w:rPr>
          <w:bCs/>
          <w:sz w:val="20"/>
          <w:szCs w:val="20"/>
          <w:lang w:val="sk-SK"/>
        </w:rPr>
        <w:t>;</w:t>
      </w:r>
    </w:p>
    <w:p w14:paraId="416E9033" w14:textId="440E9E72" w:rsidR="00AD18F0" w:rsidRDefault="005474AF" w:rsidP="00AD18F0">
      <w:pPr>
        <w:ind w:left="567" w:hanging="567"/>
        <w:jc w:val="both"/>
        <w:rPr>
          <w:sz w:val="20"/>
          <w:szCs w:val="20"/>
          <w:lang w:val="sk-SK"/>
        </w:rPr>
      </w:pPr>
      <w:r w:rsidRPr="11BA408C">
        <w:rPr>
          <w:sz w:val="20"/>
          <w:szCs w:val="20"/>
          <w:lang w:val="sk-SK"/>
        </w:rPr>
        <w:t>-</w:t>
      </w:r>
      <w:r>
        <w:tab/>
      </w:r>
      <w:r w:rsidRPr="11BA408C">
        <w:rPr>
          <w:b/>
          <w:bCs/>
          <w:sz w:val="20"/>
          <w:szCs w:val="20"/>
          <w:lang w:val="sk-SK"/>
        </w:rPr>
        <w:t>zabezpečenie požiadavky služieb podpory SAP Premium Engagement</w:t>
      </w:r>
      <w:r w:rsidRPr="11BA408C">
        <w:rPr>
          <w:sz w:val="20"/>
          <w:szCs w:val="20"/>
          <w:lang w:val="sk-SK"/>
        </w:rPr>
        <w:t xml:space="preserve"> počas celej doby trvania RD. Verejný obstarávateľ predpokladaná čerpanie</w:t>
      </w:r>
      <w:r w:rsidR="00771040" w:rsidRPr="11BA408C">
        <w:rPr>
          <w:sz w:val="20"/>
          <w:szCs w:val="20"/>
          <w:lang w:val="sk-SK"/>
        </w:rPr>
        <w:t xml:space="preserve"> </w:t>
      </w:r>
      <w:r w:rsidR="352EC7D6" w:rsidRPr="11BA408C">
        <w:rPr>
          <w:sz w:val="20"/>
          <w:szCs w:val="20"/>
          <w:lang w:val="sk-SK"/>
        </w:rPr>
        <w:t>maximálne</w:t>
      </w:r>
      <w:r w:rsidR="00771040" w:rsidRPr="11BA408C">
        <w:rPr>
          <w:sz w:val="20"/>
          <w:szCs w:val="20"/>
          <w:lang w:val="sk-SK"/>
        </w:rPr>
        <w:t xml:space="preserve"> </w:t>
      </w:r>
      <w:r w:rsidR="2A55F26C" w:rsidRPr="11BA408C">
        <w:rPr>
          <w:sz w:val="20"/>
          <w:szCs w:val="20"/>
          <w:lang w:val="sk-SK"/>
        </w:rPr>
        <w:t>5</w:t>
      </w:r>
      <w:r w:rsidR="00771040" w:rsidRPr="11BA408C">
        <w:rPr>
          <w:sz w:val="20"/>
          <w:szCs w:val="20"/>
          <w:lang w:val="sk-SK"/>
        </w:rPr>
        <w:t>000</w:t>
      </w:r>
      <w:r w:rsidRPr="11BA408C">
        <w:rPr>
          <w:sz w:val="20"/>
          <w:szCs w:val="20"/>
          <w:lang w:val="sk-SK"/>
        </w:rPr>
        <w:t xml:space="preserve"> človekodní počas platnosti </w:t>
      </w:r>
      <w:r w:rsidR="00EF5A39">
        <w:rPr>
          <w:sz w:val="20"/>
          <w:szCs w:val="20"/>
          <w:lang w:val="sk-SK"/>
        </w:rPr>
        <w:t>RD</w:t>
      </w:r>
      <w:r w:rsidR="009066B5" w:rsidRPr="11BA408C">
        <w:rPr>
          <w:sz w:val="20"/>
          <w:szCs w:val="20"/>
          <w:lang w:val="sk-SK"/>
        </w:rPr>
        <w:t>;</w:t>
      </w:r>
    </w:p>
    <w:p w14:paraId="56B76095" w14:textId="152A3D56" w:rsidR="009066B5" w:rsidRPr="009066B5" w:rsidRDefault="009066B5" w:rsidP="00AD18F0">
      <w:pPr>
        <w:ind w:left="567" w:hanging="567"/>
        <w:jc w:val="both"/>
        <w:rPr>
          <w:sz w:val="20"/>
          <w:szCs w:val="20"/>
          <w:lang w:val="sk-SK"/>
        </w:rPr>
      </w:pPr>
      <w:r>
        <w:rPr>
          <w:sz w:val="20"/>
          <w:szCs w:val="20"/>
          <w:lang w:val="sk-SK"/>
        </w:rPr>
        <w:t>-</w:t>
      </w:r>
      <w:r>
        <w:rPr>
          <w:sz w:val="20"/>
          <w:szCs w:val="20"/>
          <w:lang w:val="sk-SK"/>
        </w:rPr>
        <w:tab/>
      </w:r>
      <w:r w:rsidRPr="009066B5">
        <w:rPr>
          <w:b/>
          <w:bCs/>
          <w:sz w:val="20"/>
          <w:szCs w:val="20"/>
          <w:lang w:val="sk-SK"/>
        </w:rPr>
        <w:t>zabezpečenie požiadavky služieb SAP Professional services</w:t>
      </w:r>
      <w:r>
        <w:rPr>
          <w:sz w:val="20"/>
          <w:szCs w:val="20"/>
          <w:lang w:val="sk-SK"/>
        </w:rPr>
        <w:t xml:space="preserve"> ako expertných konzultačných služieb </w:t>
      </w:r>
      <w:r w:rsidRPr="009066B5">
        <w:rPr>
          <w:sz w:val="20"/>
          <w:szCs w:val="20"/>
          <w:lang w:val="sk-SK"/>
        </w:rPr>
        <w:t>a vzdelávania pre potreby zriadenia a prevádzkovania Kompetenčného centra SAP domény štátnej správy.</w:t>
      </w:r>
    </w:p>
    <w:p w14:paraId="716D932E" w14:textId="77777777" w:rsidR="009066B5" w:rsidRPr="009066B5" w:rsidRDefault="009066B5" w:rsidP="00AD18F0">
      <w:pPr>
        <w:ind w:left="567" w:hanging="567"/>
        <w:jc w:val="both"/>
        <w:rPr>
          <w:sz w:val="20"/>
          <w:szCs w:val="20"/>
        </w:rPr>
      </w:pPr>
    </w:p>
    <w:p w14:paraId="282E3624" w14:textId="77777777" w:rsidR="005474AF" w:rsidRPr="009066B5" w:rsidRDefault="005474AF" w:rsidP="005474AF">
      <w:pPr>
        <w:spacing w:after="60"/>
        <w:jc w:val="both"/>
        <w:rPr>
          <w:bCs/>
          <w:sz w:val="20"/>
          <w:szCs w:val="20"/>
          <w:lang w:val="sk-SK"/>
        </w:rPr>
      </w:pPr>
      <w:r w:rsidRPr="009066B5">
        <w:rPr>
          <w:bCs/>
          <w:sz w:val="20"/>
          <w:szCs w:val="20"/>
          <w:lang w:val="sk-SK"/>
        </w:rPr>
        <w:t>Hlavný podiel predstavuje zabezpečenie služieb licenčnej podpory SAP licencií, ktoré sú obstarávané za účelom kontinuálnej potreby zabezpečenia licenčnej podpory SAP licencií v rámci jednotlivých organizácií verejného sektora. Licencie SAP sa v rámci verejného sektora v SR využívajú od roku 1998 v rámci v jednotlivých ekonomických, logistických, integrovaných prevádzkovo-ekonomických, manažérskych systémoch, pričom mnohé z týchto systémov sú prvkami kritickej infraštruktúry.</w:t>
      </w:r>
    </w:p>
    <w:p w14:paraId="0FDFCC83" w14:textId="77777777" w:rsidR="005474AF" w:rsidRPr="009066B5" w:rsidRDefault="005474AF" w:rsidP="005474AF">
      <w:pPr>
        <w:jc w:val="both"/>
        <w:rPr>
          <w:bCs/>
          <w:sz w:val="20"/>
          <w:szCs w:val="20"/>
          <w:lang w:val="sk-SK"/>
        </w:rPr>
      </w:pPr>
      <w:r w:rsidRPr="009066B5">
        <w:rPr>
          <w:bCs/>
          <w:sz w:val="20"/>
          <w:szCs w:val="20"/>
          <w:lang w:val="sk-SK"/>
        </w:rPr>
        <w:t>Primárnym cieľom centrálnej RD je zabezpečenie ekonomicky udržateľného riešenia služieb licenčnej podpory SAP licencií, ktoré by nebolo možné získať každej organizácii samostatne.</w:t>
      </w:r>
    </w:p>
    <w:p w14:paraId="17B5715E" w14:textId="77777777" w:rsidR="005474AF" w:rsidRPr="009066B5" w:rsidRDefault="005474AF" w:rsidP="005474AF">
      <w:pPr>
        <w:jc w:val="both"/>
        <w:rPr>
          <w:bCs/>
          <w:sz w:val="20"/>
          <w:szCs w:val="20"/>
          <w:lang w:val="sk-SK"/>
        </w:rPr>
      </w:pPr>
    </w:p>
    <w:p w14:paraId="518C87C9" w14:textId="7FE14B6F" w:rsidR="005474AF" w:rsidRPr="009066B5" w:rsidRDefault="005474AF" w:rsidP="00427D0B">
      <w:pPr>
        <w:spacing w:after="120"/>
        <w:jc w:val="both"/>
        <w:rPr>
          <w:b/>
          <w:sz w:val="20"/>
          <w:szCs w:val="20"/>
          <w:lang w:val="sk-SK"/>
        </w:rPr>
      </w:pPr>
      <w:r w:rsidRPr="009066B5">
        <w:rPr>
          <w:b/>
          <w:sz w:val="20"/>
          <w:szCs w:val="20"/>
          <w:lang w:val="sk-SK"/>
        </w:rPr>
        <w:t xml:space="preserve">Špecifikácia </w:t>
      </w:r>
      <w:r w:rsidR="00722732" w:rsidRPr="009066B5">
        <w:rPr>
          <w:b/>
          <w:sz w:val="20"/>
          <w:szCs w:val="20"/>
          <w:lang w:val="sk-SK"/>
        </w:rPr>
        <w:t>r</w:t>
      </w:r>
      <w:r w:rsidR="00722732">
        <w:rPr>
          <w:b/>
          <w:sz w:val="20"/>
          <w:szCs w:val="20"/>
          <w:lang w:val="sk-SK"/>
        </w:rPr>
        <w:t xml:space="preserve">ozsahu </w:t>
      </w:r>
      <w:r w:rsidRPr="009066B5">
        <w:rPr>
          <w:b/>
          <w:sz w:val="20"/>
          <w:szCs w:val="20"/>
          <w:lang w:val="sk-SK"/>
        </w:rPr>
        <w:t xml:space="preserve">na služby podpory licencií SAP pre </w:t>
      </w:r>
      <w:r w:rsidR="00427D0B" w:rsidRPr="009066B5">
        <w:rPr>
          <w:b/>
          <w:sz w:val="20"/>
          <w:szCs w:val="20"/>
          <w:lang w:val="sk-SK"/>
        </w:rPr>
        <w:t>terajšie</w:t>
      </w:r>
      <w:r w:rsidRPr="009066B5">
        <w:rPr>
          <w:b/>
          <w:sz w:val="20"/>
          <w:szCs w:val="20"/>
          <w:lang w:val="sk-SK"/>
        </w:rPr>
        <w:t xml:space="preserve"> zapojené organizácie k dátumu predpokladaného uzatvorenia RD vrátane súčasnej nákupnej hodnoty licencií týchto organizácií:</w:t>
      </w:r>
    </w:p>
    <w:p w14:paraId="1741F9BF" w14:textId="0117E13B" w:rsidR="005474AF" w:rsidRPr="009066B5" w:rsidRDefault="005474AF" w:rsidP="005474AF">
      <w:pPr>
        <w:jc w:val="both"/>
        <w:rPr>
          <w:bCs/>
          <w:sz w:val="20"/>
          <w:szCs w:val="20"/>
          <w:lang w:val="sk-SK"/>
        </w:rPr>
      </w:pPr>
      <w:r w:rsidRPr="009066B5">
        <w:rPr>
          <w:bCs/>
          <w:sz w:val="20"/>
          <w:szCs w:val="20"/>
          <w:lang w:val="sk-SK"/>
        </w:rPr>
        <w:t>Rámcová dohoda reflektuje potrebu zabezpečenia služieb podpory pre MF SR, MV SR</w:t>
      </w:r>
      <w:r w:rsidR="00427D0B" w:rsidRPr="009066B5">
        <w:rPr>
          <w:bCs/>
          <w:sz w:val="20"/>
          <w:szCs w:val="20"/>
          <w:lang w:val="sk-SK"/>
        </w:rPr>
        <w:t>, MO SR,</w:t>
      </w:r>
      <w:r w:rsidRPr="009066B5">
        <w:rPr>
          <w:bCs/>
          <w:sz w:val="20"/>
          <w:szCs w:val="20"/>
          <w:lang w:val="sk-SK"/>
        </w:rPr>
        <w:t> MŠVVaŠ SR</w:t>
      </w:r>
      <w:r w:rsidR="00427D0B" w:rsidRPr="009066B5">
        <w:rPr>
          <w:bCs/>
          <w:sz w:val="20"/>
          <w:szCs w:val="20"/>
          <w:lang w:val="sk-SK"/>
        </w:rPr>
        <w:t>, NDS, a.s., VšZP, a.s., a Sociálnu poisťovňu</w:t>
      </w:r>
      <w:r w:rsidRPr="009066B5">
        <w:rPr>
          <w:bCs/>
          <w:sz w:val="20"/>
          <w:szCs w:val="20"/>
          <w:lang w:val="sk-SK"/>
        </w:rPr>
        <w:t xml:space="preserve">, </w:t>
      </w:r>
      <w:r w:rsidR="00427D0B" w:rsidRPr="009066B5">
        <w:rPr>
          <w:bCs/>
          <w:sz w:val="20"/>
          <w:szCs w:val="20"/>
          <w:lang w:val="sk-SK"/>
        </w:rPr>
        <w:t>ktorým končí podpora z terajšej centrálnej rámcovej dohody č. 2880/2022 k 30.11.2026</w:t>
      </w:r>
      <w:r w:rsidRPr="009066B5">
        <w:rPr>
          <w:bCs/>
          <w:sz w:val="20"/>
          <w:szCs w:val="20"/>
          <w:lang w:val="sk-SK"/>
        </w:rPr>
        <w:t xml:space="preserve">. Súčasťou </w:t>
      </w:r>
      <w:r w:rsidR="00427D0B" w:rsidRPr="009066B5">
        <w:rPr>
          <w:bCs/>
          <w:sz w:val="20"/>
          <w:szCs w:val="20"/>
          <w:lang w:val="sk-SK"/>
        </w:rPr>
        <w:t>RD</w:t>
      </w:r>
      <w:r w:rsidRPr="009066B5">
        <w:rPr>
          <w:bCs/>
          <w:sz w:val="20"/>
          <w:szCs w:val="20"/>
          <w:lang w:val="sk-SK"/>
        </w:rPr>
        <w:t xml:space="preserve"> je zabezpečenie kontinuity služieb podpory</w:t>
      </w:r>
      <w:r w:rsidR="00427D0B" w:rsidRPr="009066B5">
        <w:rPr>
          <w:bCs/>
          <w:sz w:val="20"/>
          <w:szCs w:val="20"/>
          <w:lang w:val="sk-SK"/>
        </w:rPr>
        <w:t xml:space="preserve"> aj</w:t>
      </w:r>
      <w:r w:rsidRPr="009066B5">
        <w:rPr>
          <w:bCs/>
          <w:sz w:val="20"/>
          <w:szCs w:val="20"/>
          <w:lang w:val="sk-SK"/>
        </w:rPr>
        <w:t xml:space="preserve"> pre </w:t>
      </w:r>
      <w:r w:rsidR="00427D0B" w:rsidRPr="009066B5">
        <w:rPr>
          <w:bCs/>
          <w:sz w:val="20"/>
          <w:szCs w:val="20"/>
          <w:lang w:val="sk-SK"/>
        </w:rPr>
        <w:t>potenciálne pristupujúce</w:t>
      </w:r>
      <w:r w:rsidRPr="009066B5">
        <w:rPr>
          <w:bCs/>
          <w:sz w:val="20"/>
          <w:szCs w:val="20"/>
          <w:lang w:val="sk-SK"/>
        </w:rPr>
        <w:t xml:space="preserve"> organizácie, ako nevyhnutný predpoklad ich ďalšieho poskytovania v zmysle </w:t>
      </w:r>
      <w:r w:rsidR="00B30EAA">
        <w:rPr>
          <w:bCs/>
          <w:sz w:val="20"/>
          <w:szCs w:val="20"/>
          <w:lang w:val="sk-SK"/>
        </w:rPr>
        <w:t xml:space="preserve">všeobecných obchodných podmienok </w:t>
      </w:r>
      <w:r w:rsidRPr="009066B5">
        <w:rPr>
          <w:bCs/>
          <w:sz w:val="20"/>
          <w:szCs w:val="20"/>
          <w:lang w:val="sk-SK"/>
        </w:rPr>
        <w:t xml:space="preserve"> SAP.</w:t>
      </w:r>
    </w:p>
    <w:p w14:paraId="5916D20D" w14:textId="77777777" w:rsidR="005474AF" w:rsidRPr="009066B5" w:rsidRDefault="005474AF" w:rsidP="005474AF">
      <w:pPr>
        <w:jc w:val="both"/>
        <w:rPr>
          <w:bCs/>
          <w:sz w:val="20"/>
          <w:szCs w:val="20"/>
          <w:lang w:val="sk-SK"/>
        </w:rPr>
      </w:pPr>
    </w:p>
    <w:p w14:paraId="1E90E387" w14:textId="23F8A0B7" w:rsidR="009066B5" w:rsidRDefault="005474AF" w:rsidP="005474AF">
      <w:pPr>
        <w:jc w:val="both"/>
        <w:rPr>
          <w:bCs/>
          <w:sz w:val="20"/>
          <w:szCs w:val="20"/>
          <w:lang w:val="sk-SK"/>
        </w:rPr>
      </w:pPr>
      <w:r w:rsidRPr="009066B5">
        <w:rPr>
          <w:bCs/>
          <w:sz w:val="20"/>
          <w:szCs w:val="20"/>
          <w:lang w:val="sk-SK"/>
        </w:rPr>
        <w:t>Ako už bolo vyššie uvedené</w:t>
      </w:r>
      <w:r w:rsidR="001F6374">
        <w:rPr>
          <w:bCs/>
          <w:sz w:val="20"/>
          <w:szCs w:val="20"/>
          <w:lang w:val="sk-SK"/>
        </w:rPr>
        <w:t>,</w:t>
      </w:r>
      <w:r w:rsidRPr="009066B5">
        <w:rPr>
          <w:bCs/>
          <w:sz w:val="20"/>
          <w:szCs w:val="20"/>
          <w:lang w:val="sk-SK"/>
        </w:rPr>
        <w:t xml:space="preserve"> opis predmetu zákazky zahŕňa aj zabezpečenie služieb podpory pre potenciálne pristupujúce </w:t>
      </w:r>
      <w:r w:rsidR="00905A88" w:rsidRPr="009066B5">
        <w:rPr>
          <w:bCs/>
          <w:sz w:val="20"/>
          <w:szCs w:val="20"/>
          <w:lang w:val="sk-SK"/>
        </w:rPr>
        <w:t>organizácie</w:t>
      </w:r>
      <w:r w:rsidRPr="009066B5">
        <w:rPr>
          <w:bCs/>
          <w:sz w:val="20"/>
          <w:szCs w:val="20"/>
          <w:lang w:val="sk-SK"/>
        </w:rPr>
        <w:t xml:space="preserve"> nad rámec </w:t>
      </w:r>
      <w:r w:rsidR="00905A88" w:rsidRPr="009066B5">
        <w:rPr>
          <w:bCs/>
          <w:sz w:val="20"/>
          <w:szCs w:val="20"/>
          <w:lang w:val="sk-SK"/>
        </w:rPr>
        <w:t>terajších oprávnených subjektov,</w:t>
      </w:r>
      <w:r w:rsidRPr="009066B5">
        <w:rPr>
          <w:bCs/>
          <w:sz w:val="20"/>
          <w:szCs w:val="20"/>
          <w:lang w:val="sk-SK"/>
        </w:rPr>
        <w:t xml:space="preserve"> uvedených</w:t>
      </w:r>
      <w:r w:rsidR="00905A88" w:rsidRPr="009066B5">
        <w:rPr>
          <w:bCs/>
          <w:sz w:val="20"/>
          <w:szCs w:val="20"/>
          <w:lang w:val="sk-SK"/>
        </w:rPr>
        <w:t xml:space="preserve"> v </w:t>
      </w:r>
      <w:r w:rsidRPr="009066B5">
        <w:rPr>
          <w:bCs/>
          <w:sz w:val="20"/>
          <w:szCs w:val="20"/>
          <w:lang w:val="sk-SK"/>
        </w:rPr>
        <w:t>tabuľk</w:t>
      </w:r>
      <w:r w:rsidR="00905A88" w:rsidRPr="009066B5">
        <w:rPr>
          <w:bCs/>
          <w:sz w:val="20"/>
          <w:szCs w:val="20"/>
          <w:lang w:val="sk-SK"/>
        </w:rPr>
        <w:t>e</w:t>
      </w:r>
      <w:r w:rsidRPr="009066B5">
        <w:rPr>
          <w:bCs/>
          <w:sz w:val="20"/>
          <w:szCs w:val="20"/>
          <w:lang w:val="sk-SK"/>
        </w:rPr>
        <w:t xml:space="preserve"> č. 1, pričom tieto budú môcť služby využívať po pristúpení k RD počas jej trvania. Pristúpenie organizácií podporuje o. i. Uznesenie vlády Slovenskej republiky pod číslom 286/2019 zo dňa 12.</w:t>
      </w:r>
      <w:r w:rsidR="00D15336">
        <w:rPr>
          <w:bCs/>
          <w:sz w:val="20"/>
          <w:szCs w:val="20"/>
          <w:lang w:val="sk-SK"/>
        </w:rPr>
        <w:t xml:space="preserve"> 0</w:t>
      </w:r>
      <w:r w:rsidRPr="009066B5">
        <w:rPr>
          <w:bCs/>
          <w:sz w:val="20"/>
          <w:szCs w:val="20"/>
          <w:lang w:val="sk-SK"/>
        </w:rPr>
        <w:t>6.</w:t>
      </w:r>
      <w:r w:rsidR="00D15336">
        <w:rPr>
          <w:bCs/>
          <w:sz w:val="20"/>
          <w:szCs w:val="20"/>
          <w:lang w:val="sk-SK"/>
        </w:rPr>
        <w:t xml:space="preserve"> </w:t>
      </w:r>
      <w:r w:rsidRPr="009066B5">
        <w:rPr>
          <w:bCs/>
          <w:sz w:val="20"/>
          <w:szCs w:val="20"/>
          <w:lang w:val="sk-SK"/>
        </w:rPr>
        <w:t>2019, ktoré vytvára predpoklady pre zabezpečenie centralizovaného prístupu k nákupu produktov a služieb súvisiacich so zabezpečením licenčného pokrytia IKT na úseku štátnej a verejnej správy a ukladá povinnosť organizáciám nakupovať prostredníctvom centrálnych zmlúv.</w:t>
      </w:r>
    </w:p>
    <w:p w14:paraId="54D02532" w14:textId="77777777" w:rsidR="009066B5" w:rsidRDefault="009066B5">
      <w:pPr>
        <w:widowControl/>
        <w:autoSpaceDE/>
        <w:autoSpaceDN/>
        <w:spacing w:after="160" w:line="259" w:lineRule="auto"/>
        <w:rPr>
          <w:bCs/>
          <w:sz w:val="20"/>
          <w:szCs w:val="20"/>
          <w:lang w:val="sk-SK"/>
        </w:rPr>
      </w:pPr>
      <w:r>
        <w:rPr>
          <w:bCs/>
          <w:sz w:val="20"/>
          <w:szCs w:val="20"/>
          <w:lang w:val="sk-SK"/>
        </w:rPr>
        <w:br w:type="page"/>
      </w:r>
    </w:p>
    <w:p w14:paraId="3775667E" w14:textId="0C284A4F" w:rsidR="005474AF" w:rsidRPr="009066B5" w:rsidRDefault="005474AF" w:rsidP="00F42B42">
      <w:pPr>
        <w:jc w:val="both"/>
        <w:rPr>
          <w:b/>
          <w:sz w:val="20"/>
          <w:szCs w:val="20"/>
          <w:lang w:val="sk-SK"/>
        </w:rPr>
      </w:pPr>
      <w:r w:rsidRPr="009066B5">
        <w:rPr>
          <w:b/>
          <w:sz w:val="20"/>
          <w:szCs w:val="20"/>
          <w:lang w:val="sk-SK"/>
        </w:rPr>
        <w:lastRenderedPageBreak/>
        <w:t>Tabuľka č. 1</w:t>
      </w:r>
      <w:r w:rsidRPr="009066B5">
        <w:rPr>
          <w:sz w:val="20"/>
          <w:szCs w:val="20"/>
          <w:lang w:val="sk-SK"/>
        </w:rPr>
        <w:t xml:space="preserve"> </w:t>
      </w:r>
      <w:r w:rsidRPr="009066B5">
        <w:rPr>
          <w:b/>
          <w:sz w:val="20"/>
          <w:szCs w:val="20"/>
          <w:lang w:val="sk-SK"/>
        </w:rPr>
        <w:t xml:space="preserve">Zoznam </w:t>
      </w:r>
      <w:r w:rsidR="00D15336" w:rsidRPr="009066B5">
        <w:rPr>
          <w:b/>
          <w:sz w:val="20"/>
          <w:szCs w:val="20"/>
          <w:lang w:val="sk-SK"/>
        </w:rPr>
        <w:t>terajších</w:t>
      </w:r>
      <w:r w:rsidRPr="009066B5">
        <w:rPr>
          <w:b/>
          <w:sz w:val="20"/>
          <w:szCs w:val="20"/>
          <w:lang w:val="sk-SK"/>
        </w:rPr>
        <w:t xml:space="preserve"> Oprávnených subjektov a nimi licencovaných produktov Softvéru SAP</w:t>
      </w:r>
      <w:r w:rsidRPr="009066B5" w:rsidDel="000E4B0F">
        <w:rPr>
          <w:b/>
          <w:sz w:val="20"/>
          <w:szCs w:val="20"/>
          <w:lang w:val="sk-SK"/>
        </w:rPr>
        <w:t xml:space="preserve"> </w:t>
      </w:r>
    </w:p>
    <w:tbl>
      <w:tblPr>
        <w:tblW w:w="9351" w:type="dxa"/>
        <w:tblCellMar>
          <w:left w:w="70" w:type="dxa"/>
          <w:right w:w="70" w:type="dxa"/>
        </w:tblCellMar>
        <w:tblLook w:val="04A0" w:firstRow="1" w:lastRow="0" w:firstColumn="1" w:lastColumn="0" w:noHBand="0" w:noVBand="1"/>
      </w:tblPr>
      <w:tblGrid>
        <w:gridCol w:w="5656"/>
        <w:gridCol w:w="970"/>
        <w:gridCol w:w="1793"/>
        <w:gridCol w:w="932"/>
      </w:tblGrid>
      <w:tr w:rsidR="005474AF" w:rsidRPr="004F0599" w14:paraId="5E32E2C9" w14:textId="77777777" w:rsidTr="002B7395">
        <w:trPr>
          <w:trHeight w:val="300"/>
        </w:trPr>
        <w:tc>
          <w:tcPr>
            <w:tcW w:w="5656"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2DE9CF4F"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Oprávnený subjekt - Ministerstvo financií SR</w:t>
            </w:r>
          </w:p>
        </w:tc>
        <w:tc>
          <w:tcPr>
            <w:tcW w:w="970" w:type="dxa"/>
            <w:tcBorders>
              <w:top w:val="single" w:sz="4" w:space="0" w:color="auto"/>
              <w:left w:val="nil"/>
              <w:bottom w:val="single" w:sz="4" w:space="0" w:color="auto"/>
              <w:right w:val="nil"/>
            </w:tcBorders>
            <w:shd w:val="clear" w:color="auto" w:fill="BFBFBF" w:themeFill="background1" w:themeFillShade="BF"/>
            <w:noWrap/>
            <w:vAlign w:val="center"/>
            <w:hideMark/>
          </w:tcPr>
          <w:p w14:paraId="7DC2D3E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1793" w:type="dxa"/>
            <w:tcBorders>
              <w:top w:val="single" w:sz="4" w:space="0" w:color="auto"/>
              <w:left w:val="nil"/>
              <w:bottom w:val="single" w:sz="4" w:space="0" w:color="auto"/>
              <w:right w:val="nil"/>
            </w:tcBorders>
            <w:shd w:val="clear" w:color="auto" w:fill="BFBFBF" w:themeFill="background1" w:themeFillShade="BF"/>
            <w:noWrap/>
            <w:vAlign w:val="center"/>
            <w:hideMark/>
          </w:tcPr>
          <w:p w14:paraId="364731D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93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44FA32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r>
      <w:tr w:rsidR="005474AF" w:rsidRPr="004F0599" w14:paraId="5DCF729F"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1332E21"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Produkt</w:t>
            </w:r>
          </w:p>
        </w:tc>
        <w:tc>
          <w:tcPr>
            <w:tcW w:w="970" w:type="dxa"/>
            <w:tcBorders>
              <w:top w:val="single" w:sz="4" w:space="0" w:color="auto"/>
              <w:left w:val="nil"/>
              <w:bottom w:val="single" w:sz="4" w:space="0" w:color="auto"/>
              <w:right w:val="single" w:sz="4" w:space="0" w:color="auto"/>
            </w:tcBorders>
            <w:noWrap/>
            <w:vAlign w:val="center"/>
            <w:hideMark/>
          </w:tcPr>
          <w:p w14:paraId="037DA486"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Jednotka</w:t>
            </w:r>
          </w:p>
        </w:tc>
        <w:tc>
          <w:tcPr>
            <w:tcW w:w="1793" w:type="dxa"/>
            <w:tcBorders>
              <w:top w:val="single" w:sz="4" w:space="0" w:color="auto"/>
              <w:left w:val="nil"/>
              <w:bottom w:val="single" w:sz="4" w:space="0" w:color="auto"/>
              <w:right w:val="single" w:sz="4" w:space="0" w:color="auto"/>
            </w:tcBorders>
            <w:noWrap/>
            <w:vAlign w:val="center"/>
            <w:hideMark/>
          </w:tcPr>
          <w:p w14:paraId="061D57D0"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Merná jednotka</w:t>
            </w:r>
          </w:p>
        </w:tc>
        <w:tc>
          <w:tcPr>
            <w:tcW w:w="932" w:type="dxa"/>
            <w:tcBorders>
              <w:top w:val="single" w:sz="4" w:space="0" w:color="auto"/>
              <w:left w:val="nil"/>
              <w:bottom w:val="single" w:sz="4" w:space="0" w:color="auto"/>
              <w:right w:val="single" w:sz="4" w:space="0" w:color="auto"/>
            </w:tcBorders>
            <w:noWrap/>
            <w:vAlign w:val="center"/>
            <w:hideMark/>
          </w:tcPr>
          <w:p w14:paraId="2EBE83B5"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Celkom</w:t>
            </w:r>
          </w:p>
        </w:tc>
      </w:tr>
      <w:tr w:rsidR="005474AF" w:rsidRPr="004F0599" w14:paraId="52825109"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A6D1C9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Professional User</w:t>
            </w:r>
          </w:p>
        </w:tc>
        <w:tc>
          <w:tcPr>
            <w:tcW w:w="970" w:type="dxa"/>
            <w:tcBorders>
              <w:top w:val="single" w:sz="4" w:space="0" w:color="auto"/>
              <w:left w:val="nil"/>
              <w:bottom w:val="single" w:sz="4" w:space="0" w:color="auto"/>
              <w:right w:val="single" w:sz="4" w:space="0" w:color="auto"/>
            </w:tcBorders>
            <w:noWrap/>
            <w:vAlign w:val="center"/>
            <w:hideMark/>
          </w:tcPr>
          <w:p w14:paraId="46EFD7F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A3C7D8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7DA8DF0F" w14:textId="248F6533"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8</w:t>
            </w:r>
            <w:r w:rsidR="009066B5">
              <w:rPr>
                <w:rFonts w:eastAsia="Times New Roman"/>
                <w:color w:val="000000"/>
                <w:sz w:val="18"/>
                <w:szCs w:val="20"/>
                <w:lang w:val="sk-SK" w:eastAsia="sk-SK"/>
              </w:rPr>
              <w:t xml:space="preserve"> </w:t>
            </w:r>
            <w:r w:rsidR="00192A1A">
              <w:rPr>
                <w:rFonts w:eastAsia="Times New Roman"/>
                <w:color w:val="000000"/>
                <w:sz w:val="18"/>
                <w:szCs w:val="20"/>
                <w:lang w:val="sk-SK" w:eastAsia="sk-SK"/>
              </w:rPr>
              <w:t>892</w:t>
            </w:r>
          </w:p>
        </w:tc>
      </w:tr>
      <w:tr w:rsidR="005474AF" w:rsidRPr="004F0599" w14:paraId="4D4B06AB"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C6BB99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Limited Professional User</w:t>
            </w:r>
          </w:p>
        </w:tc>
        <w:tc>
          <w:tcPr>
            <w:tcW w:w="970" w:type="dxa"/>
            <w:tcBorders>
              <w:top w:val="single" w:sz="4" w:space="0" w:color="auto"/>
              <w:left w:val="nil"/>
              <w:bottom w:val="single" w:sz="4" w:space="0" w:color="auto"/>
              <w:right w:val="single" w:sz="4" w:space="0" w:color="auto"/>
            </w:tcBorders>
            <w:noWrap/>
            <w:vAlign w:val="center"/>
            <w:hideMark/>
          </w:tcPr>
          <w:p w14:paraId="7BBB77D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1F291D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31D180E8" w14:textId="4935807F" w:rsidR="005474AF" w:rsidRPr="004F0599" w:rsidRDefault="00192A1A"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8</w:t>
            </w:r>
            <w:r w:rsidR="009066B5">
              <w:rPr>
                <w:rFonts w:eastAsia="Times New Roman"/>
                <w:color w:val="000000"/>
                <w:sz w:val="18"/>
                <w:szCs w:val="20"/>
                <w:lang w:val="sk-SK" w:eastAsia="sk-SK"/>
              </w:rPr>
              <w:t xml:space="preserve"> </w:t>
            </w:r>
            <w:r>
              <w:rPr>
                <w:rFonts w:eastAsia="Times New Roman"/>
                <w:color w:val="000000"/>
                <w:sz w:val="18"/>
                <w:szCs w:val="20"/>
                <w:lang w:val="sk-SK" w:eastAsia="sk-SK"/>
              </w:rPr>
              <w:t>377</w:t>
            </w:r>
          </w:p>
        </w:tc>
      </w:tr>
      <w:tr w:rsidR="005474AF" w:rsidRPr="004F0599" w14:paraId="690FCDF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24BA56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Employee Self-Service User</w:t>
            </w:r>
          </w:p>
        </w:tc>
        <w:tc>
          <w:tcPr>
            <w:tcW w:w="970" w:type="dxa"/>
            <w:tcBorders>
              <w:top w:val="single" w:sz="4" w:space="0" w:color="auto"/>
              <w:left w:val="nil"/>
              <w:bottom w:val="single" w:sz="4" w:space="0" w:color="auto"/>
              <w:right w:val="single" w:sz="4" w:space="0" w:color="auto"/>
            </w:tcBorders>
            <w:noWrap/>
            <w:vAlign w:val="center"/>
            <w:hideMark/>
          </w:tcPr>
          <w:p w14:paraId="3B159E7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76BFAB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147F0C84" w14:textId="175594AD"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r w:rsidR="009066B5">
              <w:rPr>
                <w:rFonts w:eastAsia="Times New Roman"/>
                <w:color w:val="000000"/>
                <w:sz w:val="18"/>
                <w:szCs w:val="20"/>
                <w:lang w:val="sk-SK" w:eastAsia="sk-SK"/>
              </w:rPr>
              <w:t xml:space="preserve"> </w:t>
            </w:r>
            <w:r w:rsidRPr="004F0599">
              <w:rPr>
                <w:rFonts w:eastAsia="Times New Roman"/>
                <w:color w:val="000000"/>
                <w:sz w:val="18"/>
                <w:szCs w:val="20"/>
                <w:lang w:val="sk-SK" w:eastAsia="sk-SK"/>
              </w:rPr>
              <w:t>463</w:t>
            </w:r>
          </w:p>
        </w:tc>
      </w:tr>
      <w:tr w:rsidR="005474AF" w:rsidRPr="004F0599" w14:paraId="7BAA3FA0"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E5E38E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Developer User</w:t>
            </w:r>
          </w:p>
        </w:tc>
        <w:tc>
          <w:tcPr>
            <w:tcW w:w="970" w:type="dxa"/>
            <w:tcBorders>
              <w:top w:val="single" w:sz="4" w:space="0" w:color="auto"/>
              <w:left w:val="nil"/>
              <w:bottom w:val="single" w:sz="4" w:space="0" w:color="auto"/>
              <w:right w:val="single" w:sz="4" w:space="0" w:color="auto"/>
            </w:tcBorders>
            <w:noWrap/>
            <w:vAlign w:val="center"/>
            <w:hideMark/>
          </w:tcPr>
          <w:p w14:paraId="1FBACA0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BE4E73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7786710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135</w:t>
            </w:r>
          </w:p>
        </w:tc>
      </w:tr>
      <w:tr w:rsidR="005474AF" w:rsidRPr="004F0599" w14:paraId="40F6926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D57DE8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SAP NetWeaver Developer User </w:t>
            </w:r>
          </w:p>
        </w:tc>
        <w:tc>
          <w:tcPr>
            <w:tcW w:w="970" w:type="dxa"/>
            <w:tcBorders>
              <w:top w:val="single" w:sz="4" w:space="0" w:color="auto"/>
              <w:left w:val="nil"/>
              <w:bottom w:val="single" w:sz="4" w:space="0" w:color="auto"/>
              <w:right w:val="single" w:sz="4" w:space="0" w:color="auto"/>
            </w:tcBorders>
            <w:noWrap/>
            <w:vAlign w:val="center"/>
            <w:hideMark/>
          </w:tcPr>
          <w:p w14:paraId="3F00AF3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84DD5F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7D159B5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11</w:t>
            </w:r>
          </w:p>
        </w:tc>
      </w:tr>
      <w:tr w:rsidR="005474AF" w:rsidRPr="004F0599" w14:paraId="2924F419"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E5A91A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Platform Professional User</w:t>
            </w:r>
          </w:p>
        </w:tc>
        <w:tc>
          <w:tcPr>
            <w:tcW w:w="970" w:type="dxa"/>
            <w:tcBorders>
              <w:top w:val="single" w:sz="4" w:space="0" w:color="auto"/>
              <w:left w:val="nil"/>
              <w:bottom w:val="single" w:sz="4" w:space="0" w:color="auto"/>
              <w:right w:val="single" w:sz="4" w:space="0" w:color="auto"/>
            </w:tcBorders>
            <w:noWrap/>
            <w:vAlign w:val="center"/>
            <w:hideMark/>
          </w:tcPr>
          <w:p w14:paraId="03922AD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981D03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241DDFF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p>
        </w:tc>
      </w:tr>
      <w:tr w:rsidR="005474AF" w:rsidRPr="004F0599" w14:paraId="6EE33F7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9B52AD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Administration User</w:t>
            </w:r>
          </w:p>
        </w:tc>
        <w:tc>
          <w:tcPr>
            <w:tcW w:w="970" w:type="dxa"/>
            <w:tcBorders>
              <w:top w:val="single" w:sz="4" w:space="0" w:color="auto"/>
              <w:left w:val="nil"/>
              <w:bottom w:val="single" w:sz="4" w:space="0" w:color="auto"/>
              <w:right w:val="single" w:sz="4" w:space="0" w:color="auto"/>
            </w:tcBorders>
            <w:noWrap/>
            <w:vAlign w:val="center"/>
            <w:hideMark/>
          </w:tcPr>
          <w:p w14:paraId="063A3A9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2E5EE8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49FC4B5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6</w:t>
            </w:r>
          </w:p>
        </w:tc>
      </w:tr>
      <w:tr w:rsidR="005474AF" w:rsidRPr="004F0599" w14:paraId="266464ED"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C38BD6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Payroll Processing</w:t>
            </w:r>
          </w:p>
        </w:tc>
        <w:tc>
          <w:tcPr>
            <w:tcW w:w="970" w:type="dxa"/>
            <w:tcBorders>
              <w:top w:val="single" w:sz="4" w:space="0" w:color="auto"/>
              <w:left w:val="nil"/>
              <w:bottom w:val="single" w:sz="4" w:space="0" w:color="auto"/>
              <w:right w:val="single" w:sz="4" w:space="0" w:color="auto"/>
            </w:tcBorders>
            <w:noWrap/>
            <w:vAlign w:val="center"/>
            <w:hideMark/>
          </w:tcPr>
          <w:p w14:paraId="17C8076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w:t>
            </w:r>
          </w:p>
        </w:tc>
        <w:tc>
          <w:tcPr>
            <w:tcW w:w="1793" w:type="dxa"/>
            <w:tcBorders>
              <w:top w:val="single" w:sz="4" w:space="0" w:color="auto"/>
              <w:left w:val="nil"/>
              <w:bottom w:val="single" w:sz="4" w:space="0" w:color="auto"/>
              <w:right w:val="single" w:sz="4" w:space="0" w:color="auto"/>
            </w:tcBorders>
            <w:noWrap/>
            <w:vAlign w:val="center"/>
            <w:hideMark/>
          </w:tcPr>
          <w:p w14:paraId="6FD1614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Master records</w:t>
            </w:r>
          </w:p>
        </w:tc>
        <w:tc>
          <w:tcPr>
            <w:tcW w:w="932" w:type="dxa"/>
            <w:tcBorders>
              <w:top w:val="single" w:sz="4" w:space="0" w:color="auto"/>
              <w:left w:val="nil"/>
              <w:bottom w:val="single" w:sz="4" w:space="0" w:color="auto"/>
              <w:right w:val="single" w:sz="4" w:space="0" w:color="auto"/>
            </w:tcBorders>
            <w:noWrap/>
            <w:vAlign w:val="center"/>
            <w:hideMark/>
          </w:tcPr>
          <w:p w14:paraId="4E8D864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63</w:t>
            </w:r>
          </w:p>
        </w:tc>
      </w:tr>
      <w:tr w:rsidR="005474AF" w:rsidRPr="004F0599" w14:paraId="155B5D2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F768C4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Process Integration</w:t>
            </w:r>
          </w:p>
        </w:tc>
        <w:tc>
          <w:tcPr>
            <w:tcW w:w="970" w:type="dxa"/>
            <w:tcBorders>
              <w:top w:val="single" w:sz="4" w:space="0" w:color="auto"/>
              <w:left w:val="nil"/>
              <w:bottom w:val="single" w:sz="4" w:space="0" w:color="auto"/>
              <w:right w:val="single" w:sz="4" w:space="0" w:color="auto"/>
            </w:tcBorders>
            <w:noWrap/>
            <w:vAlign w:val="center"/>
            <w:hideMark/>
          </w:tcPr>
          <w:p w14:paraId="51F0CA7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D946AC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61D0766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30</w:t>
            </w:r>
          </w:p>
        </w:tc>
      </w:tr>
      <w:tr w:rsidR="005474AF" w:rsidRPr="004F0599" w14:paraId="5BA5AED6"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D10A3A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PI Base Engine</w:t>
            </w:r>
          </w:p>
        </w:tc>
        <w:tc>
          <w:tcPr>
            <w:tcW w:w="970" w:type="dxa"/>
            <w:tcBorders>
              <w:top w:val="single" w:sz="4" w:space="0" w:color="auto"/>
              <w:left w:val="nil"/>
              <w:bottom w:val="single" w:sz="4" w:space="0" w:color="auto"/>
              <w:right w:val="single" w:sz="4" w:space="0" w:color="auto"/>
            </w:tcBorders>
            <w:noWrap/>
            <w:vAlign w:val="center"/>
            <w:hideMark/>
          </w:tcPr>
          <w:p w14:paraId="3263811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2E5BD1A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GB per month</w:t>
            </w:r>
          </w:p>
        </w:tc>
        <w:tc>
          <w:tcPr>
            <w:tcW w:w="932" w:type="dxa"/>
            <w:tcBorders>
              <w:top w:val="single" w:sz="4" w:space="0" w:color="auto"/>
              <w:left w:val="nil"/>
              <w:bottom w:val="single" w:sz="4" w:space="0" w:color="auto"/>
              <w:right w:val="single" w:sz="4" w:space="0" w:color="auto"/>
            </w:tcBorders>
            <w:noWrap/>
            <w:vAlign w:val="center"/>
            <w:hideMark/>
          </w:tcPr>
          <w:p w14:paraId="1387CBE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455</w:t>
            </w:r>
          </w:p>
        </w:tc>
      </w:tr>
      <w:tr w:rsidR="005474AF" w:rsidRPr="004F0599" w14:paraId="34894480"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6A189E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Tax and Revenue Management for PS</w:t>
            </w:r>
          </w:p>
        </w:tc>
        <w:tc>
          <w:tcPr>
            <w:tcW w:w="970" w:type="dxa"/>
            <w:tcBorders>
              <w:top w:val="single" w:sz="4" w:space="0" w:color="auto"/>
              <w:left w:val="nil"/>
              <w:bottom w:val="single" w:sz="4" w:space="0" w:color="auto"/>
              <w:right w:val="single" w:sz="4" w:space="0" w:color="auto"/>
            </w:tcBorders>
            <w:noWrap/>
            <w:vAlign w:val="center"/>
            <w:hideMark/>
          </w:tcPr>
          <w:p w14:paraId="6E3526C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50000</w:t>
            </w:r>
          </w:p>
        </w:tc>
        <w:tc>
          <w:tcPr>
            <w:tcW w:w="1793" w:type="dxa"/>
            <w:tcBorders>
              <w:top w:val="single" w:sz="4" w:space="0" w:color="auto"/>
              <w:left w:val="nil"/>
              <w:bottom w:val="single" w:sz="4" w:space="0" w:color="auto"/>
              <w:right w:val="single" w:sz="4" w:space="0" w:color="auto"/>
            </w:tcBorders>
            <w:noWrap/>
            <w:vAlign w:val="center"/>
            <w:hideMark/>
          </w:tcPr>
          <w:p w14:paraId="081CBC4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Business Partner</w:t>
            </w:r>
          </w:p>
        </w:tc>
        <w:tc>
          <w:tcPr>
            <w:tcW w:w="932" w:type="dxa"/>
            <w:tcBorders>
              <w:top w:val="single" w:sz="4" w:space="0" w:color="auto"/>
              <w:left w:val="nil"/>
              <w:bottom w:val="single" w:sz="4" w:space="0" w:color="auto"/>
              <w:right w:val="single" w:sz="4" w:space="0" w:color="auto"/>
            </w:tcBorders>
            <w:noWrap/>
            <w:vAlign w:val="center"/>
            <w:hideMark/>
          </w:tcPr>
          <w:p w14:paraId="516F43C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78</w:t>
            </w:r>
          </w:p>
        </w:tc>
      </w:tr>
      <w:tr w:rsidR="005474AF" w:rsidRPr="004F0599" w14:paraId="1DF6C53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115B65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 Public Sector Collection &amp; Disbursement</w:t>
            </w:r>
          </w:p>
        </w:tc>
        <w:tc>
          <w:tcPr>
            <w:tcW w:w="970" w:type="dxa"/>
            <w:tcBorders>
              <w:top w:val="single" w:sz="4" w:space="0" w:color="auto"/>
              <w:left w:val="nil"/>
              <w:bottom w:val="single" w:sz="4" w:space="0" w:color="auto"/>
              <w:right w:val="single" w:sz="4" w:space="0" w:color="auto"/>
            </w:tcBorders>
            <w:noWrap/>
            <w:vAlign w:val="center"/>
            <w:hideMark/>
          </w:tcPr>
          <w:p w14:paraId="090131A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50000</w:t>
            </w:r>
          </w:p>
        </w:tc>
        <w:tc>
          <w:tcPr>
            <w:tcW w:w="1793" w:type="dxa"/>
            <w:tcBorders>
              <w:top w:val="single" w:sz="4" w:space="0" w:color="auto"/>
              <w:left w:val="nil"/>
              <w:bottom w:val="single" w:sz="4" w:space="0" w:color="auto"/>
              <w:right w:val="single" w:sz="4" w:space="0" w:color="auto"/>
            </w:tcBorders>
            <w:noWrap/>
            <w:vAlign w:val="center"/>
            <w:hideMark/>
          </w:tcPr>
          <w:p w14:paraId="0DD990E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Business partner</w:t>
            </w:r>
          </w:p>
        </w:tc>
        <w:tc>
          <w:tcPr>
            <w:tcW w:w="932" w:type="dxa"/>
            <w:tcBorders>
              <w:top w:val="single" w:sz="4" w:space="0" w:color="auto"/>
              <w:left w:val="nil"/>
              <w:bottom w:val="single" w:sz="4" w:space="0" w:color="auto"/>
              <w:right w:val="single" w:sz="4" w:space="0" w:color="auto"/>
            </w:tcBorders>
            <w:noWrap/>
            <w:vAlign w:val="center"/>
            <w:hideMark/>
          </w:tcPr>
          <w:p w14:paraId="6E99D11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w:t>
            </w:r>
          </w:p>
        </w:tc>
      </w:tr>
      <w:tr w:rsidR="005474AF" w:rsidRPr="004F0599" w14:paraId="777CE47D"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EF84D1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Treasury and Risk Management</w:t>
            </w:r>
          </w:p>
        </w:tc>
        <w:tc>
          <w:tcPr>
            <w:tcW w:w="970" w:type="dxa"/>
            <w:tcBorders>
              <w:top w:val="single" w:sz="4" w:space="0" w:color="auto"/>
              <w:left w:val="nil"/>
              <w:bottom w:val="single" w:sz="4" w:space="0" w:color="auto"/>
              <w:right w:val="single" w:sz="4" w:space="0" w:color="auto"/>
            </w:tcBorders>
            <w:noWrap/>
            <w:vAlign w:val="center"/>
            <w:hideMark/>
          </w:tcPr>
          <w:p w14:paraId="36B2F04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9B7D99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6D231F8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4</w:t>
            </w:r>
          </w:p>
        </w:tc>
      </w:tr>
      <w:tr w:rsidR="005474AF" w:rsidRPr="004F0599" w14:paraId="53C29D1A"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DF223B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Test Data Migration Server</w:t>
            </w:r>
          </w:p>
        </w:tc>
        <w:tc>
          <w:tcPr>
            <w:tcW w:w="970" w:type="dxa"/>
            <w:tcBorders>
              <w:top w:val="single" w:sz="4" w:space="0" w:color="auto"/>
              <w:left w:val="nil"/>
              <w:bottom w:val="single" w:sz="4" w:space="0" w:color="auto"/>
              <w:right w:val="single" w:sz="4" w:space="0" w:color="auto"/>
            </w:tcBorders>
            <w:noWrap/>
            <w:vAlign w:val="center"/>
            <w:hideMark/>
          </w:tcPr>
          <w:p w14:paraId="5D52248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300</w:t>
            </w:r>
          </w:p>
        </w:tc>
        <w:tc>
          <w:tcPr>
            <w:tcW w:w="1793" w:type="dxa"/>
            <w:tcBorders>
              <w:top w:val="single" w:sz="4" w:space="0" w:color="auto"/>
              <w:left w:val="nil"/>
              <w:bottom w:val="single" w:sz="4" w:space="0" w:color="auto"/>
              <w:right w:val="single" w:sz="4" w:space="0" w:color="auto"/>
            </w:tcBorders>
            <w:noWrap/>
            <w:vAlign w:val="center"/>
            <w:hideMark/>
          </w:tcPr>
          <w:p w14:paraId="335086E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Database size in GB</w:t>
            </w:r>
          </w:p>
        </w:tc>
        <w:tc>
          <w:tcPr>
            <w:tcW w:w="932" w:type="dxa"/>
            <w:tcBorders>
              <w:top w:val="single" w:sz="4" w:space="0" w:color="auto"/>
              <w:left w:val="nil"/>
              <w:bottom w:val="single" w:sz="4" w:space="0" w:color="auto"/>
              <w:right w:val="single" w:sz="4" w:space="0" w:color="auto"/>
            </w:tcBorders>
            <w:noWrap/>
            <w:vAlign w:val="center"/>
            <w:hideMark/>
          </w:tcPr>
          <w:p w14:paraId="3354B57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w:t>
            </w:r>
          </w:p>
        </w:tc>
      </w:tr>
      <w:tr w:rsidR="005474AF" w:rsidRPr="004F0599" w14:paraId="4586DFAF"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C11C67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Real Estate Management, office, retail and industrial property mgmt</w:t>
            </w:r>
          </w:p>
        </w:tc>
        <w:tc>
          <w:tcPr>
            <w:tcW w:w="970" w:type="dxa"/>
            <w:tcBorders>
              <w:top w:val="single" w:sz="4" w:space="0" w:color="auto"/>
              <w:left w:val="nil"/>
              <w:bottom w:val="single" w:sz="4" w:space="0" w:color="auto"/>
              <w:right w:val="single" w:sz="4" w:space="0" w:color="auto"/>
            </w:tcBorders>
            <w:noWrap/>
            <w:vAlign w:val="center"/>
            <w:hideMark/>
          </w:tcPr>
          <w:p w14:paraId="00F86D4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50 000 </w:t>
            </w:r>
          </w:p>
        </w:tc>
        <w:tc>
          <w:tcPr>
            <w:tcW w:w="1793" w:type="dxa"/>
            <w:tcBorders>
              <w:top w:val="single" w:sz="4" w:space="0" w:color="auto"/>
              <w:left w:val="nil"/>
              <w:bottom w:val="single" w:sz="4" w:space="0" w:color="auto"/>
              <w:right w:val="single" w:sz="4" w:space="0" w:color="auto"/>
            </w:tcBorders>
            <w:noWrap/>
            <w:vAlign w:val="center"/>
            <w:hideMark/>
          </w:tcPr>
          <w:p w14:paraId="5585C5F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Business partners</w:t>
            </w:r>
          </w:p>
        </w:tc>
        <w:tc>
          <w:tcPr>
            <w:tcW w:w="932" w:type="dxa"/>
            <w:tcBorders>
              <w:top w:val="single" w:sz="4" w:space="0" w:color="auto"/>
              <w:left w:val="nil"/>
              <w:bottom w:val="single" w:sz="4" w:space="0" w:color="auto"/>
              <w:right w:val="single" w:sz="4" w:space="0" w:color="auto"/>
            </w:tcBorders>
            <w:noWrap/>
            <w:vAlign w:val="center"/>
            <w:hideMark/>
          </w:tcPr>
          <w:p w14:paraId="080867E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31</w:t>
            </w:r>
          </w:p>
        </w:tc>
      </w:tr>
      <w:tr w:rsidR="005474AF" w:rsidRPr="004F0599" w14:paraId="17FE832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AEBDFA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Oracle runtime databáza </w:t>
            </w:r>
          </w:p>
        </w:tc>
        <w:tc>
          <w:tcPr>
            <w:tcW w:w="970" w:type="dxa"/>
            <w:tcBorders>
              <w:top w:val="single" w:sz="4" w:space="0" w:color="auto"/>
              <w:left w:val="nil"/>
              <w:bottom w:val="single" w:sz="4" w:space="0" w:color="auto"/>
              <w:right w:val="single" w:sz="4" w:space="0" w:color="auto"/>
            </w:tcBorders>
            <w:noWrap/>
            <w:vAlign w:val="center"/>
            <w:hideMark/>
          </w:tcPr>
          <w:p w14:paraId="35F0502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F3FC86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SAP Application Value</w:t>
            </w:r>
          </w:p>
        </w:tc>
        <w:tc>
          <w:tcPr>
            <w:tcW w:w="932" w:type="dxa"/>
            <w:tcBorders>
              <w:top w:val="single" w:sz="4" w:space="0" w:color="auto"/>
              <w:left w:val="nil"/>
              <w:bottom w:val="single" w:sz="4" w:space="0" w:color="auto"/>
              <w:right w:val="single" w:sz="4" w:space="0" w:color="auto"/>
            </w:tcBorders>
            <w:noWrap/>
            <w:vAlign w:val="center"/>
            <w:hideMark/>
          </w:tcPr>
          <w:p w14:paraId="2CF6ED6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163E2009"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9FA36E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MS SQL Server Enterprise Edition</w:t>
            </w:r>
          </w:p>
        </w:tc>
        <w:tc>
          <w:tcPr>
            <w:tcW w:w="970" w:type="dxa"/>
            <w:tcBorders>
              <w:top w:val="single" w:sz="4" w:space="0" w:color="auto"/>
              <w:left w:val="nil"/>
              <w:bottom w:val="single" w:sz="4" w:space="0" w:color="auto"/>
              <w:right w:val="single" w:sz="4" w:space="0" w:color="auto"/>
            </w:tcBorders>
            <w:noWrap/>
            <w:vAlign w:val="center"/>
            <w:hideMark/>
          </w:tcPr>
          <w:p w14:paraId="2F1802B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72C3FE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SAP Application Value</w:t>
            </w:r>
          </w:p>
        </w:tc>
        <w:tc>
          <w:tcPr>
            <w:tcW w:w="932" w:type="dxa"/>
            <w:tcBorders>
              <w:top w:val="single" w:sz="4" w:space="0" w:color="auto"/>
              <w:left w:val="nil"/>
              <w:bottom w:val="single" w:sz="4" w:space="0" w:color="auto"/>
              <w:right w:val="single" w:sz="4" w:space="0" w:color="auto"/>
            </w:tcBorders>
            <w:noWrap/>
            <w:vAlign w:val="center"/>
            <w:hideMark/>
          </w:tcPr>
          <w:p w14:paraId="079C679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697BDF9A"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85FC47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BusinessObjects Enterprise, prof edition (user)</w:t>
            </w:r>
          </w:p>
        </w:tc>
        <w:tc>
          <w:tcPr>
            <w:tcW w:w="970" w:type="dxa"/>
            <w:tcBorders>
              <w:top w:val="single" w:sz="4" w:space="0" w:color="auto"/>
              <w:left w:val="nil"/>
              <w:bottom w:val="single" w:sz="4" w:space="0" w:color="auto"/>
              <w:right w:val="single" w:sz="4" w:space="0" w:color="auto"/>
            </w:tcBorders>
            <w:noWrap/>
            <w:vAlign w:val="center"/>
            <w:hideMark/>
          </w:tcPr>
          <w:p w14:paraId="3D02241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62E512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09ED239C"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25</w:t>
            </w:r>
          </w:p>
        </w:tc>
      </w:tr>
      <w:tr w:rsidR="005474AF" w:rsidRPr="004F0599" w14:paraId="5D0B288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03DFF2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BusinessObjects Enterprise, prof edition (CS)</w:t>
            </w:r>
          </w:p>
        </w:tc>
        <w:tc>
          <w:tcPr>
            <w:tcW w:w="970" w:type="dxa"/>
            <w:tcBorders>
              <w:top w:val="single" w:sz="4" w:space="0" w:color="auto"/>
              <w:left w:val="nil"/>
              <w:bottom w:val="single" w:sz="4" w:space="0" w:color="auto"/>
              <w:right w:val="single" w:sz="4" w:space="0" w:color="auto"/>
            </w:tcBorders>
            <w:noWrap/>
            <w:vAlign w:val="center"/>
            <w:hideMark/>
          </w:tcPr>
          <w:p w14:paraId="757307DC"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p>
        </w:tc>
        <w:tc>
          <w:tcPr>
            <w:tcW w:w="1793" w:type="dxa"/>
            <w:tcBorders>
              <w:top w:val="single" w:sz="4" w:space="0" w:color="auto"/>
              <w:left w:val="nil"/>
              <w:bottom w:val="single" w:sz="4" w:space="0" w:color="auto"/>
              <w:right w:val="single" w:sz="4" w:space="0" w:color="auto"/>
            </w:tcBorders>
            <w:noWrap/>
            <w:vAlign w:val="center"/>
            <w:hideMark/>
          </w:tcPr>
          <w:p w14:paraId="59016AB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Concurrent session</w:t>
            </w:r>
          </w:p>
        </w:tc>
        <w:tc>
          <w:tcPr>
            <w:tcW w:w="932" w:type="dxa"/>
            <w:tcBorders>
              <w:top w:val="single" w:sz="4" w:space="0" w:color="auto"/>
              <w:left w:val="nil"/>
              <w:bottom w:val="single" w:sz="4" w:space="0" w:color="auto"/>
              <w:right w:val="single" w:sz="4" w:space="0" w:color="auto"/>
            </w:tcBorders>
            <w:noWrap/>
            <w:vAlign w:val="center"/>
            <w:hideMark/>
          </w:tcPr>
          <w:p w14:paraId="26671E8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15</w:t>
            </w:r>
          </w:p>
        </w:tc>
      </w:tr>
      <w:tr w:rsidR="005474AF" w:rsidRPr="004F0599" w14:paraId="33A83A3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01E130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Information Steward</w:t>
            </w:r>
          </w:p>
        </w:tc>
        <w:tc>
          <w:tcPr>
            <w:tcW w:w="970" w:type="dxa"/>
            <w:tcBorders>
              <w:top w:val="single" w:sz="4" w:space="0" w:color="auto"/>
              <w:left w:val="nil"/>
              <w:bottom w:val="single" w:sz="4" w:space="0" w:color="auto"/>
              <w:right w:val="single" w:sz="4" w:space="0" w:color="auto"/>
            </w:tcBorders>
            <w:noWrap/>
            <w:vAlign w:val="center"/>
            <w:hideMark/>
          </w:tcPr>
          <w:p w14:paraId="6CCC49B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4357D7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cores</w:t>
            </w:r>
          </w:p>
        </w:tc>
        <w:tc>
          <w:tcPr>
            <w:tcW w:w="932" w:type="dxa"/>
            <w:tcBorders>
              <w:top w:val="single" w:sz="4" w:space="0" w:color="auto"/>
              <w:left w:val="nil"/>
              <w:bottom w:val="single" w:sz="4" w:space="0" w:color="auto"/>
              <w:right w:val="single" w:sz="4" w:space="0" w:color="auto"/>
            </w:tcBorders>
            <w:noWrap/>
            <w:vAlign w:val="center"/>
            <w:hideMark/>
          </w:tcPr>
          <w:p w14:paraId="431C670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4</w:t>
            </w:r>
          </w:p>
        </w:tc>
      </w:tr>
      <w:tr w:rsidR="005474AF" w:rsidRPr="004F0599" w14:paraId="7B1A775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7CD902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Information Lifecycle Management</w:t>
            </w:r>
          </w:p>
        </w:tc>
        <w:tc>
          <w:tcPr>
            <w:tcW w:w="970" w:type="dxa"/>
            <w:tcBorders>
              <w:top w:val="single" w:sz="4" w:space="0" w:color="auto"/>
              <w:left w:val="nil"/>
              <w:bottom w:val="single" w:sz="4" w:space="0" w:color="auto"/>
              <w:right w:val="single" w:sz="4" w:space="0" w:color="auto"/>
            </w:tcBorders>
            <w:noWrap/>
            <w:vAlign w:val="center"/>
            <w:hideMark/>
          </w:tcPr>
          <w:p w14:paraId="041F9836"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B1F0F0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Managed system</w:t>
            </w:r>
          </w:p>
        </w:tc>
        <w:tc>
          <w:tcPr>
            <w:tcW w:w="932" w:type="dxa"/>
            <w:tcBorders>
              <w:top w:val="single" w:sz="4" w:space="0" w:color="auto"/>
              <w:left w:val="nil"/>
              <w:bottom w:val="single" w:sz="4" w:space="0" w:color="auto"/>
              <w:right w:val="single" w:sz="4" w:space="0" w:color="auto"/>
            </w:tcBorders>
            <w:noWrap/>
            <w:vAlign w:val="center"/>
            <w:hideMark/>
          </w:tcPr>
          <w:p w14:paraId="018F8CD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4</w:t>
            </w:r>
          </w:p>
        </w:tc>
      </w:tr>
      <w:tr w:rsidR="005474AF" w:rsidRPr="004F0599" w14:paraId="1760CC9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160DB4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HANA, Enterprise Edition</w:t>
            </w:r>
          </w:p>
        </w:tc>
        <w:tc>
          <w:tcPr>
            <w:tcW w:w="970" w:type="dxa"/>
            <w:tcBorders>
              <w:top w:val="single" w:sz="4" w:space="0" w:color="auto"/>
              <w:left w:val="nil"/>
              <w:bottom w:val="single" w:sz="4" w:space="0" w:color="auto"/>
              <w:right w:val="single" w:sz="4" w:space="0" w:color="auto"/>
            </w:tcBorders>
            <w:noWrap/>
            <w:vAlign w:val="center"/>
            <w:hideMark/>
          </w:tcPr>
          <w:p w14:paraId="3BCA4C9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64</w:t>
            </w:r>
          </w:p>
        </w:tc>
        <w:tc>
          <w:tcPr>
            <w:tcW w:w="1793" w:type="dxa"/>
            <w:tcBorders>
              <w:top w:val="single" w:sz="4" w:space="0" w:color="auto"/>
              <w:left w:val="nil"/>
              <w:bottom w:val="single" w:sz="4" w:space="0" w:color="auto"/>
              <w:right w:val="single" w:sz="4" w:space="0" w:color="auto"/>
            </w:tcBorders>
            <w:noWrap/>
            <w:vAlign w:val="center"/>
            <w:hideMark/>
          </w:tcPr>
          <w:p w14:paraId="5AE88C4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GB</w:t>
            </w:r>
          </w:p>
        </w:tc>
        <w:tc>
          <w:tcPr>
            <w:tcW w:w="932" w:type="dxa"/>
            <w:tcBorders>
              <w:top w:val="single" w:sz="4" w:space="0" w:color="auto"/>
              <w:left w:val="nil"/>
              <w:bottom w:val="single" w:sz="4" w:space="0" w:color="auto"/>
              <w:right w:val="single" w:sz="4" w:space="0" w:color="auto"/>
            </w:tcBorders>
            <w:noWrap/>
            <w:vAlign w:val="center"/>
            <w:hideMark/>
          </w:tcPr>
          <w:p w14:paraId="265B4B34" w14:textId="7DE4CFC7" w:rsidR="005474AF" w:rsidRPr="004F0599" w:rsidRDefault="00192A1A"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101</w:t>
            </w:r>
          </w:p>
        </w:tc>
      </w:tr>
      <w:tr w:rsidR="00192A1A" w:rsidRPr="004F0599" w14:paraId="29603148"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3DA42431" w14:textId="24B8090C"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Data Services, enterprise edition</w:t>
            </w:r>
          </w:p>
        </w:tc>
        <w:tc>
          <w:tcPr>
            <w:tcW w:w="970" w:type="dxa"/>
            <w:tcBorders>
              <w:top w:val="single" w:sz="4" w:space="0" w:color="auto"/>
              <w:left w:val="nil"/>
              <w:bottom w:val="single" w:sz="4" w:space="0" w:color="auto"/>
              <w:right w:val="single" w:sz="4" w:space="0" w:color="auto"/>
            </w:tcBorders>
            <w:noWrap/>
            <w:vAlign w:val="center"/>
          </w:tcPr>
          <w:p w14:paraId="5D0D3767" w14:textId="433FD47F" w:rsidR="00192A1A"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tcPr>
          <w:p w14:paraId="5F134ED2" w14:textId="32556EF1" w:rsidR="00192A1A" w:rsidRPr="004F0599" w:rsidRDefault="00AD18F0" w:rsidP="002B7395">
            <w:pPr>
              <w:widowControl/>
              <w:autoSpaceDE/>
              <w:autoSpaceDN/>
              <w:rPr>
                <w:rFonts w:eastAsia="Times New Roman"/>
                <w:color w:val="000000"/>
                <w:sz w:val="18"/>
                <w:szCs w:val="20"/>
                <w:lang w:val="sk-SK" w:eastAsia="sk-SK"/>
              </w:rPr>
            </w:pPr>
            <w:r>
              <w:rPr>
                <w:rFonts w:eastAsia="Times New Roman"/>
                <w:color w:val="000000"/>
                <w:sz w:val="18"/>
                <w:szCs w:val="20"/>
                <w:lang w:val="sk-SK" w:eastAsia="sk-SK"/>
              </w:rPr>
              <w:t>Cores</w:t>
            </w:r>
          </w:p>
        </w:tc>
        <w:tc>
          <w:tcPr>
            <w:tcW w:w="932" w:type="dxa"/>
            <w:tcBorders>
              <w:top w:val="single" w:sz="4" w:space="0" w:color="auto"/>
              <w:left w:val="nil"/>
              <w:bottom w:val="single" w:sz="4" w:space="0" w:color="auto"/>
              <w:right w:val="single" w:sz="4" w:space="0" w:color="auto"/>
            </w:tcBorders>
            <w:noWrap/>
            <w:vAlign w:val="center"/>
          </w:tcPr>
          <w:p w14:paraId="02C3B76B" w14:textId="67802207" w:rsidR="00192A1A"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16</w:t>
            </w:r>
          </w:p>
        </w:tc>
      </w:tr>
      <w:tr w:rsidR="00192A1A" w:rsidRPr="004F0599" w14:paraId="39B0E4F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7C9B4FCD" w14:textId="6E6AAB7E"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S/4 contract, lease, real estate</w:t>
            </w:r>
          </w:p>
        </w:tc>
        <w:tc>
          <w:tcPr>
            <w:tcW w:w="970" w:type="dxa"/>
            <w:tcBorders>
              <w:top w:val="single" w:sz="4" w:space="0" w:color="auto"/>
              <w:left w:val="nil"/>
              <w:bottom w:val="single" w:sz="4" w:space="0" w:color="auto"/>
              <w:right w:val="single" w:sz="4" w:space="0" w:color="auto"/>
            </w:tcBorders>
            <w:noWrap/>
            <w:vAlign w:val="center"/>
          </w:tcPr>
          <w:p w14:paraId="6D517676" w14:textId="1E22C4B2" w:rsidR="00192A1A"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100</w:t>
            </w:r>
          </w:p>
        </w:tc>
        <w:tc>
          <w:tcPr>
            <w:tcW w:w="1793" w:type="dxa"/>
            <w:tcBorders>
              <w:top w:val="single" w:sz="4" w:space="0" w:color="auto"/>
              <w:left w:val="nil"/>
              <w:bottom w:val="single" w:sz="4" w:space="0" w:color="auto"/>
              <w:right w:val="single" w:sz="4" w:space="0" w:color="auto"/>
            </w:tcBorders>
            <w:noWrap/>
            <w:vAlign w:val="center"/>
          </w:tcPr>
          <w:p w14:paraId="693A8AF8" w14:textId="51E53EA5" w:rsidR="00192A1A" w:rsidRPr="004F0599" w:rsidRDefault="00AD18F0" w:rsidP="002B7395">
            <w:pPr>
              <w:widowControl/>
              <w:autoSpaceDE/>
              <w:autoSpaceDN/>
              <w:rPr>
                <w:rFonts w:eastAsia="Times New Roman"/>
                <w:color w:val="000000"/>
                <w:sz w:val="18"/>
                <w:szCs w:val="20"/>
                <w:lang w:val="sk-SK" w:eastAsia="sk-SK"/>
              </w:rPr>
            </w:pPr>
            <w:r>
              <w:rPr>
                <w:rFonts w:eastAsia="Times New Roman"/>
                <w:color w:val="000000"/>
                <w:sz w:val="18"/>
                <w:szCs w:val="20"/>
                <w:lang w:val="sk-SK" w:eastAsia="sk-SK"/>
              </w:rPr>
              <w:t>Master data objects</w:t>
            </w:r>
          </w:p>
        </w:tc>
        <w:tc>
          <w:tcPr>
            <w:tcW w:w="932" w:type="dxa"/>
            <w:tcBorders>
              <w:top w:val="single" w:sz="4" w:space="0" w:color="auto"/>
              <w:left w:val="nil"/>
              <w:bottom w:val="single" w:sz="4" w:space="0" w:color="auto"/>
              <w:right w:val="single" w:sz="4" w:space="0" w:color="auto"/>
            </w:tcBorders>
            <w:noWrap/>
            <w:vAlign w:val="center"/>
          </w:tcPr>
          <w:p w14:paraId="05F240E9" w14:textId="62A11A01" w:rsidR="00192A1A"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r>
      <w:tr w:rsidR="00192A1A" w:rsidRPr="004F0599" w14:paraId="68B9867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58D56310" w14:textId="788F80A0"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BW/4HANA</w:t>
            </w:r>
          </w:p>
        </w:tc>
        <w:tc>
          <w:tcPr>
            <w:tcW w:w="970" w:type="dxa"/>
            <w:tcBorders>
              <w:top w:val="single" w:sz="4" w:space="0" w:color="auto"/>
              <w:left w:val="nil"/>
              <w:bottom w:val="single" w:sz="4" w:space="0" w:color="auto"/>
              <w:right w:val="single" w:sz="4" w:space="0" w:color="auto"/>
            </w:tcBorders>
            <w:noWrap/>
            <w:vAlign w:val="center"/>
          </w:tcPr>
          <w:p w14:paraId="0D463156" w14:textId="0CD01149" w:rsidR="00192A1A"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64</w:t>
            </w:r>
          </w:p>
        </w:tc>
        <w:tc>
          <w:tcPr>
            <w:tcW w:w="1793" w:type="dxa"/>
            <w:tcBorders>
              <w:top w:val="single" w:sz="4" w:space="0" w:color="auto"/>
              <w:left w:val="nil"/>
              <w:bottom w:val="single" w:sz="4" w:space="0" w:color="auto"/>
              <w:right w:val="single" w:sz="4" w:space="0" w:color="auto"/>
            </w:tcBorders>
            <w:noWrap/>
            <w:vAlign w:val="center"/>
          </w:tcPr>
          <w:p w14:paraId="58DF5F85" w14:textId="7CA5CC05"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GB of Memory</w:t>
            </w:r>
          </w:p>
        </w:tc>
        <w:tc>
          <w:tcPr>
            <w:tcW w:w="932" w:type="dxa"/>
            <w:tcBorders>
              <w:top w:val="single" w:sz="4" w:space="0" w:color="auto"/>
              <w:left w:val="nil"/>
              <w:bottom w:val="single" w:sz="4" w:space="0" w:color="auto"/>
              <w:right w:val="single" w:sz="4" w:space="0" w:color="auto"/>
            </w:tcBorders>
            <w:noWrap/>
            <w:vAlign w:val="center"/>
          </w:tcPr>
          <w:p w14:paraId="0C6062C3" w14:textId="73AE99A0" w:rsidR="00192A1A"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17</w:t>
            </w:r>
          </w:p>
        </w:tc>
      </w:tr>
      <w:tr w:rsidR="00192A1A" w:rsidRPr="004F0599" w14:paraId="368D825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40CD9E52" w14:textId="64ECAC31"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S/4HANA Enterprise Management for ERP customers</w:t>
            </w:r>
          </w:p>
        </w:tc>
        <w:tc>
          <w:tcPr>
            <w:tcW w:w="970" w:type="dxa"/>
            <w:tcBorders>
              <w:top w:val="single" w:sz="4" w:space="0" w:color="auto"/>
              <w:left w:val="nil"/>
              <w:bottom w:val="single" w:sz="4" w:space="0" w:color="auto"/>
              <w:right w:val="single" w:sz="4" w:space="0" w:color="auto"/>
            </w:tcBorders>
            <w:noWrap/>
            <w:vAlign w:val="center"/>
          </w:tcPr>
          <w:p w14:paraId="2B3F891B" w14:textId="6696C8D6" w:rsidR="00192A1A"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tcPr>
          <w:p w14:paraId="3F7B9811" w14:textId="62726454"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Flat Fee</w:t>
            </w:r>
          </w:p>
        </w:tc>
        <w:tc>
          <w:tcPr>
            <w:tcW w:w="932" w:type="dxa"/>
            <w:tcBorders>
              <w:top w:val="single" w:sz="4" w:space="0" w:color="auto"/>
              <w:left w:val="nil"/>
              <w:bottom w:val="single" w:sz="4" w:space="0" w:color="auto"/>
              <w:right w:val="single" w:sz="4" w:space="0" w:color="auto"/>
            </w:tcBorders>
            <w:noWrap/>
            <w:vAlign w:val="center"/>
          </w:tcPr>
          <w:p w14:paraId="0385940E" w14:textId="597FE639" w:rsidR="00192A1A"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r>
      <w:tr w:rsidR="00192A1A" w:rsidRPr="004F0599" w14:paraId="520EB0C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339BA574" w14:textId="063B6EB6"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Application Professional User</w:t>
            </w:r>
          </w:p>
        </w:tc>
        <w:tc>
          <w:tcPr>
            <w:tcW w:w="970" w:type="dxa"/>
            <w:tcBorders>
              <w:top w:val="single" w:sz="4" w:space="0" w:color="auto"/>
              <w:left w:val="nil"/>
              <w:bottom w:val="single" w:sz="4" w:space="0" w:color="auto"/>
              <w:right w:val="single" w:sz="4" w:space="0" w:color="auto"/>
            </w:tcBorders>
            <w:noWrap/>
            <w:vAlign w:val="center"/>
          </w:tcPr>
          <w:p w14:paraId="752725B5" w14:textId="6C608B0C" w:rsidR="00192A1A"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tcPr>
          <w:p w14:paraId="79DE9766" w14:textId="56904DC2" w:rsidR="00192A1A" w:rsidRPr="004F0599" w:rsidRDefault="00AD18F0" w:rsidP="002B7395">
            <w:pPr>
              <w:widowControl/>
              <w:autoSpaceDE/>
              <w:autoSpaceDN/>
              <w:rPr>
                <w:rFonts w:eastAsia="Times New Roman"/>
                <w:color w:val="000000"/>
                <w:sz w:val="18"/>
                <w:szCs w:val="20"/>
                <w:lang w:val="sk-SK" w:eastAsia="sk-SK"/>
              </w:rPr>
            </w:pPr>
            <w:r>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tcPr>
          <w:p w14:paraId="6B630DA0" w14:textId="19C56D52" w:rsidR="00AD18F0" w:rsidRDefault="00AD18F0" w:rsidP="00AD18F0">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r w:rsidR="009066B5">
              <w:rPr>
                <w:rFonts w:eastAsia="Times New Roman"/>
                <w:color w:val="000000"/>
                <w:sz w:val="18"/>
                <w:szCs w:val="20"/>
                <w:lang w:val="sk-SK" w:eastAsia="sk-SK"/>
              </w:rPr>
              <w:t xml:space="preserve"> </w:t>
            </w:r>
            <w:r>
              <w:rPr>
                <w:rFonts w:eastAsia="Times New Roman"/>
                <w:color w:val="000000"/>
                <w:sz w:val="18"/>
                <w:szCs w:val="20"/>
                <w:lang w:val="sk-SK" w:eastAsia="sk-SK"/>
              </w:rPr>
              <w:t>000</w:t>
            </w:r>
          </w:p>
        </w:tc>
      </w:tr>
      <w:tr w:rsidR="00192A1A" w:rsidRPr="004F0599" w14:paraId="6A122109"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5F1F5C79" w14:textId="0E606D0E" w:rsidR="00192A1A"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Application Limited Profesional User</w:t>
            </w:r>
          </w:p>
        </w:tc>
        <w:tc>
          <w:tcPr>
            <w:tcW w:w="970" w:type="dxa"/>
            <w:tcBorders>
              <w:top w:val="single" w:sz="4" w:space="0" w:color="auto"/>
              <w:left w:val="nil"/>
              <w:bottom w:val="single" w:sz="4" w:space="0" w:color="auto"/>
              <w:right w:val="single" w:sz="4" w:space="0" w:color="auto"/>
            </w:tcBorders>
            <w:noWrap/>
            <w:vAlign w:val="center"/>
          </w:tcPr>
          <w:p w14:paraId="512B7EE0" w14:textId="4EC34CAF" w:rsidR="00192A1A"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tcPr>
          <w:p w14:paraId="0CAF26F4" w14:textId="3AD44E4E" w:rsidR="00192A1A" w:rsidRPr="004F0599" w:rsidRDefault="00AD18F0" w:rsidP="002B7395">
            <w:pPr>
              <w:widowControl/>
              <w:autoSpaceDE/>
              <w:autoSpaceDN/>
              <w:rPr>
                <w:rFonts w:eastAsia="Times New Roman"/>
                <w:color w:val="000000"/>
                <w:sz w:val="18"/>
                <w:szCs w:val="20"/>
                <w:lang w:val="sk-SK" w:eastAsia="sk-SK"/>
              </w:rPr>
            </w:pPr>
            <w:r>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tcPr>
          <w:p w14:paraId="36760E5F" w14:textId="45FF9E35" w:rsidR="00192A1A"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4</w:t>
            </w:r>
            <w:r w:rsidR="009066B5">
              <w:rPr>
                <w:rFonts w:eastAsia="Times New Roman"/>
                <w:color w:val="000000"/>
                <w:sz w:val="18"/>
                <w:szCs w:val="20"/>
                <w:lang w:val="sk-SK" w:eastAsia="sk-SK"/>
              </w:rPr>
              <w:t xml:space="preserve"> </w:t>
            </w:r>
            <w:r>
              <w:rPr>
                <w:rFonts w:eastAsia="Times New Roman"/>
                <w:color w:val="000000"/>
                <w:sz w:val="18"/>
                <w:szCs w:val="20"/>
                <w:lang w:val="sk-SK" w:eastAsia="sk-SK"/>
              </w:rPr>
              <w:t>000</w:t>
            </w:r>
          </w:p>
        </w:tc>
      </w:tr>
      <w:tr w:rsidR="00AD18F0" w:rsidRPr="004F0599" w14:paraId="4FEA9E18"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08EF9DE2" w14:textId="2DC8E5B3" w:rsidR="00AD18F0"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Employee User - Term license (2 roky)</w:t>
            </w:r>
          </w:p>
        </w:tc>
        <w:tc>
          <w:tcPr>
            <w:tcW w:w="970" w:type="dxa"/>
            <w:tcBorders>
              <w:top w:val="single" w:sz="4" w:space="0" w:color="auto"/>
              <w:left w:val="nil"/>
              <w:bottom w:val="single" w:sz="4" w:space="0" w:color="auto"/>
              <w:right w:val="single" w:sz="4" w:space="0" w:color="auto"/>
            </w:tcBorders>
            <w:noWrap/>
            <w:vAlign w:val="center"/>
          </w:tcPr>
          <w:p w14:paraId="6B888DD6" w14:textId="3561C332" w:rsidR="00AD18F0"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tcPr>
          <w:p w14:paraId="70B6476C" w14:textId="00913ED5" w:rsidR="00AD18F0" w:rsidRPr="004F0599" w:rsidRDefault="00AD18F0" w:rsidP="002B7395">
            <w:pPr>
              <w:widowControl/>
              <w:autoSpaceDE/>
              <w:autoSpaceDN/>
              <w:rPr>
                <w:rFonts w:eastAsia="Times New Roman"/>
                <w:color w:val="000000"/>
                <w:sz w:val="18"/>
                <w:szCs w:val="20"/>
                <w:lang w:val="sk-SK" w:eastAsia="sk-SK"/>
              </w:rPr>
            </w:pPr>
            <w:r>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tcPr>
          <w:p w14:paraId="1BDEDDAB" w14:textId="7A6532AA" w:rsidR="00AD18F0"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15</w:t>
            </w:r>
            <w:r w:rsidR="009066B5">
              <w:rPr>
                <w:rFonts w:eastAsia="Times New Roman"/>
                <w:color w:val="000000"/>
                <w:sz w:val="18"/>
                <w:szCs w:val="20"/>
                <w:lang w:val="sk-SK" w:eastAsia="sk-SK"/>
              </w:rPr>
              <w:t xml:space="preserve"> </w:t>
            </w:r>
            <w:r>
              <w:rPr>
                <w:rFonts w:eastAsia="Times New Roman"/>
                <w:color w:val="000000"/>
                <w:sz w:val="18"/>
                <w:szCs w:val="20"/>
                <w:lang w:val="sk-SK" w:eastAsia="sk-SK"/>
              </w:rPr>
              <w:t>500</w:t>
            </w:r>
          </w:p>
        </w:tc>
      </w:tr>
      <w:tr w:rsidR="00AD18F0" w:rsidRPr="004F0599" w14:paraId="739BADE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723FB2F6" w14:textId="5FDAEA6F" w:rsidR="00AD18F0" w:rsidRPr="004F0599" w:rsidRDefault="00AD18F0" w:rsidP="002B7395">
            <w:pPr>
              <w:widowControl/>
              <w:autoSpaceDE/>
              <w:autoSpaceDN/>
              <w:rPr>
                <w:rFonts w:eastAsia="Times New Roman"/>
                <w:color w:val="000000"/>
                <w:sz w:val="18"/>
                <w:szCs w:val="20"/>
                <w:lang w:val="sk-SK" w:eastAsia="sk-SK"/>
              </w:rPr>
            </w:pPr>
            <w:r w:rsidRPr="00AD18F0">
              <w:rPr>
                <w:rFonts w:eastAsia="Times New Roman"/>
                <w:color w:val="000000"/>
                <w:sz w:val="18"/>
                <w:szCs w:val="20"/>
                <w:lang w:val="sk-SK" w:eastAsia="sk-SK"/>
              </w:rPr>
              <w:t>SAP Payroll Processing</w:t>
            </w:r>
          </w:p>
        </w:tc>
        <w:tc>
          <w:tcPr>
            <w:tcW w:w="970" w:type="dxa"/>
            <w:tcBorders>
              <w:top w:val="single" w:sz="4" w:space="0" w:color="auto"/>
              <w:left w:val="nil"/>
              <w:bottom w:val="single" w:sz="4" w:space="0" w:color="auto"/>
              <w:right w:val="single" w:sz="4" w:space="0" w:color="auto"/>
            </w:tcBorders>
            <w:noWrap/>
            <w:vAlign w:val="center"/>
          </w:tcPr>
          <w:p w14:paraId="10C16AF3" w14:textId="028A250B" w:rsidR="00AD18F0" w:rsidRPr="004F0599"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tcPr>
          <w:p w14:paraId="6730AF30" w14:textId="24A237EB" w:rsidR="00AD18F0" w:rsidRPr="004F0599" w:rsidRDefault="00AD18F0" w:rsidP="002B7395">
            <w:pPr>
              <w:widowControl/>
              <w:autoSpaceDE/>
              <w:autoSpaceDN/>
              <w:rPr>
                <w:rFonts w:eastAsia="Times New Roman"/>
                <w:color w:val="000000"/>
                <w:sz w:val="18"/>
                <w:szCs w:val="20"/>
                <w:lang w:val="sk-SK" w:eastAsia="sk-SK"/>
              </w:rPr>
            </w:pPr>
            <w:r>
              <w:rPr>
                <w:rFonts w:eastAsia="Times New Roman"/>
                <w:color w:val="000000"/>
                <w:sz w:val="18"/>
                <w:szCs w:val="20"/>
                <w:lang w:val="sk-SK" w:eastAsia="sk-SK"/>
              </w:rPr>
              <w:t>Employees</w:t>
            </w:r>
          </w:p>
        </w:tc>
        <w:tc>
          <w:tcPr>
            <w:tcW w:w="932" w:type="dxa"/>
            <w:tcBorders>
              <w:top w:val="single" w:sz="4" w:space="0" w:color="auto"/>
              <w:left w:val="nil"/>
              <w:bottom w:val="single" w:sz="4" w:space="0" w:color="auto"/>
              <w:right w:val="single" w:sz="4" w:space="0" w:color="auto"/>
            </w:tcBorders>
            <w:noWrap/>
            <w:vAlign w:val="center"/>
          </w:tcPr>
          <w:p w14:paraId="51BDA625" w14:textId="27BF6234" w:rsidR="00AD18F0" w:rsidRDefault="00AD18F0"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16</w:t>
            </w:r>
          </w:p>
        </w:tc>
      </w:tr>
      <w:tr w:rsidR="005474AF" w:rsidRPr="004F0599" w14:paraId="09F75B30" w14:textId="77777777" w:rsidTr="002B7395">
        <w:trPr>
          <w:trHeight w:val="300"/>
        </w:trPr>
        <w:tc>
          <w:tcPr>
            <w:tcW w:w="5656"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77951690"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Oprávnený subjekt - Ministerstvo vnútra SR</w:t>
            </w:r>
          </w:p>
        </w:tc>
        <w:tc>
          <w:tcPr>
            <w:tcW w:w="970" w:type="dxa"/>
            <w:tcBorders>
              <w:top w:val="single" w:sz="4" w:space="0" w:color="auto"/>
              <w:left w:val="nil"/>
              <w:bottom w:val="single" w:sz="4" w:space="0" w:color="auto"/>
              <w:right w:val="nil"/>
            </w:tcBorders>
            <w:shd w:val="clear" w:color="auto" w:fill="BFBFBF" w:themeFill="background1" w:themeFillShade="BF"/>
            <w:noWrap/>
            <w:vAlign w:val="center"/>
            <w:hideMark/>
          </w:tcPr>
          <w:p w14:paraId="2D8F997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1793" w:type="dxa"/>
            <w:tcBorders>
              <w:top w:val="single" w:sz="4" w:space="0" w:color="auto"/>
              <w:left w:val="nil"/>
              <w:bottom w:val="single" w:sz="4" w:space="0" w:color="auto"/>
              <w:right w:val="nil"/>
            </w:tcBorders>
            <w:shd w:val="clear" w:color="auto" w:fill="BFBFBF" w:themeFill="background1" w:themeFillShade="BF"/>
            <w:noWrap/>
            <w:vAlign w:val="center"/>
            <w:hideMark/>
          </w:tcPr>
          <w:p w14:paraId="78FFF79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93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ECA825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r>
      <w:tr w:rsidR="005474AF" w:rsidRPr="004F0599" w14:paraId="7DABB45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1720585"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Produkt</w:t>
            </w:r>
          </w:p>
        </w:tc>
        <w:tc>
          <w:tcPr>
            <w:tcW w:w="970" w:type="dxa"/>
            <w:tcBorders>
              <w:top w:val="single" w:sz="4" w:space="0" w:color="auto"/>
              <w:left w:val="nil"/>
              <w:bottom w:val="single" w:sz="4" w:space="0" w:color="auto"/>
              <w:right w:val="single" w:sz="4" w:space="0" w:color="auto"/>
            </w:tcBorders>
            <w:noWrap/>
            <w:vAlign w:val="center"/>
            <w:hideMark/>
          </w:tcPr>
          <w:p w14:paraId="3E4AAB4A"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Jednotka</w:t>
            </w:r>
          </w:p>
        </w:tc>
        <w:tc>
          <w:tcPr>
            <w:tcW w:w="1793" w:type="dxa"/>
            <w:tcBorders>
              <w:top w:val="single" w:sz="4" w:space="0" w:color="auto"/>
              <w:left w:val="nil"/>
              <w:bottom w:val="single" w:sz="4" w:space="0" w:color="auto"/>
              <w:right w:val="single" w:sz="4" w:space="0" w:color="auto"/>
            </w:tcBorders>
            <w:noWrap/>
            <w:vAlign w:val="center"/>
            <w:hideMark/>
          </w:tcPr>
          <w:p w14:paraId="519A05FB"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Merná jednotka</w:t>
            </w:r>
          </w:p>
        </w:tc>
        <w:tc>
          <w:tcPr>
            <w:tcW w:w="932" w:type="dxa"/>
            <w:tcBorders>
              <w:top w:val="single" w:sz="4" w:space="0" w:color="auto"/>
              <w:left w:val="nil"/>
              <w:bottom w:val="single" w:sz="4" w:space="0" w:color="auto"/>
              <w:right w:val="single" w:sz="4" w:space="0" w:color="auto"/>
            </w:tcBorders>
            <w:noWrap/>
            <w:vAlign w:val="center"/>
            <w:hideMark/>
          </w:tcPr>
          <w:p w14:paraId="1CE44EB2"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Celkom</w:t>
            </w:r>
          </w:p>
        </w:tc>
      </w:tr>
      <w:tr w:rsidR="005474AF" w:rsidRPr="004F0599" w14:paraId="7C905F0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F3257D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Developer User</w:t>
            </w:r>
          </w:p>
        </w:tc>
        <w:tc>
          <w:tcPr>
            <w:tcW w:w="970" w:type="dxa"/>
            <w:tcBorders>
              <w:top w:val="single" w:sz="4" w:space="0" w:color="auto"/>
              <w:left w:val="nil"/>
              <w:bottom w:val="single" w:sz="4" w:space="0" w:color="auto"/>
              <w:right w:val="single" w:sz="4" w:space="0" w:color="auto"/>
            </w:tcBorders>
            <w:noWrap/>
            <w:vAlign w:val="center"/>
            <w:hideMark/>
          </w:tcPr>
          <w:p w14:paraId="096135E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15E252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užívateľ</w:t>
            </w:r>
          </w:p>
        </w:tc>
        <w:tc>
          <w:tcPr>
            <w:tcW w:w="932" w:type="dxa"/>
            <w:tcBorders>
              <w:top w:val="single" w:sz="4" w:space="0" w:color="auto"/>
              <w:left w:val="nil"/>
              <w:bottom w:val="single" w:sz="4" w:space="0" w:color="auto"/>
              <w:right w:val="single" w:sz="4" w:space="0" w:color="auto"/>
            </w:tcBorders>
            <w:noWrap/>
            <w:vAlign w:val="center"/>
            <w:hideMark/>
          </w:tcPr>
          <w:p w14:paraId="43C5210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p>
        </w:tc>
      </w:tr>
      <w:tr w:rsidR="005474AF" w:rsidRPr="004F0599" w14:paraId="13AAA1B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99B9CA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Professional User</w:t>
            </w:r>
          </w:p>
        </w:tc>
        <w:tc>
          <w:tcPr>
            <w:tcW w:w="970" w:type="dxa"/>
            <w:tcBorders>
              <w:top w:val="single" w:sz="4" w:space="0" w:color="auto"/>
              <w:left w:val="nil"/>
              <w:bottom w:val="single" w:sz="4" w:space="0" w:color="auto"/>
              <w:right w:val="single" w:sz="4" w:space="0" w:color="auto"/>
            </w:tcBorders>
            <w:noWrap/>
            <w:vAlign w:val="center"/>
            <w:hideMark/>
          </w:tcPr>
          <w:p w14:paraId="71D5F3E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37FAF66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užívateľ</w:t>
            </w:r>
          </w:p>
        </w:tc>
        <w:tc>
          <w:tcPr>
            <w:tcW w:w="932" w:type="dxa"/>
            <w:tcBorders>
              <w:top w:val="single" w:sz="4" w:space="0" w:color="auto"/>
              <w:left w:val="nil"/>
              <w:bottom w:val="single" w:sz="4" w:space="0" w:color="auto"/>
              <w:right w:val="single" w:sz="4" w:space="0" w:color="auto"/>
            </w:tcBorders>
            <w:noWrap/>
            <w:vAlign w:val="center"/>
            <w:hideMark/>
          </w:tcPr>
          <w:p w14:paraId="31CCAA36"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 1 870</w:t>
            </w:r>
          </w:p>
        </w:tc>
      </w:tr>
      <w:tr w:rsidR="005474AF" w:rsidRPr="004F0599" w14:paraId="160813A6"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40A1FD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Applucation Limited Professional User</w:t>
            </w:r>
          </w:p>
        </w:tc>
        <w:tc>
          <w:tcPr>
            <w:tcW w:w="970" w:type="dxa"/>
            <w:tcBorders>
              <w:top w:val="single" w:sz="4" w:space="0" w:color="auto"/>
              <w:left w:val="nil"/>
              <w:bottom w:val="single" w:sz="4" w:space="0" w:color="auto"/>
              <w:right w:val="single" w:sz="4" w:space="0" w:color="auto"/>
            </w:tcBorders>
            <w:noWrap/>
            <w:vAlign w:val="center"/>
            <w:hideMark/>
          </w:tcPr>
          <w:p w14:paraId="6373CCA6" w14:textId="77777777" w:rsidR="005474AF" w:rsidRPr="004F0599" w:rsidRDefault="005474AF" w:rsidP="002B7395">
            <w:pPr>
              <w:widowControl/>
              <w:autoSpaceDE/>
              <w:autoSpaceDN/>
              <w:jc w:val="right"/>
              <w:rPr>
                <w:rFonts w:eastAsia="Times New Roman"/>
                <w:color w:val="000000"/>
                <w:sz w:val="18"/>
                <w:szCs w:val="20"/>
                <w:lang w:val="sk-SK" w:eastAsia="sk-SK"/>
              </w:rPr>
            </w:pPr>
            <w:r w:rsidRPr="00F42B42">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C7EE4D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užívateľ</w:t>
            </w:r>
          </w:p>
        </w:tc>
        <w:tc>
          <w:tcPr>
            <w:tcW w:w="932" w:type="dxa"/>
            <w:tcBorders>
              <w:top w:val="single" w:sz="4" w:space="0" w:color="auto"/>
              <w:left w:val="nil"/>
              <w:bottom w:val="single" w:sz="4" w:space="0" w:color="auto"/>
              <w:right w:val="single" w:sz="4" w:space="0" w:color="auto"/>
            </w:tcBorders>
            <w:noWrap/>
            <w:vAlign w:val="center"/>
            <w:hideMark/>
          </w:tcPr>
          <w:p w14:paraId="5B1D81C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30 198</w:t>
            </w:r>
          </w:p>
        </w:tc>
      </w:tr>
      <w:tr w:rsidR="005474AF" w:rsidRPr="004F0599" w14:paraId="6CBA142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EE679C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ESS User</w:t>
            </w:r>
          </w:p>
        </w:tc>
        <w:tc>
          <w:tcPr>
            <w:tcW w:w="970" w:type="dxa"/>
            <w:tcBorders>
              <w:top w:val="single" w:sz="4" w:space="0" w:color="auto"/>
              <w:left w:val="nil"/>
              <w:bottom w:val="single" w:sz="4" w:space="0" w:color="auto"/>
              <w:right w:val="single" w:sz="4" w:space="0" w:color="auto"/>
            </w:tcBorders>
            <w:noWrap/>
            <w:vAlign w:val="center"/>
            <w:hideMark/>
          </w:tcPr>
          <w:p w14:paraId="7ADBBE0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B153B5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užívateľ</w:t>
            </w:r>
          </w:p>
        </w:tc>
        <w:tc>
          <w:tcPr>
            <w:tcW w:w="932" w:type="dxa"/>
            <w:tcBorders>
              <w:top w:val="single" w:sz="4" w:space="0" w:color="auto"/>
              <w:left w:val="nil"/>
              <w:bottom w:val="single" w:sz="4" w:space="0" w:color="auto"/>
              <w:right w:val="single" w:sz="4" w:space="0" w:color="auto"/>
            </w:tcBorders>
            <w:noWrap/>
            <w:vAlign w:val="center"/>
            <w:hideMark/>
          </w:tcPr>
          <w:p w14:paraId="5891CED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30 200</w:t>
            </w:r>
          </w:p>
        </w:tc>
      </w:tr>
      <w:tr w:rsidR="005474AF" w:rsidRPr="004F0599" w14:paraId="2349F65B"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9A51A6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Developer User</w:t>
            </w:r>
          </w:p>
        </w:tc>
        <w:tc>
          <w:tcPr>
            <w:tcW w:w="970" w:type="dxa"/>
            <w:tcBorders>
              <w:top w:val="single" w:sz="4" w:space="0" w:color="auto"/>
              <w:left w:val="nil"/>
              <w:bottom w:val="single" w:sz="4" w:space="0" w:color="auto"/>
              <w:right w:val="single" w:sz="4" w:space="0" w:color="auto"/>
            </w:tcBorders>
            <w:noWrap/>
            <w:vAlign w:val="center"/>
            <w:hideMark/>
          </w:tcPr>
          <w:p w14:paraId="0DF1C3D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EF30FB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užívateľ</w:t>
            </w:r>
          </w:p>
        </w:tc>
        <w:tc>
          <w:tcPr>
            <w:tcW w:w="932" w:type="dxa"/>
            <w:tcBorders>
              <w:top w:val="single" w:sz="4" w:space="0" w:color="auto"/>
              <w:left w:val="nil"/>
              <w:bottom w:val="single" w:sz="4" w:space="0" w:color="auto"/>
              <w:right w:val="single" w:sz="4" w:space="0" w:color="auto"/>
            </w:tcBorders>
            <w:noWrap/>
            <w:vAlign w:val="center"/>
            <w:hideMark/>
          </w:tcPr>
          <w:p w14:paraId="1DAD7AB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10 </w:t>
            </w:r>
          </w:p>
        </w:tc>
      </w:tr>
      <w:tr w:rsidR="005474AF" w:rsidRPr="004F0599" w14:paraId="5B683080"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77CD12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PI Base Engine</w:t>
            </w:r>
          </w:p>
        </w:tc>
        <w:tc>
          <w:tcPr>
            <w:tcW w:w="970" w:type="dxa"/>
            <w:tcBorders>
              <w:top w:val="single" w:sz="4" w:space="0" w:color="auto"/>
              <w:left w:val="nil"/>
              <w:bottom w:val="single" w:sz="4" w:space="0" w:color="auto"/>
              <w:right w:val="single" w:sz="4" w:space="0" w:color="auto"/>
            </w:tcBorders>
            <w:noWrap/>
            <w:vAlign w:val="center"/>
            <w:hideMark/>
          </w:tcPr>
          <w:p w14:paraId="3A70CC0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45073A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6D7277B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100 </w:t>
            </w:r>
          </w:p>
        </w:tc>
      </w:tr>
      <w:tr w:rsidR="005474AF" w:rsidRPr="004F0599" w14:paraId="7372C8B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7198A2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Full Use – per CPU</w:t>
            </w:r>
          </w:p>
        </w:tc>
        <w:tc>
          <w:tcPr>
            <w:tcW w:w="970" w:type="dxa"/>
            <w:tcBorders>
              <w:top w:val="single" w:sz="4" w:space="0" w:color="auto"/>
              <w:left w:val="nil"/>
              <w:bottom w:val="single" w:sz="4" w:space="0" w:color="auto"/>
              <w:right w:val="single" w:sz="4" w:space="0" w:color="auto"/>
            </w:tcBorders>
            <w:noWrap/>
            <w:vAlign w:val="center"/>
            <w:hideMark/>
          </w:tcPr>
          <w:p w14:paraId="39D6948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80BB62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74581D8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16 </w:t>
            </w:r>
          </w:p>
        </w:tc>
      </w:tr>
      <w:tr w:rsidR="005474AF" w:rsidRPr="004F0599" w14:paraId="4216456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58A351A"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Enterprise Foundation Package (incl 5 Prof Usr)</w:t>
            </w:r>
          </w:p>
        </w:tc>
        <w:tc>
          <w:tcPr>
            <w:tcW w:w="970" w:type="dxa"/>
            <w:tcBorders>
              <w:top w:val="single" w:sz="4" w:space="0" w:color="auto"/>
              <w:left w:val="nil"/>
              <w:bottom w:val="single" w:sz="4" w:space="0" w:color="auto"/>
              <w:right w:val="single" w:sz="4" w:space="0" w:color="auto"/>
            </w:tcBorders>
            <w:noWrap/>
            <w:vAlign w:val="center"/>
            <w:hideMark/>
          </w:tcPr>
          <w:p w14:paraId="7223D13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31E936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unit</w:t>
            </w:r>
          </w:p>
        </w:tc>
        <w:tc>
          <w:tcPr>
            <w:tcW w:w="932" w:type="dxa"/>
            <w:tcBorders>
              <w:top w:val="single" w:sz="4" w:space="0" w:color="auto"/>
              <w:left w:val="nil"/>
              <w:bottom w:val="single" w:sz="4" w:space="0" w:color="auto"/>
              <w:right w:val="single" w:sz="4" w:space="0" w:color="auto"/>
            </w:tcBorders>
            <w:noWrap/>
            <w:vAlign w:val="center"/>
            <w:hideMark/>
          </w:tcPr>
          <w:p w14:paraId="2709E80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1 </w:t>
            </w:r>
          </w:p>
        </w:tc>
      </w:tr>
      <w:tr w:rsidR="005474AF" w:rsidRPr="004F0599" w14:paraId="3993519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B72695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lastRenderedPageBreak/>
              <w:t>Interactive Forms by Adobe – Starter kit</w:t>
            </w:r>
          </w:p>
        </w:tc>
        <w:tc>
          <w:tcPr>
            <w:tcW w:w="970" w:type="dxa"/>
            <w:tcBorders>
              <w:top w:val="single" w:sz="4" w:space="0" w:color="auto"/>
              <w:left w:val="nil"/>
              <w:bottom w:val="single" w:sz="4" w:space="0" w:color="auto"/>
              <w:right w:val="single" w:sz="4" w:space="0" w:color="auto"/>
            </w:tcBorders>
            <w:noWrap/>
            <w:vAlign w:val="center"/>
            <w:hideMark/>
          </w:tcPr>
          <w:p w14:paraId="1F4053C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1D9AD1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unit</w:t>
            </w:r>
          </w:p>
        </w:tc>
        <w:tc>
          <w:tcPr>
            <w:tcW w:w="932" w:type="dxa"/>
            <w:tcBorders>
              <w:top w:val="single" w:sz="4" w:space="0" w:color="auto"/>
              <w:left w:val="nil"/>
              <w:bottom w:val="single" w:sz="4" w:space="0" w:color="auto"/>
              <w:right w:val="single" w:sz="4" w:space="0" w:color="auto"/>
            </w:tcBorders>
            <w:noWrap/>
            <w:vAlign w:val="center"/>
            <w:hideMark/>
          </w:tcPr>
          <w:p w14:paraId="16D30C8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1 </w:t>
            </w:r>
          </w:p>
        </w:tc>
      </w:tr>
      <w:tr w:rsidR="005474AF" w:rsidRPr="004F0599" w14:paraId="71A6AD3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3AEA69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Payroll Processing</w:t>
            </w:r>
          </w:p>
        </w:tc>
        <w:tc>
          <w:tcPr>
            <w:tcW w:w="970" w:type="dxa"/>
            <w:tcBorders>
              <w:top w:val="single" w:sz="4" w:space="0" w:color="auto"/>
              <w:left w:val="nil"/>
              <w:bottom w:val="single" w:sz="4" w:space="0" w:color="auto"/>
              <w:right w:val="single" w:sz="4" w:space="0" w:color="auto"/>
            </w:tcBorders>
            <w:noWrap/>
            <w:vAlign w:val="center"/>
            <w:hideMark/>
          </w:tcPr>
          <w:p w14:paraId="3E3A9FD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w:t>
            </w:r>
          </w:p>
        </w:tc>
        <w:tc>
          <w:tcPr>
            <w:tcW w:w="1793" w:type="dxa"/>
            <w:tcBorders>
              <w:top w:val="single" w:sz="4" w:space="0" w:color="auto"/>
              <w:left w:val="nil"/>
              <w:bottom w:val="single" w:sz="4" w:space="0" w:color="auto"/>
              <w:right w:val="single" w:sz="4" w:space="0" w:color="auto"/>
            </w:tcBorders>
            <w:noWrap/>
            <w:vAlign w:val="center"/>
            <w:hideMark/>
          </w:tcPr>
          <w:p w14:paraId="6A11D30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Master records</w:t>
            </w:r>
          </w:p>
        </w:tc>
        <w:tc>
          <w:tcPr>
            <w:tcW w:w="932" w:type="dxa"/>
            <w:tcBorders>
              <w:top w:val="single" w:sz="4" w:space="0" w:color="auto"/>
              <w:left w:val="nil"/>
              <w:bottom w:val="single" w:sz="4" w:space="0" w:color="auto"/>
              <w:right w:val="single" w:sz="4" w:space="0" w:color="auto"/>
            </w:tcBorders>
            <w:noWrap/>
            <w:vAlign w:val="center"/>
            <w:hideMark/>
          </w:tcPr>
          <w:p w14:paraId="48DA16B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77</w:t>
            </w:r>
          </w:p>
        </w:tc>
      </w:tr>
      <w:tr w:rsidR="005474AF" w:rsidRPr="004F0599" w14:paraId="660DB21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2501A6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Investigative Case Management for PS</w:t>
            </w:r>
          </w:p>
        </w:tc>
        <w:tc>
          <w:tcPr>
            <w:tcW w:w="970" w:type="dxa"/>
            <w:tcBorders>
              <w:top w:val="single" w:sz="4" w:space="0" w:color="auto"/>
              <w:left w:val="nil"/>
              <w:bottom w:val="single" w:sz="4" w:space="0" w:color="auto"/>
              <w:right w:val="single" w:sz="4" w:space="0" w:color="auto"/>
            </w:tcBorders>
            <w:noWrap/>
            <w:vAlign w:val="center"/>
            <w:hideMark/>
          </w:tcPr>
          <w:p w14:paraId="7611D25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24BEFCD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Cases</w:t>
            </w:r>
          </w:p>
        </w:tc>
        <w:tc>
          <w:tcPr>
            <w:tcW w:w="932" w:type="dxa"/>
            <w:tcBorders>
              <w:top w:val="single" w:sz="4" w:space="0" w:color="auto"/>
              <w:left w:val="nil"/>
              <w:bottom w:val="single" w:sz="4" w:space="0" w:color="auto"/>
              <w:right w:val="single" w:sz="4" w:space="0" w:color="auto"/>
            </w:tcBorders>
            <w:noWrap/>
            <w:vAlign w:val="center"/>
            <w:hideMark/>
          </w:tcPr>
          <w:p w14:paraId="4DF5B42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 300 000 </w:t>
            </w:r>
          </w:p>
        </w:tc>
      </w:tr>
      <w:tr w:rsidR="005474AF" w:rsidRPr="004F0599" w14:paraId="031132FA"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675AF0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Emergency Management for PS</w:t>
            </w:r>
          </w:p>
        </w:tc>
        <w:tc>
          <w:tcPr>
            <w:tcW w:w="970" w:type="dxa"/>
            <w:tcBorders>
              <w:top w:val="single" w:sz="4" w:space="0" w:color="auto"/>
              <w:left w:val="nil"/>
              <w:bottom w:val="single" w:sz="4" w:space="0" w:color="auto"/>
              <w:right w:val="single" w:sz="4" w:space="0" w:color="auto"/>
            </w:tcBorders>
            <w:noWrap/>
            <w:vAlign w:val="center"/>
            <w:hideMark/>
          </w:tcPr>
          <w:p w14:paraId="5BC7E8B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w:t>
            </w:r>
          </w:p>
        </w:tc>
        <w:tc>
          <w:tcPr>
            <w:tcW w:w="1793" w:type="dxa"/>
            <w:tcBorders>
              <w:top w:val="single" w:sz="4" w:space="0" w:color="auto"/>
              <w:left w:val="nil"/>
              <w:bottom w:val="single" w:sz="4" w:space="0" w:color="auto"/>
              <w:right w:val="single" w:sz="4" w:space="0" w:color="auto"/>
            </w:tcBorders>
            <w:noWrap/>
            <w:vAlign w:val="center"/>
            <w:hideMark/>
          </w:tcPr>
          <w:p w14:paraId="1F36D00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Full-time equivalents</w:t>
            </w:r>
          </w:p>
        </w:tc>
        <w:tc>
          <w:tcPr>
            <w:tcW w:w="932" w:type="dxa"/>
            <w:tcBorders>
              <w:top w:val="single" w:sz="4" w:space="0" w:color="auto"/>
              <w:left w:val="nil"/>
              <w:bottom w:val="single" w:sz="4" w:space="0" w:color="auto"/>
              <w:right w:val="single" w:sz="4" w:space="0" w:color="auto"/>
            </w:tcBorders>
            <w:noWrap/>
            <w:vAlign w:val="center"/>
            <w:hideMark/>
          </w:tcPr>
          <w:p w14:paraId="14D679F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100 </w:t>
            </w:r>
          </w:p>
        </w:tc>
      </w:tr>
      <w:tr w:rsidR="005474AF" w:rsidRPr="004F0599" w14:paraId="58536BE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5DD502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Process Integration</w:t>
            </w:r>
          </w:p>
        </w:tc>
        <w:tc>
          <w:tcPr>
            <w:tcW w:w="970" w:type="dxa"/>
            <w:tcBorders>
              <w:top w:val="single" w:sz="4" w:space="0" w:color="auto"/>
              <w:left w:val="nil"/>
              <w:bottom w:val="single" w:sz="4" w:space="0" w:color="auto"/>
              <w:right w:val="single" w:sz="4" w:space="0" w:color="auto"/>
            </w:tcBorders>
            <w:noWrap/>
            <w:vAlign w:val="center"/>
            <w:hideMark/>
          </w:tcPr>
          <w:p w14:paraId="5659A06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76B2F9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Cores</w:t>
            </w:r>
          </w:p>
        </w:tc>
        <w:tc>
          <w:tcPr>
            <w:tcW w:w="932" w:type="dxa"/>
            <w:tcBorders>
              <w:top w:val="single" w:sz="4" w:space="0" w:color="auto"/>
              <w:left w:val="nil"/>
              <w:bottom w:val="single" w:sz="4" w:space="0" w:color="auto"/>
              <w:right w:val="single" w:sz="4" w:space="0" w:color="auto"/>
            </w:tcBorders>
            <w:noWrap/>
            <w:vAlign w:val="center"/>
            <w:hideMark/>
          </w:tcPr>
          <w:p w14:paraId="760C7E3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8 </w:t>
            </w:r>
          </w:p>
        </w:tc>
      </w:tr>
      <w:tr w:rsidR="005474AF" w:rsidRPr="004F0599" w14:paraId="4FB5E666"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35E9DD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Foundation for Third Party Applications, core based</w:t>
            </w:r>
          </w:p>
        </w:tc>
        <w:tc>
          <w:tcPr>
            <w:tcW w:w="970" w:type="dxa"/>
            <w:tcBorders>
              <w:top w:val="single" w:sz="4" w:space="0" w:color="auto"/>
              <w:left w:val="nil"/>
              <w:bottom w:val="single" w:sz="4" w:space="0" w:color="auto"/>
              <w:right w:val="single" w:sz="4" w:space="0" w:color="auto"/>
            </w:tcBorders>
            <w:noWrap/>
            <w:vAlign w:val="center"/>
            <w:hideMark/>
          </w:tcPr>
          <w:p w14:paraId="2FD9E15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4A60B0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Cores</w:t>
            </w:r>
          </w:p>
        </w:tc>
        <w:tc>
          <w:tcPr>
            <w:tcW w:w="932" w:type="dxa"/>
            <w:tcBorders>
              <w:top w:val="single" w:sz="4" w:space="0" w:color="auto"/>
              <w:left w:val="nil"/>
              <w:bottom w:val="single" w:sz="4" w:space="0" w:color="auto"/>
              <w:right w:val="single" w:sz="4" w:space="0" w:color="auto"/>
            </w:tcBorders>
            <w:noWrap/>
            <w:vAlign w:val="center"/>
            <w:hideMark/>
          </w:tcPr>
          <w:p w14:paraId="010248F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 24 </w:t>
            </w:r>
          </w:p>
        </w:tc>
      </w:tr>
      <w:tr w:rsidR="005474AF" w:rsidRPr="004F0599" w14:paraId="02A18B1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054B98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BusinessObjects BI Suite, CS</w:t>
            </w:r>
          </w:p>
        </w:tc>
        <w:tc>
          <w:tcPr>
            <w:tcW w:w="970" w:type="dxa"/>
            <w:tcBorders>
              <w:top w:val="single" w:sz="4" w:space="0" w:color="auto"/>
              <w:left w:val="nil"/>
              <w:bottom w:val="single" w:sz="4" w:space="0" w:color="auto"/>
              <w:right w:val="single" w:sz="4" w:space="0" w:color="auto"/>
            </w:tcBorders>
            <w:noWrap/>
            <w:vAlign w:val="center"/>
            <w:hideMark/>
          </w:tcPr>
          <w:p w14:paraId="1D5DAF7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p>
        </w:tc>
        <w:tc>
          <w:tcPr>
            <w:tcW w:w="1793" w:type="dxa"/>
            <w:tcBorders>
              <w:top w:val="single" w:sz="4" w:space="0" w:color="auto"/>
              <w:left w:val="nil"/>
              <w:bottom w:val="single" w:sz="4" w:space="0" w:color="auto"/>
              <w:right w:val="single" w:sz="4" w:space="0" w:color="auto"/>
            </w:tcBorders>
            <w:noWrap/>
            <w:vAlign w:val="center"/>
            <w:hideMark/>
          </w:tcPr>
          <w:p w14:paraId="2E20DF5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Concurrent sessions</w:t>
            </w:r>
          </w:p>
        </w:tc>
        <w:tc>
          <w:tcPr>
            <w:tcW w:w="932" w:type="dxa"/>
            <w:tcBorders>
              <w:top w:val="single" w:sz="4" w:space="0" w:color="auto"/>
              <w:left w:val="nil"/>
              <w:bottom w:val="single" w:sz="4" w:space="0" w:color="auto"/>
              <w:right w:val="single" w:sz="4" w:space="0" w:color="auto"/>
            </w:tcBorders>
            <w:noWrap/>
            <w:vAlign w:val="center"/>
            <w:hideMark/>
          </w:tcPr>
          <w:p w14:paraId="3E23E8A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20 </w:t>
            </w:r>
          </w:p>
        </w:tc>
      </w:tr>
      <w:tr w:rsidR="005474AF" w:rsidRPr="004F0599" w14:paraId="0F020D7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A62AAB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BusinessObjects BI Location Intelligence by Galigeo Integr (CS)</w:t>
            </w:r>
          </w:p>
        </w:tc>
        <w:tc>
          <w:tcPr>
            <w:tcW w:w="970" w:type="dxa"/>
            <w:tcBorders>
              <w:top w:val="single" w:sz="4" w:space="0" w:color="auto"/>
              <w:left w:val="nil"/>
              <w:bottom w:val="single" w:sz="4" w:space="0" w:color="auto"/>
              <w:right w:val="single" w:sz="4" w:space="0" w:color="auto"/>
            </w:tcBorders>
            <w:noWrap/>
            <w:vAlign w:val="center"/>
            <w:hideMark/>
          </w:tcPr>
          <w:p w14:paraId="063BAD1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p>
        </w:tc>
        <w:tc>
          <w:tcPr>
            <w:tcW w:w="1793" w:type="dxa"/>
            <w:tcBorders>
              <w:top w:val="single" w:sz="4" w:space="0" w:color="auto"/>
              <w:left w:val="nil"/>
              <w:bottom w:val="single" w:sz="4" w:space="0" w:color="auto"/>
              <w:right w:val="single" w:sz="4" w:space="0" w:color="auto"/>
            </w:tcBorders>
            <w:noWrap/>
            <w:vAlign w:val="center"/>
            <w:hideMark/>
          </w:tcPr>
          <w:p w14:paraId="3A6AF7F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Concurrent sessions</w:t>
            </w:r>
          </w:p>
        </w:tc>
        <w:tc>
          <w:tcPr>
            <w:tcW w:w="932" w:type="dxa"/>
            <w:tcBorders>
              <w:top w:val="single" w:sz="4" w:space="0" w:color="auto"/>
              <w:left w:val="nil"/>
              <w:bottom w:val="single" w:sz="4" w:space="0" w:color="auto"/>
              <w:right w:val="single" w:sz="4" w:space="0" w:color="auto"/>
            </w:tcBorders>
            <w:noWrap/>
            <w:vAlign w:val="center"/>
            <w:hideMark/>
          </w:tcPr>
          <w:p w14:paraId="34B7ECB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20 </w:t>
            </w:r>
          </w:p>
        </w:tc>
      </w:tr>
      <w:tr w:rsidR="005474AF" w:rsidRPr="004F0599" w14:paraId="1CCD0C6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CCA686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 Objects Business Suite (user)</w:t>
            </w:r>
          </w:p>
        </w:tc>
        <w:tc>
          <w:tcPr>
            <w:tcW w:w="970" w:type="dxa"/>
            <w:tcBorders>
              <w:top w:val="single" w:sz="4" w:space="0" w:color="auto"/>
              <w:left w:val="nil"/>
              <w:bottom w:val="single" w:sz="4" w:space="0" w:color="auto"/>
              <w:right w:val="single" w:sz="4" w:space="0" w:color="auto"/>
            </w:tcBorders>
            <w:noWrap/>
            <w:vAlign w:val="center"/>
            <w:hideMark/>
          </w:tcPr>
          <w:p w14:paraId="5C14857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A513A1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392D601D"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5FBA3B7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160C8E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Business Expert Upgrade User</w:t>
            </w:r>
          </w:p>
        </w:tc>
        <w:tc>
          <w:tcPr>
            <w:tcW w:w="970" w:type="dxa"/>
            <w:tcBorders>
              <w:top w:val="single" w:sz="4" w:space="0" w:color="auto"/>
              <w:left w:val="nil"/>
              <w:bottom w:val="single" w:sz="4" w:space="0" w:color="auto"/>
              <w:right w:val="single" w:sz="4" w:space="0" w:color="auto"/>
            </w:tcBorders>
            <w:noWrap/>
            <w:vAlign w:val="center"/>
            <w:hideMark/>
          </w:tcPr>
          <w:p w14:paraId="7907C2F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39D0874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Application Business Expert Upgrade User</w:t>
            </w:r>
          </w:p>
        </w:tc>
        <w:tc>
          <w:tcPr>
            <w:tcW w:w="932" w:type="dxa"/>
            <w:tcBorders>
              <w:top w:val="single" w:sz="4" w:space="0" w:color="auto"/>
              <w:left w:val="nil"/>
              <w:bottom w:val="single" w:sz="4" w:space="0" w:color="auto"/>
              <w:right w:val="single" w:sz="4" w:space="0" w:color="auto"/>
            </w:tcBorders>
            <w:noWrap/>
            <w:vAlign w:val="center"/>
            <w:hideMark/>
          </w:tcPr>
          <w:p w14:paraId="0FE1AD1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5 </w:t>
            </w:r>
          </w:p>
        </w:tc>
      </w:tr>
      <w:tr w:rsidR="005474AF" w:rsidRPr="004F0599" w14:paraId="28A0BB8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6877A6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 Communications Management, multi-channel</w:t>
            </w:r>
          </w:p>
        </w:tc>
        <w:tc>
          <w:tcPr>
            <w:tcW w:w="970" w:type="dxa"/>
            <w:tcBorders>
              <w:top w:val="single" w:sz="4" w:space="0" w:color="auto"/>
              <w:left w:val="nil"/>
              <w:bottom w:val="single" w:sz="4" w:space="0" w:color="auto"/>
              <w:right w:val="single" w:sz="4" w:space="0" w:color="auto"/>
            </w:tcBorders>
            <w:noWrap/>
            <w:vAlign w:val="center"/>
            <w:hideMark/>
          </w:tcPr>
          <w:p w14:paraId="167084A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59E11C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BCM multi-channel users</w:t>
            </w:r>
          </w:p>
        </w:tc>
        <w:tc>
          <w:tcPr>
            <w:tcW w:w="932" w:type="dxa"/>
            <w:tcBorders>
              <w:top w:val="single" w:sz="4" w:space="0" w:color="auto"/>
              <w:left w:val="nil"/>
              <w:bottom w:val="single" w:sz="4" w:space="0" w:color="auto"/>
              <w:right w:val="single" w:sz="4" w:space="0" w:color="auto"/>
            </w:tcBorders>
            <w:noWrap/>
            <w:vAlign w:val="center"/>
            <w:hideMark/>
          </w:tcPr>
          <w:p w14:paraId="4C1DA71C"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 120 </w:t>
            </w:r>
          </w:p>
        </w:tc>
      </w:tr>
      <w:tr w:rsidR="005474AF" w:rsidRPr="004F0599" w14:paraId="1F8D453F"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946380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BA&amp;T SAP Data Services</w:t>
            </w:r>
          </w:p>
        </w:tc>
        <w:tc>
          <w:tcPr>
            <w:tcW w:w="970" w:type="dxa"/>
            <w:tcBorders>
              <w:top w:val="single" w:sz="4" w:space="0" w:color="auto"/>
              <w:left w:val="nil"/>
              <w:bottom w:val="single" w:sz="4" w:space="0" w:color="auto"/>
              <w:right w:val="single" w:sz="4" w:space="0" w:color="auto"/>
            </w:tcBorders>
            <w:noWrap/>
            <w:vAlign w:val="center"/>
            <w:hideMark/>
          </w:tcPr>
          <w:p w14:paraId="55DF46A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1A6F2D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Cores</w:t>
            </w:r>
          </w:p>
        </w:tc>
        <w:tc>
          <w:tcPr>
            <w:tcW w:w="932" w:type="dxa"/>
            <w:tcBorders>
              <w:top w:val="single" w:sz="4" w:space="0" w:color="auto"/>
              <w:left w:val="nil"/>
              <w:bottom w:val="single" w:sz="4" w:space="0" w:color="auto"/>
              <w:right w:val="single" w:sz="4" w:space="0" w:color="auto"/>
            </w:tcBorders>
            <w:noWrap/>
            <w:vAlign w:val="center"/>
            <w:hideMark/>
          </w:tcPr>
          <w:p w14:paraId="2CBE674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9 </w:t>
            </w:r>
          </w:p>
        </w:tc>
      </w:tr>
      <w:tr w:rsidR="005474AF" w:rsidRPr="004F0599" w14:paraId="5B7D535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9A640A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SAP Information Steward </w:t>
            </w:r>
          </w:p>
        </w:tc>
        <w:tc>
          <w:tcPr>
            <w:tcW w:w="970" w:type="dxa"/>
            <w:tcBorders>
              <w:top w:val="single" w:sz="4" w:space="0" w:color="auto"/>
              <w:left w:val="nil"/>
              <w:bottom w:val="single" w:sz="4" w:space="0" w:color="auto"/>
              <w:right w:val="single" w:sz="4" w:space="0" w:color="auto"/>
            </w:tcBorders>
            <w:noWrap/>
            <w:vAlign w:val="center"/>
            <w:hideMark/>
          </w:tcPr>
          <w:p w14:paraId="4A0C0EE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BA5916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cores</w:t>
            </w:r>
          </w:p>
        </w:tc>
        <w:tc>
          <w:tcPr>
            <w:tcW w:w="932" w:type="dxa"/>
            <w:tcBorders>
              <w:top w:val="single" w:sz="4" w:space="0" w:color="auto"/>
              <w:left w:val="nil"/>
              <w:bottom w:val="single" w:sz="4" w:space="0" w:color="auto"/>
              <w:right w:val="single" w:sz="4" w:space="0" w:color="auto"/>
            </w:tcBorders>
            <w:noWrap/>
            <w:vAlign w:val="center"/>
            <w:hideMark/>
          </w:tcPr>
          <w:p w14:paraId="29C73D0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4 </w:t>
            </w:r>
          </w:p>
        </w:tc>
      </w:tr>
      <w:tr w:rsidR="005474AF" w:rsidRPr="004F0599" w14:paraId="405A36E0"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1F31EF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Information Lifecycle Management</w:t>
            </w:r>
          </w:p>
        </w:tc>
        <w:tc>
          <w:tcPr>
            <w:tcW w:w="970" w:type="dxa"/>
            <w:tcBorders>
              <w:top w:val="single" w:sz="4" w:space="0" w:color="auto"/>
              <w:left w:val="nil"/>
              <w:bottom w:val="single" w:sz="4" w:space="0" w:color="auto"/>
              <w:right w:val="single" w:sz="4" w:space="0" w:color="auto"/>
            </w:tcBorders>
            <w:noWrap/>
            <w:vAlign w:val="center"/>
            <w:hideMark/>
          </w:tcPr>
          <w:p w14:paraId="16F825A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8C9406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1 managed system</w:t>
            </w:r>
          </w:p>
        </w:tc>
        <w:tc>
          <w:tcPr>
            <w:tcW w:w="932" w:type="dxa"/>
            <w:tcBorders>
              <w:top w:val="single" w:sz="4" w:space="0" w:color="auto"/>
              <w:left w:val="nil"/>
              <w:bottom w:val="single" w:sz="4" w:space="0" w:color="auto"/>
              <w:right w:val="single" w:sz="4" w:space="0" w:color="auto"/>
            </w:tcBorders>
            <w:noWrap/>
            <w:vAlign w:val="center"/>
            <w:hideMark/>
          </w:tcPr>
          <w:p w14:paraId="6BB9576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2 </w:t>
            </w:r>
          </w:p>
        </w:tc>
      </w:tr>
      <w:tr w:rsidR="005474AF" w:rsidRPr="004F0599" w14:paraId="3245D01F"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FF7F4F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Test Data Migration Server</w:t>
            </w:r>
          </w:p>
        </w:tc>
        <w:tc>
          <w:tcPr>
            <w:tcW w:w="970" w:type="dxa"/>
            <w:tcBorders>
              <w:top w:val="single" w:sz="4" w:space="0" w:color="auto"/>
              <w:left w:val="nil"/>
              <w:bottom w:val="single" w:sz="4" w:space="0" w:color="auto"/>
              <w:right w:val="single" w:sz="4" w:space="0" w:color="auto"/>
            </w:tcBorders>
            <w:noWrap/>
            <w:vAlign w:val="center"/>
            <w:hideMark/>
          </w:tcPr>
          <w:p w14:paraId="467E379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300</w:t>
            </w:r>
          </w:p>
        </w:tc>
        <w:tc>
          <w:tcPr>
            <w:tcW w:w="1793" w:type="dxa"/>
            <w:tcBorders>
              <w:top w:val="single" w:sz="4" w:space="0" w:color="auto"/>
              <w:left w:val="nil"/>
              <w:bottom w:val="single" w:sz="4" w:space="0" w:color="auto"/>
              <w:right w:val="single" w:sz="4" w:space="0" w:color="auto"/>
            </w:tcBorders>
            <w:noWrap/>
            <w:vAlign w:val="center"/>
            <w:hideMark/>
          </w:tcPr>
          <w:p w14:paraId="7326B59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Database size in GB</w:t>
            </w:r>
          </w:p>
        </w:tc>
        <w:tc>
          <w:tcPr>
            <w:tcW w:w="932" w:type="dxa"/>
            <w:tcBorders>
              <w:top w:val="single" w:sz="4" w:space="0" w:color="auto"/>
              <w:left w:val="nil"/>
              <w:bottom w:val="single" w:sz="4" w:space="0" w:color="auto"/>
              <w:right w:val="single" w:sz="4" w:space="0" w:color="auto"/>
            </w:tcBorders>
            <w:noWrap/>
            <w:vAlign w:val="center"/>
            <w:hideMark/>
          </w:tcPr>
          <w:p w14:paraId="2F10CAE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8 </w:t>
            </w:r>
          </w:p>
        </w:tc>
      </w:tr>
      <w:tr w:rsidR="005474AF" w:rsidRPr="004F0599" w14:paraId="1C4B59F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B4E0FE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DB2 Enterprise edition for Linux, Unix and Windows</w:t>
            </w:r>
          </w:p>
        </w:tc>
        <w:tc>
          <w:tcPr>
            <w:tcW w:w="970" w:type="dxa"/>
            <w:tcBorders>
              <w:top w:val="single" w:sz="4" w:space="0" w:color="auto"/>
              <w:left w:val="nil"/>
              <w:bottom w:val="single" w:sz="4" w:space="0" w:color="auto"/>
              <w:right w:val="single" w:sz="4" w:space="0" w:color="auto"/>
            </w:tcBorders>
            <w:noWrap/>
            <w:vAlign w:val="center"/>
            <w:hideMark/>
          </w:tcPr>
          <w:p w14:paraId="3CC5C8B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AB1271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SAP Application Value</w:t>
            </w:r>
          </w:p>
        </w:tc>
        <w:tc>
          <w:tcPr>
            <w:tcW w:w="932" w:type="dxa"/>
            <w:tcBorders>
              <w:top w:val="single" w:sz="4" w:space="0" w:color="auto"/>
              <w:left w:val="nil"/>
              <w:bottom w:val="single" w:sz="4" w:space="0" w:color="auto"/>
              <w:right w:val="single" w:sz="4" w:space="0" w:color="auto"/>
            </w:tcBorders>
            <w:noWrap/>
            <w:vAlign w:val="center"/>
            <w:hideMark/>
          </w:tcPr>
          <w:p w14:paraId="4935495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 xml:space="preserve"> 1 </w:t>
            </w:r>
          </w:p>
        </w:tc>
      </w:tr>
      <w:tr w:rsidR="005474AF" w:rsidRPr="004F0599" w14:paraId="4A42ED9A" w14:textId="77777777" w:rsidTr="002B7395">
        <w:trPr>
          <w:trHeight w:val="300"/>
        </w:trPr>
        <w:tc>
          <w:tcPr>
            <w:tcW w:w="5656"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11C7E80D"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Oprávnený subjekt - Ministerstvo obrany SR</w:t>
            </w:r>
          </w:p>
        </w:tc>
        <w:tc>
          <w:tcPr>
            <w:tcW w:w="970" w:type="dxa"/>
            <w:tcBorders>
              <w:top w:val="single" w:sz="4" w:space="0" w:color="auto"/>
              <w:left w:val="nil"/>
              <w:bottom w:val="single" w:sz="4" w:space="0" w:color="auto"/>
              <w:right w:val="nil"/>
            </w:tcBorders>
            <w:shd w:val="clear" w:color="auto" w:fill="BFBFBF" w:themeFill="background1" w:themeFillShade="BF"/>
            <w:noWrap/>
            <w:vAlign w:val="center"/>
            <w:hideMark/>
          </w:tcPr>
          <w:p w14:paraId="3D1DE37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1793" w:type="dxa"/>
            <w:tcBorders>
              <w:top w:val="single" w:sz="4" w:space="0" w:color="auto"/>
              <w:left w:val="nil"/>
              <w:bottom w:val="single" w:sz="4" w:space="0" w:color="auto"/>
              <w:right w:val="nil"/>
            </w:tcBorders>
            <w:shd w:val="clear" w:color="auto" w:fill="BFBFBF" w:themeFill="background1" w:themeFillShade="BF"/>
            <w:noWrap/>
            <w:vAlign w:val="center"/>
            <w:hideMark/>
          </w:tcPr>
          <w:p w14:paraId="3EACDEB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93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8E8138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r>
      <w:tr w:rsidR="005474AF" w:rsidRPr="004F0599" w14:paraId="7FAF3D68"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4A1FD92"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Produkt</w:t>
            </w:r>
          </w:p>
        </w:tc>
        <w:tc>
          <w:tcPr>
            <w:tcW w:w="970" w:type="dxa"/>
            <w:tcBorders>
              <w:top w:val="single" w:sz="4" w:space="0" w:color="auto"/>
              <w:left w:val="nil"/>
              <w:bottom w:val="single" w:sz="4" w:space="0" w:color="auto"/>
              <w:right w:val="single" w:sz="4" w:space="0" w:color="auto"/>
            </w:tcBorders>
            <w:noWrap/>
            <w:vAlign w:val="center"/>
            <w:hideMark/>
          </w:tcPr>
          <w:p w14:paraId="55898E99"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Jednotka</w:t>
            </w:r>
          </w:p>
        </w:tc>
        <w:tc>
          <w:tcPr>
            <w:tcW w:w="1793" w:type="dxa"/>
            <w:tcBorders>
              <w:top w:val="single" w:sz="4" w:space="0" w:color="auto"/>
              <w:left w:val="nil"/>
              <w:bottom w:val="single" w:sz="4" w:space="0" w:color="auto"/>
              <w:right w:val="single" w:sz="4" w:space="0" w:color="auto"/>
            </w:tcBorders>
            <w:noWrap/>
            <w:vAlign w:val="center"/>
            <w:hideMark/>
          </w:tcPr>
          <w:p w14:paraId="19306524"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Merná jednotka</w:t>
            </w:r>
          </w:p>
        </w:tc>
        <w:tc>
          <w:tcPr>
            <w:tcW w:w="932" w:type="dxa"/>
            <w:tcBorders>
              <w:top w:val="single" w:sz="4" w:space="0" w:color="auto"/>
              <w:left w:val="nil"/>
              <w:bottom w:val="single" w:sz="4" w:space="0" w:color="auto"/>
              <w:right w:val="single" w:sz="4" w:space="0" w:color="auto"/>
            </w:tcBorders>
            <w:noWrap/>
            <w:vAlign w:val="center"/>
            <w:hideMark/>
          </w:tcPr>
          <w:p w14:paraId="70A4DC95"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Celkom</w:t>
            </w:r>
          </w:p>
        </w:tc>
      </w:tr>
      <w:tr w:rsidR="005474AF" w:rsidRPr="004F0599" w14:paraId="120EDAC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0D3B39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Payroll Processing</w:t>
            </w:r>
          </w:p>
        </w:tc>
        <w:tc>
          <w:tcPr>
            <w:tcW w:w="970" w:type="dxa"/>
            <w:tcBorders>
              <w:top w:val="single" w:sz="4" w:space="0" w:color="auto"/>
              <w:left w:val="nil"/>
              <w:bottom w:val="single" w:sz="4" w:space="0" w:color="auto"/>
              <w:right w:val="single" w:sz="4" w:space="0" w:color="auto"/>
            </w:tcBorders>
            <w:noWrap/>
            <w:vAlign w:val="center"/>
            <w:hideMark/>
          </w:tcPr>
          <w:p w14:paraId="549DAEF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w:t>
            </w:r>
          </w:p>
        </w:tc>
        <w:tc>
          <w:tcPr>
            <w:tcW w:w="1793" w:type="dxa"/>
            <w:tcBorders>
              <w:top w:val="single" w:sz="4" w:space="0" w:color="auto"/>
              <w:left w:val="nil"/>
              <w:bottom w:val="single" w:sz="4" w:space="0" w:color="auto"/>
              <w:right w:val="single" w:sz="4" w:space="0" w:color="auto"/>
            </w:tcBorders>
            <w:noWrap/>
            <w:vAlign w:val="center"/>
            <w:hideMark/>
          </w:tcPr>
          <w:p w14:paraId="404D8D3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Master reccords</w:t>
            </w:r>
          </w:p>
        </w:tc>
        <w:tc>
          <w:tcPr>
            <w:tcW w:w="932" w:type="dxa"/>
            <w:tcBorders>
              <w:top w:val="single" w:sz="4" w:space="0" w:color="auto"/>
              <w:left w:val="nil"/>
              <w:bottom w:val="single" w:sz="4" w:space="0" w:color="auto"/>
              <w:right w:val="single" w:sz="4" w:space="0" w:color="auto"/>
            </w:tcBorders>
            <w:noWrap/>
            <w:vAlign w:val="center"/>
            <w:hideMark/>
          </w:tcPr>
          <w:p w14:paraId="7A2FAD0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44</w:t>
            </w:r>
          </w:p>
        </w:tc>
      </w:tr>
      <w:tr w:rsidR="005474AF" w:rsidRPr="004F0599" w14:paraId="409F6DC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EEB3B3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Planning &amp; Support Deployed Operations</w:t>
            </w:r>
          </w:p>
        </w:tc>
        <w:tc>
          <w:tcPr>
            <w:tcW w:w="970" w:type="dxa"/>
            <w:tcBorders>
              <w:top w:val="single" w:sz="4" w:space="0" w:color="auto"/>
              <w:left w:val="nil"/>
              <w:bottom w:val="single" w:sz="4" w:space="0" w:color="auto"/>
              <w:right w:val="single" w:sz="4" w:space="0" w:color="auto"/>
            </w:tcBorders>
            <w:noWrap/>
            <w:vAlign w:val="center"/>
            <w:hideMark/>
          </w:tcPr>
          <w:p w14:paraId="014C692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B6BD14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unit</w:t>
            </w:r>
          </w:p>
        </w:tc>
        <w:tc>
          <w:tcPr>
            <w:tcW w:w="932" w:type="dxa"/>
            <w:tcBorders>
              <w:top w:val="single" w:sz="4" w:space="0" w:color="auto"/>
              <w:left w:val="nil"/>
              <w:bottom w:val="single" w:sz="4" w:space="0" w:color="auto"/>
              <w:right w:val="single" w:sz="4" w:space="0" w:color="auto"/>
            </w:tcBorders>
            <w:noWrap/>
            <w:vAlign w:val="center"/>
            <w:hideMark/>
          </w:tcPr>
          <w:p w14:paraId="2248097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5315C96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F440FF7"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ERP Developer User</w:t>
            </w:r>
          </w:p>
        </w:tc>
        <w:tc>
          <w:tcPr>
            <w:tcW w:w="970" w:type="dxa"/>
            <w:tcBorders>
              <w:top w:val="single" w:sz="4" w:space="0" w:color="auto"/>
              <w:left w:val="nil"/>
              <w:bottom w:val="single" w:sz="4" w:space="0" w:color="auto"/>
              <w:right w:val="single" w:sz="4" w:space="0" w:color="auto"/>
            </w:tcBorders>
            <w:noWrap/>
            <w:vAlign w:val="center"/>
            <w:hideMark/>
          </w:tcPr>
          <w:p w14:paraId="31253CF1"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C9FA497"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137A3A28"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20</w:t>
            </w:r>
          </w:p>
        </w:tc>
      </w:tr>
      <w:tr w:rsidR="005474AF" w:rsidRPr="004F0599" w14:paraId="5C92B41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5DC4917"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ERP Professional User</w:t>
            </w:r>
          </w:p>
        </w:tc>
        <w:tc>
          <w:tcPr>
            <w:tcW w:w="970" w:type="dxa"/>
            <w:tcBorders>
              <w:top w:val="single" w:sz="4" w:space="0" w:color="auto"/>
              <w:left w:val="nil"/>
              <w:bottom w:val="single" w:sz="4" w:space="0" w:color="auto"/>
              <w:right w:val="single" w:sz="4" w:space="0" w:color="auto"/>
            </w:tcBorders>
            <w:noWrap/>
            <w:vAlign w:val="center"/>
            <w:hideMark/>
          </w:tcPr>
          <w:p w14:paraId="6EECB492"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9D82E3E"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4572B4E6"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1 000</w:t>
            </w:r>
          </w:p>
        </w:tc>
      </w:tr>
      <w:tr w:rsidR="005474AF" w:rsidRPr="004F0599" w14:paraId="72B2166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314D791"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ERP Limited Professional User</w:t>
            </w:r>
          </w:p>
        </w:tc>
        <w:tc>
          <w:tcPr>
            <w:tcW w:w="970" w:type="dxa"/>
            <w:tcBorders>
              <w:top w:val="single" w:sz="4" w:space="0" w:color="auto"/>
              <w:left w:val="nil"/>
              <w:bottom w:val="single" w:sz="4" w:space="0" w:color="auto"/>
              <w:right w:val="single" w:sz="4" w:space="0" w:color="auto"/>
            </w:tcBorders>
            <w:noWrap/>
            <w:vAlign w:val="center"/>
            <w:hideMark/>
          </w:tcPr>
          <w:p w14:paraId="519E8208"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8EF5B21"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2187D2E3"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951</w:t>
            </w:r>
          </w:p>
        </w:tc>
      </w:tr>
      <w:tr w:rsidR="005474AF" w:rsidRPr="004F0599" w14:paraId="00BC66C8"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51208EB"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NetWeaver PI Base Engine</w:t>
            </w:r>
          </w:p>
        </w:tc>
        <w:tc>
          <w:tcPr>
            <w:tcW w:w="970" w:type="dxa"/>
            <w:tcBorders>
              <w:top w:val="single" w:sz="4" w:space="0" w:color="auto"/>
              <w:left w:val="nil"/>
              <w:bottom w:val="single" w:sz="4" w:space="0" w:color="auto"/>
              <w:right w:val="single" w:sz="4" w:space="0" w:color="auto"/>
            </w:tcBorders>
            <w:noWrap/>
            <w:vAlign w:val="center"/>
            <w:hideMark/>
          </w:tcPr>
          <w:p w14:paraId="0FECEC53"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F32F489"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GB pre month</w:t>
            </w:r>
          </w:p>
        </w:tc>
        <w:tc>
          <w:tcPr>
            <w:tcW w:w="932" w:type="dxa"/>
            <w:tcBorders>
              <w:top w:val="single" w:sz="4" w:space="0" w:color="auto"/>
              <w:left w:val="nil"/>
              <w:bottom w:val="single" w:sz="4" w:space="0" w:color="auto"/>
              <w:right w:val="single" w:sz="4" w:space="0" w:color="auto"/>
            </w:tcBorders>
            <w:noWrap/>
            <w:vAlign w:val="center"/>
            <w:hideMark/>
          </w:tcPr>
          <w:p w14:paraId="30DBF114"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50</w:t>
            </w:r>
          </w:p>
        </w:tc>
      </w:tr>
      <w:tr w:rsidR="005474AF" w:rsidRPr="004F0599" w14:paraId="1BC9F36F"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6BFCA51"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Public Sector Records Mgmt</w:t>
            </w:r>
          </w:p>
        </w:tc>
        <w:tc>
          <w:tcPr>
            <w:tcW w:w="970" w:type="dxa"/>
            <w:tcBorders>
              <w:top w:val="single" w:sz="4" w:space="0" w:color="auto"/>
              <w:left w:val="nil"/>
              <w:bottom w:val="single" w:sz="4" w:space="0" w:color="auto"/>
              <w:right w:val="single" w:sz="4" w:space="0" w:color="auto"/>
            </w:tcBorders>
            <w:noWrap/>
            <w:vAlign w:val="center"/>
            <w:hideMark/>
          </w:tcPr>
          <w:p w14:paraId="16C16018"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3902F6B"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1D77E647"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100</w:t>
            </w:r>
          </w:p>
        </w:tc>
      </w:tr>
      <w:tr w:rsidR="005474AF" w:rsidRPr="004F0599" w14:paraId="2909473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D8CA14C"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Worker</w:t>
            </w:r>
          </w:p>
        </w:tc>
        <w:tc>
          <w:tcPr>
            <w:tcW w:w="970" w:type="dxa"/>
            <w:tcBorders>
              <w:top w:val="single" w:sz="4" w:space="0" w:color="auto"/>
              <w:left w:val="nil"/>
              <w:bottom w:val="single" w:sz="4" w:space="0" w:color="auto"/>
              <w:right w:val="single" w:sz="4" w:space="0" w:color="auto"/>
            </w:tcBorders>
            <w:noWrap/>
            <w:vAlign w:val="center"/>
            <w:hideMark/>
          </w:tcPr>
          <w:p w14:paraId="0714AE64"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3F72D445"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33463FC5"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630</w:t>
            </w:r>
          </w:p>
        </w:tc>
      </w:tr>
      <w:tr w:rsidR="005474AF" w:rsidRPr="004F0599" w14:paraId="4BF3894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3FD592D"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Application Limited Professional User</w:t>
            </w:r>
          </w:p>
        </w:tc>
        <w:tc>
          <w:tcPr>
            <w:tcW w:w="970" w:type="dxa"/>
            <w:tcBorders>
              <w:top w:val="single" w:sz="4" w:space="0" w:color="auto"/>
              <w:left w:val="nil"/>
              <w:bottom w:val="single" w:sz="4" w:space="0" w:color="auto"/>
              <w:right w:val="single" w:sz="4" w:space="0" w:color="auto"/>
            </w:tcBorders>
            <w:noWrap/>
            <w:vAlign w:val="center"/>
            <w:hideMark/>
          </w:tcPr>
          <w:p w14:paraId="0952F189"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E08D49C"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43D13538"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124</w:t>
            </w:r>
          </w:p>
        </w:tc>
      </w:tr>
      <w:tr w:rsidR="005474AF" w:rsidRPr="004F0599" w14:paraId="0E0E7FE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8E70E49"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Professional User</w:t>
            </w:r>
          </w:p>
        </w:tc>
        <w:tc>
          <w:tcPr>
            <w:tcW w:w="970" w:type="dxa"/>
            <w:tcBorders>
              <w:top w:val="single" w:sz="4" w:space="0" w:color="auto"/>
              <w:left w:val="nil"/>
              <w:bottom w:val="single" w:sz="4" w:space="0" w:color="auto"/>
              <w:right w:val="single" w:sz="4" w:space="0" w:color="auto"/>
            </w:tcBorders>
            <w:noWrap/>
            <w:vAlign w:val="center"/>
            <w:hideMark/>
          </w:tcPr>
          <w:p w14:paraId="331BF304"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246BAE4"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7E7C9FE1"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75</w:t>
            </w:r>
          </w:p>
        </w:tc>
      </w:tr>
      <w:tr w:rsidR="005474AF" w:rsidRPr="004F0599" w14:paraId="74DBB92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D4CF8C3"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Platform User</w:t>
            </w:r>
          </w:p>
        </w:tc>
        <w:tc>
          <w:tcPr>
            <w:tcW w:w="970" w:type="dxa"/>
            <w:tcBorders>
              <w:top w:val="single" w:sz="4" w:space="0" w:color="auto"/>
              <w:left w:val="nil"/>
              <w:bottom w:val="single" w:sz="4" w:space="0" w:color="auto"/>
              <w:right w:val="single" w:sz="4" w:space="0" w:color="auto"/>
            </w:tcBorders>
            <w:noWrap/>
            <w:vAlign w:val="center"/>
            <w:hideMark/>
          </w:tcPr>
          <w:p w14:paraId="6CF02DC0"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5180194"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15017B16"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250</w:t>
            </w:r>
          </w:p>
        </w:tc>
      </w:tr>
      <w:tr w:rsidR="005474AF" w:rsidRPr="004F0599" w14:paraId="62D849E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C5C10C6"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Interact.Forms by Adobe, enable ent.</w:t>
            </w:r>
          </w:p>
        </w:tc>
        <w:tc>
          <w:tcPr>
            <w:tcW w:w="970" w:type="dxa"/>
            <w:tcBorders>
              <w:top w:val="single" w:sz="4" w:space="0" w:color="auto"/>
              <w:left w:val="nil"/>
              <w:bottom w:val="single" w:sz="4" w:space="0" w:color="auto"/>
              <w:right w:val="single" w:sz="4" w:space="0" w:color="auto"/>
            </w:tcBorders>
            <w:noWrap/>
            <w:vAlign w:val="center"/>
            <w:hideMark/>
          </w:tcPr>
          <w:p w14:paraId="62FC4788"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35110D0"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licenced user</w:t>
            </w:r>
          </w:p>
        </w:tc>
        <w:tc>
          <w:tcPr>
            <w:tcW w:w="932" w:type="dxa"/>
            <w:tcBorders>
              <w:top w:val="single" w:sz="4" w:space="0" w:color="auto"/>
              <w:left w:val="nil"/>
              <w:bottom w:val="single" w:sz="4" w:space="0" w:color="auto"/>
              <w:right w:val="single" w:sz="4" w:space="0" w:color="auto"/>
            </w:tcBorders>
            <w:noWrap/>
            <w:vAlign w:val="center"/>
            <w:hideMark/>
          </w:tcPr>
          <w:p w14:paraId="57FEBE53"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3 315</w:t>
            </w:r>
          </w:p>
        </w:tc>
      </w:tr>
      <w:tr w:rsidR="005474AF" w:rsidRPr="004F0599" w14:paraId="2187A60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E98D66D"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NW Found. 3rd Party Appl, core based</w:t>
            </w:r>
          </w:p>
        </w:tc>
        <w:tc>
          <w:tcPr>
            <w:tcW w:w="970" w:type="dxa"/>
            <w:tcBorders>
              <w:top w:val="single" w:sz="4" w:space="0" w:color="auto"/>
              <w:left w:val="nil"/>
              <w:bottom w:val="single" w:sz="4" w:space="0" w:color="auto"/>
              <w:right w:val="single" w:sz="4" w:space="0" w:color="auto"/>
            </w:tcBorders>
            <w:noWrap/>
            <w:vAlign w:val="center"/>
            <w:hideMark/>
          </w:tcPr>
          <w:p w14:paraId="6866D874"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C8AD792"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core</w:t>
            </w:r>
          </w:p>
        </w:tc>
        <w:tc>
          <w:tcPr>
            <w:tcW w:w="932" w:type="dxa"/>
            <w:tcBorders>
              <w:top w:val="single" w:sz="4" w:space="0" w:color="auto"/>
              <w:left w:val="nil"/>
              <w:bottom w:val="single" w:sz="4" w:space="0" w:color="auto"/>
              <w:right w:val="single" w:sz="4" w:space="0" w:color="auto"/>
            </w:tcBorders>
            <w:noWrap/>
            <w:vAlign w:val="center"/>
            <w:hideMark/>
          </w:tcPr>
          <w:p w14:paraId="057CD86E"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11</w:t>
            </w:r>
          </w:p>
        </w:tc>
      </w:tr>
      <w:tr w:rsidR="005474AF" w:rsidRPr="004F0599" w14:paraId="41FE146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BF8A7D0"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RE Mgmt,office,retail,ind.prop. mgmt</w:t>
            </w:r>
          </w:p>
        </w:tc>
        <w:tc>
          <w:tcPr>
            <w:tcW w:w="970" w:type="dxa"/>
            <w:tcBorders>
              <w:top w:val="single" w:sz="4" w:space="0" w:color="auto"/>
              <w:left w:val="nil"/>
              <w:bottom w:val="single" w:sz="4" w:space="0" w:color="auto"/>
              <w:right w:val="single" w:sz="4" w:space="0" w:color="auto"/>
            </w:tcBorders>
            <w:noWrap/>
            <w:vAlign w:val="center"/>
            <w:hideMark/>
          </w:tcPr>
          <w:p w14:paraId="3D4AD7E4"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B490D15"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3C87D4DE"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33</w:t>
            </w:r>
          </w:p>
        </w:tc>
      </w:tr>
      <w:tr w:rsidR="005474AF" w:rsidRPr="004F0599" w14:paraId="19D28C5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B617F6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HANA, enterprise ed</w:t>
            </w:r>
          </w:p>
        </w:tc>
        <w:tc>
          <w:tcPr>
            <w:tcW w:w="970" w:type="dxa"/>
            <w:tcBorders>
              <w:top w:val="single" w:sz="4" w:space="0" w:color="auto"/>
              <w:left w:val="nil"/>
              <w:bottom w:val="single" w:sz="4" w:space="0" w:color="auto"/>
              <w:right w:val="single" w:sz="4" w:space="0" w:color="auto"/>
            </w:tcBorders>
            <w:noWrap/>
            <w:vAlign w:val="center"/>
            <w:hideMark/>
          </w:tcPr>
          <w:p w14:paraId="7661269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811A9E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64 GB of Memory </w:t>
            </w:r>
          </w:p>
        </w:tc>
        <w:tc>
          <w:tcPr>
            <w:tcW w:w="932" w:type="dxa"/>
            <w:tcBorders>
              <w:top w:val="single" w:sz="4" w:space="0" w:color="auto"/>
              <w:left w:val="nil"/>
              <w:bottom w:val="single" w:sz="4" w:space="0" w:color="auto"/>
              <w:right w:val="single" w:sz="4" w:space="0" w:color="auto"/>
            </w:tcBorders>
            <w:noWrap/>
            <w:vAlign w:val="center"/>
            <w:hideMark/>
          </w:tcPr>
          <w:p w14:paraId="28B0986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13</w:t>
            </w:r>
          </w:p>
        </w:tc>
      </w:tr>
      <w:tr w:rsidR="005474AF" w:rsidRPr="004F0599" w14:paraId="341EB9F4" w14:textId="77777777" w:rsidTr="002B7395">
        <w:trPr>
          <w:trHeight w:val="300"/>
        </w:trPr>
        <w:tc>
          <w:tcPr>
            <w:tcW w:w="5656"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3D5DD96A"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Oprávnený subjekt - Ministerstvo školstva, vedy, výskumu a športu SR</w:t>
            </w:r>
          </w:p>
        </w:tc>
        <w:tc>
          <w:tcPr>
            <w:tcW w:w="970" w:type="dxa"/>
            <w:tcBorders>
              <w:top w:val="single" w:sz="4" w:space="0" w:color="auto"/>
              <w:left w:val="nil"/>
              <w:bottom w:val="single" w:sz="4" w:space="0" w:color="auto"/>
              <w:right w:val="nil"/>
            </w:tcBorders>
            <w:shd w:val="clear" w:color="auto" w:fill="BFBFBF" w:themeFill="background1" w:themeFillShade="BF"/>
            <w:noWrap/>
            <w:vAlign w:val="center"/>
            <w:hideMark/>
          </w:tcPr>
          <w:p w14:paraId="546A971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1793" w:type="dxa"/>
            <w:tcBorders>
              <w:top w:val="single" w:sz="4" w:space="0" w:color="auto"/>
              <w:left w:val="nil"/>
              <w:bottom w:val="single" w:sz="4" w:space="0" w:color="auto"/>
              <w:right w:val="nil"/>
            </w:tcBorders>
            <w:shd w:val="clear" w:color="auto" w:fill="BFBFBF" w:themeFill="background1" w:themeFillShade="BF"/>
            <w:noWrap/>
            <w:vAlign w:val="center"/>
            <w:hideMark/>
          </w:tcPr>
          <w:p w14:paraId="18342B0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93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4643A5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r>
      <w:tr w:rsidR="005474AF" w:rsidRPr="004F0599" w14:paraId="129B23A6"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9D08EC6"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Produkt</w:t>
            </w:r>
          </w:p>
        </w:tc>
        <w:tc>
          <w:tcPr>
            <w:tcW w:w="970" w:type="dxa"/>
            <w:tcBorders>
              <w:top w:val="single" w:sz="4" w:space="0" w:color="auto"/>
              <w:left w:val="nil"/>
              <w:bottom w:val="single" w:sz="4" w:space="0" w:color="auto"/>
              <w:right w:val="single" w:sz="4" w:space="0" w:color="auto"/>
            </w:tcBorders>
            <w:noWrap/>
            <w:vAlign w:val="center"/>
            <w:hideMark/>
          </w:tcPr>
          <w:p w14:paraId="71020031"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Jednotka</w:t>
            </w:r>
          </w:p>
        </w:tc>
        <w:tc>
          <w:tcPr>
            <w:tcW w:w="1793" w:type="dxa"/>
            <w:tcBorders>
              <w:top w:val="single" w:sz="4" w:space="0" w:color="auto"/>
              <w:left w:val="nil"/>
              <w:bottom w:val="single" w:sz="4" w:space="0" w:color="auto"/>
              <w:right w:val="single" w:sz="4" w:space="0" w:color="auto"/>
            </w:tcBorders>
            <w:noWrap/>
            <w:vAlign w:val="center"/>
            <w:hideMark/>
          </w:tcPr>
          <w:p w14:paraId="74CE55D4"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Merná jednotka</w:t>
            </w:r>
          </w:p>
        </w:tc>
        <w:tc>
          <w:tcPr>
            <w:tcW w:w="932" w:type="dxa"/>
            <w:tcBorders>
              <w:top w:val="single" w:sz="4" w:space="0" w:color="auto"/>
              <w:left w:val="nil"/>
              <w:bottom w:val="single" w:sz="4" w:space="0" w:color="auto"/>
              <w:right w:val="single" w:sz="4" w:space="0" w:color="auto"/>
            </w:tcBorders>
            <w:noWrap/>
            <w:vAlign w:val="center"/>
            <w:hideMark/>
          </w:tcPr>
          <w:p w14:paraId="2ABF93F0"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Celkom</w:t>
            </w:r>
          </w:p>
        </w:tc>
      </w:tr>
      <w:tr w:rsidR="005474AF" w:rsidRPr="004F0599" w14:paraId="034EE10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4B3596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 Suite Professional User</w:t>
            </w:r>
          </w:p>
        </w:tc>
        <w:tc>
          <w:tcPr>
            <w:tcW w:w="970" w:type="dxa"/>
            <w:tcBorders>
              <w:top w:val="single" w:sz="4" w:space="0" w:color="auto"/>
              <w:left w:val="nil"/>
              <w:bottom w:val="single" w:sz="4" w:space="0" w:color="auto"/>
              <w:right w:val="single" w:sz="4" w:space="0" w:color="auto"/>
            </w:tcBorders>
            <w:noWrap/>
            <w:vAlign w:val="center"/>
            <w:hideMark/>
          </w:tcPr>
          <w:p w14:paraId="4F79331C"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7AA949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6613090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829</w:t>
            </w:r>
          </w:p>
        </w:tc>
      </w:tr>
      <w:tr w:rsidR="005474AF" w:rsidRPr="004F0599" w14:paraId="6C24271F"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41AE6C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 Suite Employee User</w:t>
            </w:r>
          </w:p>
        </w:tc>
        <w:tc>
          <w:tcPr>
            <w:tcW w:w="970" w:type="dxa"/>
            <w:tcBorders>
              <w:top w:val="single" w:sz="4" w:space="0" w:color="auto"/>
              <w:left w:val="nil"/>
              <w:bottom w:val="single" w:sz="4" w:space="0" w:color="auto"/>
              <w:right w:val="single" w:sz="4" w:space="0" w:color="auto"/>
            </w:tcBorders>
            <w:noWrap/>
            <w:vAlign w:val="center"/>
            <w:hideMark/>
          </w:tcPr>
          <w:p w14:paraId="17149DC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CF6270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5A438A79" w14:textId="5268CE76" w:rsidR="005474AF" w:rsidRPr="004F0599" w:rsidRDefault="009066B5"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3 732</w:t>
            </w:r>
          </w:p>
        </w:tc>
      </w:tr>
      <w:tr w:rsidR="005474AF" w:rsidRPr="004F0599" w14:paraId="3FC0791B"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1FDCCA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 Suite Ltd. Prof. User</w:t>
            </w:r>
          </w:p>
        </w:tc>
        <w:tc>
          <w:tcPr>
            <w:tcW w:w="970" w:type="dxa"/>
            <w:tcBorders>
              <w:top w:val="single" w:sz="4" w:space="0" w:color="auto"/>
              <w:left w:val="nil"/>
              <w:bottom w:val="single" w:sz="4" w:space="0" w:color="auto"/>
              <w:right w:val="single" w:sz="4" w:space="0" w:color="auto"/>
            </w:tcBorders>
            <w:noWrap/>
            <w:vAlign w:val="center"/>
            <w:hideMark/>
          </w:tcPr>
          <w:p w14:paraId="40A09D8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CC6FCE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28E04B96"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183</w:t>
            </w:r>
          </w:p>
        </w:tc>
      </w:tr>
      <w:tr w:rsidR="005474AF" w:rsidRPr="004F0599" w14:paraId="0BCD4D8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5F2E2D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Payroll Processing </w:t>
            </w:r>
          </w:p>
        </w:tc>
        <w:tc>
          <w:tcPr>
            <w:tcW w:w="970" w:type="dxa"/>
            <w:tcBorders>
              <w:top w:val="single" w:sz="4" w:space="0" w:color="auto"/>
              <w:left w:val="nil"/>
              <w:bottom w:val="single" w:sz="4" w:space="0" w:color="auto"/>
              <w:right w:val="single" w:sz="4" w:space="0" w:color="auto"/>
            </w:tcBorders>
            <w:noWrap/>
            <w:vAlign w:val="center"/>
            <w:hideMark/>
          </w:tcPr>
          <w:p w14:paraId="61F435E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w:t>
            </w:r>
          </w:p>
        </w:tc>
        <w:tc>
          <w:tcPr>
            <w:tcW w:w="1793" w:type="dxa"/>
            <w:tcBorders>
              <w:top w:val="single" w:sz="4" w:space="0" w:color="auto"/>
              <w:left w:val="nil"/>
              <w:bottom w:val="single" w:sz="4" w:space="0" w:color="auto"/>
              <w:right w:val="single" w:sz="4" w:space="0" w:color="auto"/>
            </w:tcBorders>
            <w:noWrap/>
            <w:vAlign w:val="center"/>
            <w:hideMark/>
          </w:tcPr>
          <w:p w14:paraId="70C3DD4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master records</w:t>
            </w:r>
          </w:p>
        </w:tc>
        <w:tc>
          <w:tcPr>
            <w:tcW w:w="932" w:type="dxa"/>
            <w:tcBorders>
              <w:top w:val="single" w:sz="4" w:space="0" w:color="auto"/>
              <w:left w:val="nil"/>
              <w:bottom w:val="single" w:sz="4" w:space="0" w:color="auto"/>
              <w:right w:val="single" w:sz="4" w:space="0" w:color="auto"/>
            </w:tcBorders>
            <w:noWrap/>
            <w:vAlign w:val="center"/>
            <w:hideMark/>
          </w:tcPr>
          <w:p w14:paraId="250D56F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87</w:t>
            </w:r>
          </w:p>
        </w:tc>
      </w:tr>
      <w:tr w:rsidR="005474AF" w:rsidRPr="004F0599" w14:paraId="3C23FA7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E23A55B"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 xml:space="preserve"> SAP Business Suite ESS User</w:t>
            </w:r>
          </w:p>
        </w:tc>
        <w:tc>
          <w:tcPr>
            <w:tcW w:w="970" w:type="dxa"/>
            <w:tcBorders>
              <w:top w:val="single" w:sz="4" w:space="0" w:color="auto"/>
              <w:left w:val="nil"/>
              <w:bottom w:val="single" w:sz="4" w:space="0" w:color="auto"/>
              <w:right w:val="single" w:sz="4" w:space="0" w:color="auto"/>
            </w:tcBorders>
            <w:noWrap/>
            <w:vAlign w:val="center"/>
            <w:hideMark/>
          </w:tcPr>
          <w:p w14:paraId="188B7D30"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3A4E47D8" w14:textId="77777777" w:rsidR="005474AF" w:rsidRPr="004F0599" w:rsidRDefault="005474AF" w:rsidP="002B7395">
            <w:pPr>
              <w:widowControl/>
              <w:autoSpaceDE/>
              <w:autoSpaceDN/>
              <w:rPr>
                <w:rFonts w:eastAsia="Times New Roman"/>
                <w:sz w:val="18"/>
                <w:szCs w:val="20"/>
                <w:lang w:val="sk-SK" w:eastAsia="sk-SK"/>
              </w:rPr>
            </w:pPr>
            <w:r w:rsidRPr="004F0599">
              <w:rPr>
                <w:rFonts w:eastAsia="Times New Roman"/>
                <w:sz w:val="18"/>
                <w:szCs w:val="20"/>
                <w:lang w:val="sk-SK" w:eastAsia="sk-SK"/>
              </w:rPr>
              <w:t>sap application employee self-service-user</w:t>
            </w:r>
          </w:p>
        </w:tc>
        <w:tc>
          <w:tcPr>
            <w:tcW w:w="932" w:type="dxa"/>
            <w:tcBorders>
              <w:top w:val="single" w:sz="4" w:space="0" w:color="auto"/>
              <w:left w:val="nil"/>
              <w:bottom w:val="single" w:sz="4" w:space="0" w:color="auto"/>
              <w:right w:val="single" w:sz="4" w:space="0" w:color="auto"/>
            </w:tcBorders>
            <w:noWrap/>
            <w:vAlign w:val="center"/>
            <w:hideMark/>
          </w:tcPr>
          <w:p w14:paraId="68270627"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10 540</w:t>
            </w:r>
          </w:p>
        </w:tc>
      </w:tr>
      <w:tr w:rsidR="005474AF" w:rsidRPr="004F0599" w14:paraId="7B7210D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B4C30B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Application Interface</w:t>
            </w:r>
          </w:p>
        </w:tc>
        <w:tc>
          <w:tcPr>
            <w:tcW w:w="970" w:type="dxa"/>
            <w:tcBorders>
              <w:top w:val="single" w:sz="4" w:space="0" w:color="auto"/>
              <w:left w:val="nil"/>
              <w:bottom w:val="single" w:sz="4" w:space="0" w:color="auto"/>
              <w:right w:val="single" w:sz="4" w:space="0" w:color="auto"/>
            </w:tcBorders>
            <w:noWrap/>
            <w:vAlign w:val="center"/>
            <w:hideMark/>
          </w:tcPr>
          <w:p w14:paraId="44F6EBD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FC2C33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instance</w:t>
            </w:r>
          </w:p>
        </w:tc>
        <w:tc>
          <w:tcPr>
            <w:tcW w:w="932" w:type="dxa"/>
            <w:tcBorders>
              <w:top w:val="single" w:sz="4" w:space="0" w:color="auto"/>
              <w:left w:val="nil"/>
              <w:bottom w:val="single" w:sz="4" w:space="0" w:color="auto"/>
              <w:right w:val="single" w:sz="4" w:space="0" w:color="auto"/>
            </w:tcBorders>
            <w:noWrap/>
            <w:vAlign w:val="center"/>
            <w:hideMark/>
          </w:tcPr>
          <w:p w14:paraId="7DC7F79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1BE6F466"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1FC7F0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lastRenderedPageBreak/>
              <w:t xml:space="preserve"> Database Interface</w:t>
            </w:r>
          </w:p>
        </w:tc>
        <w:tc>
          <w:tcPr>
            <w:tcW w:w="970" w:type="dxa"/>
            <w:tcBorders>
              <w:top w:val="single" w:sz="4" w:space="0" w:color="auto"/>
              <w:left w:val="nil"/>
              <w:bottom w:val="single" w:sz="4" w:space="0" w:color="auto"/>
              <w:right w:val="single" w:sz="4" w:space="0" w:color="auto"/>
            </w:tcBorders>
            <w:noWrap/>
            <w:vAlign w:val="center"/>
            <w:hideMark/>
          </w:tcPr>
          <w:p w14:paraId="2EA27D5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2AB07E1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type</w:t>
            </w:r>
          </w:p>
        </w:tc>
        <w:tc>
          <w:tcPr>
            <w:tcW w:w="932" w:type="dxa"/>
            <w:tcBorders>
              <w:top w:val="single" w:sz="4" w:space="0" w:color="auto"/>
              <w:left w:val="nil"/>
              <w:bottom w:val="single" w:sz="4" w:space="0" w:color="auto"/>
              <w:right w:val="single" w:sz="4" w:space="0" w:color="auto"/>
            </w:tcBorders>
            <w:noWrap/>
            <w:vAlign w:val="center"/>
            <w:hideMark/>
          </w:tcPr>
          <w:p w14:paraId="4FE1939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w:t>
            </w:r>
          </w:p>
        </w:tc>
      </w:tr>
      <w:tr w:rsidR="005474AF" w:rsidRPr="004F0599" w14:paraId="6CACEA18"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63AB4E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BusObj Metadata Management (CPU)</w:t>
            </w:r>
          </w:p>
        </w:tc>
        <w:tc>
          <w:tcPr>
            <w:tcW w:w="970" w:type="dxa"/>
            <w:tcBorders>
              <w:top w:val="single" w:sz="4" w:space="0" w:color="auto"/>
              <w:left w:val="nil"/>
              <w:bottom w:val="single" w:sz="4" w:space="0" w:color="auto"/>
              <w:right w:val="single" w:sz="4" w:space="0" w:color="auto"/>
            </w:tcBorders>
            <w:noWrap/>
            <w:vAlign w:val="center"/>
            <w:hideMark/>
          </w:tcPr>
          <w:p w14:paraId="153B2FE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AA981E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73E9D56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4</w:t>
            </w:r>
          </w:p>
        </w:tc>
      </w:tr>
      <w:tr w:rsidR="005474AF" w:rsidRPr="004F0599" w14:paraId="3F639FB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09D898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BusObj KA for Info View (CPU)</w:t>
            </w:r>
          </w:p>
        </w:tc>
        <w:tc>
          <w:tcPr>
            <w:tcW w:w="970" w:type="dxa"/>
            <w:tcBorders>
              <w:top w:val="single" w:sz="4" w:space="0" w:color="auto"/>
              <w:left w:val="nil"/>
              <w:bottom w:val="single" w:sz="4" w:space="0" w:color="auto"/>
              <w:right w:val="single" w:sz="4" w:space="0" w:color="auto"/>
            </w:tcBorders>
            <w:noWrap/>
            <w:vAlign w:val="center"/>
            <w:hideMark/>
          </w:tcPr>
          <w:p w14:paraId="76B23F7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2F3A556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6BEB5D3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w:t>
            </w:r>
          </w:p>
        </w:tc>
      </w:tr>
      <w:tr w:rsidR="005474AF" w:rsidRPr="004F0599" w14:paraId="2D56B43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BF2BA7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BusObj KA for Crystal Reports (CPU)</w:t>
            </w:r>
          </w:p>
        </w:tc>
        <w:tc>
          <w:tcPr>
            <w:tcW w:w="970" w:type="dxa"/>
            <w:tcBorders>
              <w:top w:val="single" w:sz="4" w:space="0" w:color="auto"/>
              <w:left w:val="nil"/>
              <w:bottom w:val="single" w:sz="4" w:space="0" w:color="auto"/>
              <w:right w:val="single" w:sz="4" w:space="0" w:color="auto"/>
            </w:tcBorders>
            <w:noWrap/>
            <w:vAlign w:val="center"/>
            <w:hideMark/>
          </w:tcPr>
          <w:p w14:paraId="59E9688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A5B436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4A36A4A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w:t>
            </w:r>
          </w:p>
        </w:tc>
      </w:tr>
      <w:tr w:rsidR="005474AF" w:rsidRPr="004F0599" w14:paraId="0082115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24D7CB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BusObj KA for Webl (CPU)</w:t>
            </w:r>
          </w:p>
        </w:tc>
        <w:tc>
          <w:tcPr>
            <w:tcW w:w="970" w:type="dxa"/>
            <w:tcBorders>
              <w:top w:val="single" w:sz="4" w:space="0" w:color="auto"/>
              <w:left w:val="nil"/>
              <w:bottom w:val="single" w:sz="4" w:space="0" w:color="auto"/>
              <w:right w:val="single" w:sz="4" w:space="0" w:color="auto"/>
            </w:tcBorders>
            <w:noWrap/>
            <w:vAlign w:val="center"/>
            <w:hideMark/>
          </w:tcPr>
          <w:p w14:paraId="21B79D8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C2229E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65AEDDD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w:t>
            </w:r>
          </w:p>
        </w:tc>
      </w:tr>
      <w:tr w:rsidR="005474AF" w:rsidRPr="004F0599" w14:paraId="11E20F9B"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8DF4CC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NetWeaver Process Integration</w:t>
            </w:r>
          </w:p>
        </w:tc>
        <w:tc>
          <w:tcPr>
            <w:tcW w:w="970" w:type="dxa"/>
            <w:tcBorders>
              <w:top w:val="single" w:sz="4" w:space="0" w:color="auto"/>
              <w:left w:val="nil"/>
              <w:bottom w:val="single" w:sz="4" w:space="0" w:color="auto"/>
              <w:right w:val="single" w:sz="4" w:space="0" w:color="auto"/>
            </w:tcBorders>
            <w:noWrap/>
            <w:vAlign w:val="center"/>
            <w:hideMark/>
          </w:tcPr>
          <w:p w14:paraId="499268C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0C9AB5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23BFD88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6</w:t>
            </w:r>
          </w:p>
        </w:tc>
      </w:tr>
      <w:tr w:rsidR="005474AF" w:rsidRPr="004F0599" w14:paraId="13455EAA"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87D640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NetWeaver Found. 3rd Party Appl(CPU)</w:t>
            </w:r>
          </w:p>
        </w:tc>
        <w:tc>
          <w:tcPr>
            <w:tcW w:w="970" w:type="dxa"/>
            <w:tcBorders>
              <w:top w:val="single" w:sz="4" w:space="0" w:color="auto"/>
              <w:left w:val="nil"/>
              <w:bottom w:val="single" w:sz="4" w:space="0" w:color="auto"/>
              <w:right w:val="single" w:sz="4" w:space="0" w:color="auto"/>
            </w:tcBorders>
            <w:noWrap/>
            <w:vAlign w:val="center"/>
            <w:hideMark/>
          </w:tcPr>
          <w:p w14:paraId="6D726B2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984B8F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53B9A03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8</w:t>
            </w:r>
          </w:p>
        </w:tc>
      </w:tr>
      <w:tr w:rsidR="005474AF" w:rsidRPr="004F0599" w14:paraId="6B1C474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74D681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Test Data Migration Server</w:t>
            </w:r>
          </w:p>
        </w:tc>
        <w:tc>
          <w:tcPr>
            <w:tcW w:w="970" w:type="dxa"/>
            <w:tcBorders>
              <w:top w:val="single" w:sz="4" w:space="0" w:color="auto"/>
              <w:left w:val="nil"/>
              <w:bottom w:val="single" w:sz="4" w:space="0" w:color="auto"/>
              <w:right w:val="single" w:sz="4" w:space="0" w:color="auto"/>
            </w:tcBorders>
            <w:noWrap/>
            <w:vAlign w:val="center"/>
            <w:hideMark/>
          </w:tcPr>
          <w:p w14:paraId="1F9E128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300</w:t>
            </w:r>
          </w:p>
        </w:tc>
        <w:tc>
          <w:tcPr>
            <w:tcW w:w="1793" w:type="dxa"/>
            <w:tcBorders>
              <w:top w:val="single" w:sz="4" w:space="0" w:color="auto"/>
              <w:left w:val="nil"/>
              <w:bottom w:val="single" w:sz="4" w:space="0" w:color="auto"/>
              <w:right w:val="single" w:sz="4" w:space="0" w:color="auto"/>
            </w:tcBorders>
            <w:noWrap/>
            <w:vAlign w:val="center"/>
            <w:hideMark/>
          </w:tcPr>
          <w:p w14:paraId="0E39309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DB size in GB</w:t>
            </w:r>
          </w:p>
        </w:tc>
        <w:tc>
          <w:tcPr>
            <w:tcW w:w="932" w:type="dxa"/>
            <w:tcBorders>
              <w:top w:val="single" w:sz="4" w:space="0" w:color="auto"/>
              <w:left w:val="nil"/>
              <w:bottom w:val="single" w:sz="4" w:space="0" w:color="auto"/>
              <w:right w:val="single" w:sz="4" w:space="0" w:color="auto"/>
            </w:tcBorders>
            <w:noWrap/>
            <w:vAlign w:val="center"/>
            <w:hideMark/>
          </w:tcPr>
          <w:p w14:paraId="4309D42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w:t>
            </w:r>
          </w:p>
        </w:tc>
      </w:tr>
      <w:tr w:rsidR="005474AF" w:rsidRPr="004F0599" w14:paraId="558FA536"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6E6BB8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Quality Center by HP</w:t>
            </w:r>
          </w:p>
        </w:tc>
        <w:tc>
          <w:tcPr>
            <w:tcW w:w="970" w:type="dxa"/>
            <w:tcBorders>
              <w:top w:val="single" w:sz="4" w:space="0" w:color="auto"/>
              <w:left w:val="nil"/>
              <w:bottom w:val="single" w:sz="4" w:space="0" w:color="auto"/>
              <w:right w:val="single" w:sz="4" w:space="0" w:color="auto"/>
            </w:tcBorders>
            <w:noWrap/>
            <w:vAlign w:val="center"/>
            <w:hideMark/>
          </w:tcPr>
          <w:p w14:paraId="4CB5940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w:t>
            </w:r>
          </w:p>
        </w:tc>
        <w:tc>
          <w:tcPr>
            <w:tcW w:w="1793" w:type="dxa"/>
            <w:tcBorders>
              <w:top w:val="single" w:sz="4" w:space="0" w:color="auto"/>
              <w:left w:val="nil"/>
              <w:bottom w:val="single" w:sz="4" w:space="0" w:color="auto"/>
              <w:right w:val="single" w:sz="4" w:space="0" w:color="auto"/>
            </w:tcBorders>
            <w:noWrap/>
            <w:vAlign w:val="center"/>
            <w:hideMark/>
          </w:tcPr>
          <w:p w14:paraId="6CFD4DF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tester</w:t>
            </w:r>
          </w:p>
        </w:tc>
        <w:tc>
          <w:tcPr>
            <w:tcW w:w="932" w:type="dxa"/>
            <w:tcBorders>
              <w:top w:val="single" w:sz="4" w:space="0" w:color="auto"/>
              <w:left w:val="nil"/>
              <w:bottom w:val="single" w:sz="4" w:space="0" w:color="auto"/>
              <w:right w:val="single" w:sz="4" w:space="0" w:color="auto"/>
            </w:tcBorders>
            <w:noWrap/>
            <w:vAlign w:val="center"/>
            <w:hideMark/>
          </w:tcPr>
          <w:p w14:paraId="4CA448F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04C2B3C9"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2C1EA0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Test Acceleration and Optimization</w:t>
            </w:r>
          </w:p>
        </w:tc>
        <w:tc>
          <w:tcPr>
            <w:tcW w:w="970" w:type="dxa"/>
            <w:tcBorders>
              <w:top w:val="single" w:sz="4" w:space="0" w:color="auto"/>
              <w:left w:val="nil"/>
              <w:bottom w:val="single" w:sz="4" w:space="0" w:color="auto"/>
              <w:right w:val="single" w:sz="4" w:space="0" w:color="auto"/>
            </w:tcBorders>
            <w:noWrap/>
            <w:vAlign w:val="center"/>
            <w:hideMark/>
          </w:tcPr>
          <w:p w14:paraId="643BC71D"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45282B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testers</w:t>
            </w:r>
          </w:p>
        </w:tc>
        <w:tc>
          <w:tcPr>
            <w:tcW w:w="932" w:type="dxa"/>
            <w:tcBorders>
              <w:top w:val="single" w:sz="4" w:space="0" w:color="auto"/>
              <w:left w:val="nil"/>
              <w:bottom w:val="single" w:sz="4" w:space="0" w:color="auto"/>
              <w:right w:val="single" w:sz="4" w:space="0" w:color="auto"/>
            </w:tcBorders>
            <w:noWrap/>
            <w:vAlign w:val="center"/>
            <w:hideMark/>
          </w:tcPr>
          <w:p w14:paraId="4C6CCB5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p>
        </w:tc>
      </w:tr>
      <w:tr w:rsidR="005474AF" w:rsidRPr="004F0599" w14:paraId="04A07B5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C77E94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Sol.Man. adapt. SAP Qual.Cent. by HP</w:t>
            </w:r>
          </w:p>
        </w:tc>
        <w:tc>
          <w:tcPr>
            <w:tcW w:w="970" w:type="dxa"/>
            <w:tcBorders>
              <w:top w:val="single" w:sz="4" w:space="0" w:color="auto"/>
              <w:left w:val="nil"/>
              <w:bottom w:val="single" w:sz="4" w:space="0" w:color="auto"/>
              <w:right w:val="single" w:sz="4" w:space="0" w:color="auto"/>
            </w:tcBorders>
            <w:noWrap/>
            <w:vAlign w:val="center"/>
            <w:hideMark/>
          </w:tcPr>
          <w:p w14:paraId="5F3E338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04B5B8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connected systems</w:t>
            </w:r>
          </w:p>
        </w:tc>
        <w:tc>
          <w:tcPr>
            <w:tcW w:w="932" w:type="dxa"/>
            <w:tcBorders>
              <w:top w:val="single" w:sz="4" w:space="0" w:color="auto"/>
              <w:left w:val="nil"/>
              <w:bottom w:val="single" w:sz="4" w:space="0" w:color="auto"/>
              <w:right w:val="single" w:sz="4" w:space="0" w:color="auto"/>
            </w:tcBorders>
            <w:noWrap/>
            <w:vAlign w:val="center"/>
            <w:hideMark/>
          </w:tcPr>
          <w:p w14:paraId="1602CDD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730BBAE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BA798B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BusObj Plan&amp;Cons., vers. SAP NW</w:t>
            </w:r>
          </w:p>
        </w:tc>
        <w:tc>
          <w:tcPr>
            <w:tcW w:w="970" w:type="dxa"/>
            <w:tcBorders>
              <w:top w:val="single" w:sz="4" w:space="0" w:color="auto"/>
              <w:left w:val="nil"/>
              <w:bottom w:val="single" w:sz="4" w:space="0" w:color="auto"/>
              <w:right w:val="single" w:sz="4" w:space="0" w:color="auto"/>
            </w:tcBorders>
            <w:noWrap/>
            <w:vAlign w:val="center"/>
            <w:hideMark/>
          </w:tcPr>
          <w:p w14:paraId="079A402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w:t>
            </w:r>
          </w:p>
        </w:tc>
        <w:tc>
          <w:tcPr>
            <w:tcW w:w="1793" w:type="dxa"/>
            <w:tcBorders>
              <w:top w:val="single" w:sz="4" w:space="0" w:color="auto"/>
              <w:left w:val="nil"/>
              <w:bottom w:val="single" w:sz="4" w:space="0" w:color="auto"/>
              <w:right w:val="single" w:sz="4" w:space="0" w:color="auto"/>
            </w:tcBorders>
            <w:noWrap/>
            <w:vAlign w:val="center"/>
            <w:hideMark/>
          </w:tcPr>
          <w:p w14:paraId="439B0CC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Employees</w:t>
            </w:r>
          </w:p>
        </w:tc>
        <w:tc>
          <w:tcPr>
            <w:tcW w:w="932" w:type="dxa"/>
            <w:tcBorders>
              <w:top w:val="single" w:sz="4" w:space="0" w:color="auto"/>
              <w:left w:val="nil"/>
              <w:bottom w:val="single" w:sz="4" w:space="0" w:color="auto"/>
              <w:right w:val="single" w:sz="4" w:space="0" w:color="auto"/>
            </w:tcBorders>
            <w:noWrap/>
            <w:vAlign w:val="center"/>
            <w:hideMark/>
          </w:tcPr>
          <w:p w14:paraId="2E46F40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8</w:t>
            </w:r>
          </w:p>
        </w:tc>
      </w:tr>
      <w:tr w:rsidR="005474AF" w:rsidRPr="004F0599" w14:paraId="6F66A9FF"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40E296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BusObj BI package (CPU)</w:t>
            </w:r>
          </w:p>
        </w:tc>
        <w:tc>
          <w:tcPr>
            <w:tcW w:w="970" w:type="dxa"/>
            <w:tcBorders>
              <w:top w:val="single" w:sz="4" w:space="0" w:color="auto"/>
              <w:left w:val="nil"/>
              <w:bottom w:val="single" w:sz="4" w:space="0" w:color="auto"/>
              <w:right w:val="single" w:sz="4" w:space="0" w:color="auto"/>
            </w:tcBorders>
            <w:noWrap/>
            <w:vAlign w:val="center"/>
            <w:hideMark/>
          </w:tcPr>
          <w:p w14:paraId="4E5632A6"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BE1DDE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030B9BD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6</w:t>
            </w:r>
          </w:p>
        </w:tc>
      </w:tr>
      <w:tr w:rsidR="005474AF" w:rsidRPr="004F0599" w14:paraId="36D42CD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094977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Business Suite Expert User</w:t>
            </w:r>
          </w:p>
        </w:tc>
        <w:tc>
          <w:tcPr>
            <w:tcW w:w="970" w:type="dxa"/>
            <w:tcBorders>
              <w:top w:val="single" w:sz="4" w:space="0" w:color="auto"/>
              <w:left w:val="nil"/>
              <w:bottom w:val="single" w:sz="4" w:space="0" w:color="auto"/>
              <w:right w:val="single" w:sz="4" w:space="0" w:color="auto"/>
            </w:tcBorders>
            <w:noWrap/>
            <w:vAlign w:val="center"/>
            <w:hideMark/>
          </w:tcPr>
          <w:p w14:paraId="6F84B74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1781E5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expert user</w:t>
            </w:r>
          </w:p>
        </w:tc>
        <w:tc>
          <w:tcPr>
            <w:tcW w:w="932" w:type="dxa"/>
            <w:tcBorders>
              <w:top w:val="single" w:sz="4" w:space="0" w:color="auto"/>
              <w:left w:val="nil"/>
              <w:bottom w:val="single" w:sz="4" w:space="0" w:color="auto"/>
              <w:right w:val="single" w:sz="4" w:space="0" w:color="auto"/>
            </w:tcBorders>
            <w:noWrap/>
            <w:vAlign w:val="center"/>
            <w:hideMark/>
          </w:tcPr>
          <w:p w14:paraId="08300FA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36</w:t>
            </w:r>
          </w:p>
        </w:tc>
      </w:tr>
      <w:tr w:rsidR="005474AF" w:rsidRPr="004F0599" w14:paraId="4377D55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4C8108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Business Suite Business Inform. User</w:t>
            </w:r>
          </w:p>
        </w:tc>
        <w:tc>
          <w:tcPr>
            <w:tcW w:w="970" w:type="dxa"/>
            <w:tcBorders>
              <w:top w:val="single" w:sz="4" w:space="0" w:color="auto"/>
              <w:left w:val="nil"/>
              <w:bottom w:val="single" w:sz="4" w:space="0" w:color="auto"/>
              <w:right w:val="single" w:sz="4" w:space="0" w:color="auto"/>
            </w:tcBorders>
            <w:noWrap/>
            <w:vAlign w:val="center"/>
            <w:hideMark/>
          </w:tcPr>
          <w:p w14:paraId="0A2F43F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24F3FA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information user</w:t>
            </w:r>
          </w:p>
        </w:tc>
        <w:tc>
          <w:tcPr>
            <w:tcW w:w="932" w:type="dxa"/>
            <w:tcBorders>
              <w:top w:val="single" w:sz="4" w:space="0" w:color="auto"/>
              <w:left w:val="nil"/>
              <w:bottom w:val="single" w:sz="4" w:space="0" w:color="auto"/>
              <w:right w:val="single" w:sz="4" w:space="0" w:color="auto"/>
            </w:tcBorders>
            <w:noWrap/>
            <w:vAlign w:val="center"/>
            <w:hideMark/>
          </w:tcPr>
          <w:p w14:paraId="454A039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940</w:t>
            </w:r>
          </w:p>
        </w:tc>
      </w:tr>
      <w:tr w:rsidR="005474AF" w:rsidRPr="004F0599" w14:paraId="1BB8840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73FB07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NetWeaver MDM, employees</w:t>
            </w:r>
          </w:p>
        </w:tc>
        <w:tc>
          <w:tcPr>
            <w:tcW w:w="970" w:type="dxa"/>
            <w:tcBorders>
              <w:top w:val="single" w:sz="4" w:space="0" w:color="auto"/>
              <w:left w:val="nil"/>
              <w:bottom w:val="single" w:sz="4" w:space="0" w:color="auto"/>
              <w:right w:val="single" w:sz="4" w:space="0" w:color="auto"/>
            </w:tcBorders>
            <w:noWrap/>
            <w:vAlign w:val="center"/>
            <w:hideMark/>
          </w:tcPr>
          <w:p w14:paraId="11617A8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3A5865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employee object</w:t>
            </w:r>
          </w:p>
        </w:tc>
        <w:tc>
          <w:tcPr>
            <w:tcW w:w="932" w:type="dxa"/>
            <w:tcBorders>
              <w:top w:val="single" w:sz="4" w:space="0" w:color="auto"/>
              <w:left w:val="nil"/>
              <w:bottom w:val="single" w:sz="4" w:space="0" w:color="auto"/>
              <w:right w:val="single" w:sz="4" w:space="0" w:color="auto"/>
            </w:tcBorders>
            <w:noWrap/>
            <w:vAlign w:val="center"/>
            <w:hideMark/>
          </w:tcPr>
          <w:p w14:paraId="601EE15D"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20 000</w:t>
            </w:r>
          </w:p>
        </w:tc>
      </w:tr>
      <w:tr w:rsidR="005474AF" w:rsidRPr="004F0599" w14:paraId="44D2F167"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0ACDE5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SAP BusObj  Data Services (1 CPU)</w:t>
            </w:r>
          </w:p>
        </w:tc>
        <w:tc>
          <w:tcPr>
            <w:tcW w:w="970" w:type="dxa"/>
            <w:tcBorders>
              <w:top w:val="single" w:sz="4" w:space="0" w:color="auto"/>
              <w:left w:val="nil"/>
              <w:bottom w:val="single" w:sz="4" w:space="0" w:color="auto"/>
              <w:right w:val="single" w:sz="4" w:space="0" w:color="auto"/>
            </w:tcBorders>
            <w:noWrap/>
            <w:vAlign w:val="center"/>
            <w:hideMark/>
          </w:tcPr>
          <w:p w14:paraId="52D9E65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C65E5A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3C27256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4</w:t>
            </w:r>
          </w:p>
        </w:tc>
      </w:tr>
      <w:tr w:rsidR="005474AF" w:rsidRPr="004F0599" w14:paraId="445DA12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B83E87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 Suite -  Application Developer User</w:t>
            </w:r>
          </w:p>
        </w:tc>
        <w:tc>
          <w:tcPr>
            <w:tcW w:w="970" w:type="dxa"/>
            <w:tcBorders>
              <w:top w:val="single" w:sz="4" w:space="0" w:color="auto"/>
              <w:left w:val="nil"/>
              <w:bottom w:val="single" w:sz="4" w:space="0" w:color="auto"/>
              <w:right w:val="single" w:sz="4" w:space="0" w:color="auto"/>
            </w:tcBorders>
            <w:noWrap/>
            <w:vAlign w:val="center"/>
            <w:hideMark/>
          </w:tcPr>
          <w:p w14:paraId="3E79F43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79B043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40FCFC0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w:t>
            </w:r>
          </w:p>
        </w:tc>
      </w:tr>
      <w:tr w:rsidR="005474AF" w:rsidRPr="004F0599" w14:paraId="61BDE759"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6FB9A9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Workforce Performance Builder Producer</w:t>
            </w:r>
          </w:p>
        </w:tc>
        <w:tc>
          <w:tcPr>
            <w:tcW w:w="970" w:type="dxa"/>
            <w:tcBorders>
              <w:top w:val="single" w:sz="4" w:space="0" w:color="auto"/>
              <w:left w:val="nil"/>
              <w:bottom w:val="single" w:sz="4" w:space="0" w:color="auto"/>
              <w:right w:val="single" w:sz="4" w:space="0" w:color="auto"/>
            </w:tcBorders>
            <w:noWrap/>
            <w:vAlign w:val="center"/>
            <w:hideMark/>
          </w:tcPr>
          <w:p w14:paraId="0D65D19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626860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5EF114F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8</w:t>
            </w:r>
          </w:p>
        </w:tc>
      </w:tr>
      <w:tr w:rsidR="005474AF" w:rsidRPr="004F0599" w14:paraId="1FE32ED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D61343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Workforce Performance Builder Enterprise Edition</w:t>
            </w:r>
          </w:p>
        </w:tc>
        <w:tc>
          <w:tcPr>
            <w:tcW w:w="970" w:type="dxa"/>
            <w:tcBorders>
              <w:top w:val="single" w:sz="4" w:space="0" w:color="auto"/>
              <w:left w:val="nil"/>
              <w:bottom w:val="single" w:sz="4" w:space="0" w:color="auto"/>
              <w:right w:val="single" w:sz="4" w:space="0" w:color="auto"/>
            </w:tcBorders>
            <w:noWrap/>
            <w:vAlign w:val="center"/>
            <w:hideMark/>
          </w:tcPr>
          <w:p w14:paraId="251C4D7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9D485E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7921C72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3 000</w:t>
            </w:r>
          </w:p>
        </w:tc>
      </w:tr>
      <w:tr w:rsidR="005474AF" w:rsidRPr="004F0599" w14:paraId="45F4575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989B79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Workforce Performance Navigator</w:t>
            </w:r>
          </w:p>
        </w:tc>
        <w:tc>
          <w:tcPr>
            <w:tcW w:w="970" w:type="dxa"/>
            <w:tcBorders>
              <w:top w:val="single" w:sz="4" w:space="0" w:color="auto"/>
              <w:left w:val="nil"/>
              <w:bottom w:val="single" w:sz="4" w:space="0" w:color="auto"/>
              <w:right w:val="single" w:sz="4" w:space="0" w:color="auto"/>
            </w:tcBorders>
            <w:noWrap/>
            <w:vAlign w:val="center"/>
            <w:hideMark/>
          </w:tcPr>
          <w:p w14:paraId="6354030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2904023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19D61BC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1 800</w:t>
            </w:r>
          </w:p>
        </w:tc>
      </w:tr>
      <w:tr w:rsidR="009066B5" w:rsidRPr="004F0599" w14:paraId="0EC3446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3D267E6D" w14:textId="1390CE33" w:rsidR="009066B5" w:rsidRPr="004F0599" w:rsidRDefault="009066B5" w:rsidP="002B7395">
            <w:pPr>
              <w:widowControl/>
              <w:autoSpaceDE/>
              <w:autoSpaceDN/>
              <w:rPr>
                <w:rFonts w:eastAsia="Times New Roman"/>
                <w:color w:val="000000"/>
                <w:sz w:val="18"/>
                <w:szCs w:val="20"/>
                <w:lang w:val="sk-SK" w:eastAsia="sk-SK"/>
              </w:rPr>
            </w:pPr>
            <w:r w:rsidRPr="009066B5">
              <w:rPr>
                <w:rFonts w:eastAsia="Times New Roman"/>
                <w:color w:val="000000"/>
                <w:sz w:val="18"/>
                <w:szCs w:val="20"/>
                <w:lang w:val="sk-SK" w:eastAsia="sk-SK"/>
              </w:rPr>
              <w:t>SAP Real Estate Management, residential property mgmt</w:t>
            </w:r>
          </w:p>
        </w:tc>
        <w:tc>
          <w:tcPr>
            <w:tcW w:w="970" w:type="dxa"/>
            <w:tcBorders>
              <w:top w:val="single" w:sz="4" w:space="0" w:color="auto"/>
              <w:left w:val="nil"/>
              <w:bottom w:val="single" w:sz="4" w:space="0" w:color="auto"/>
              <w:right w:val="single" w:sz="4" w:space="0" w:color="auto"/>
            </w:tcBorders>
            <w:noWrap/>
            <w:vAlign w:val="center"/>
          </w:tcPr>
          <w:p w14:paraId="08CD0061" w14:textId="4BB19FFB" w:rsidR="009066B5" w:rsidRPr="004F0599" w:rsidRDefault="009066B5"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1000</w:t>
            </w:r>
          </w:p>
        </w:tc>
        <w:tc>
          <w:tcPr>
            <w:tcW w:w="1793" w:type="dxa"/>
            <w:tcBorders>
              <w:top w:val="single" w:sz="4" w:space="0" w:color="auto"/>
              <w:left w:val="nil"/>
              <w:bottom w:val="single" w:sz="4" w:space="0" w:color="auto"/>
              <w:right w:val="single" w:sz="4" w:space="0" w:color="auto"/>
            </w:tcBorders>
            <w:noWrap/>
            <w:vAlign w:val="center"/>
          </w:tcPr>
          <w:p w14:paraId="3B94487A" w14:textId="3F70AF95" w:rsidR="009066B5" w:rsidRPr="004F0599" w:rsidRDefault="009066B5" w:rsidP="002B7395">
            <w:pPr>
              <w:widowControl/>
              <w:autoSpaceDE/>
              <w:autoSpaceDN/>
              <w:rPr>
                <w:rFonts w:eastAsia="Times New Roman"/>
                <w:color w:val="000000"/>
                <w:sz w:val="18"/>
                <w:szCs w:val="20"/>
                <w:lang w:val="sk-SK" w:eastAsia="sk-SK"/>
              </w:rPr>
            </w:pPr>
            <w:r>
              <w:rPr>
                <w:rFonts w:eastAsia="Times New Roman"/>
                <w:color w:val="000000"/>
                <w:sz w:val="18"/>
                <w:szCs w:val="20"/>
                <w:lang w:val="sk-SK" w:eastAsia="sk-SK"/>
              </w:rPr>
              <w:t>Rental units</w:t>
            </w:r>
          </w:p>
        </w:tc>
        <w:tc>
          <w:tcPr>
            <w:tcW w:w="932" w:type="dxa"/>
            <w:tcBorders>
              <w:top w:val="single" w:sz="4" w:space="0" w:color="auto"/>
              <w:left w:val="nil"/>
              <w:bottom w:val="single" w:sz="4" w:space="0" w:color="auto"/>
              <w:right w:val="single" w:sz="4" w:space="0" w:color="auto"/>
            </w:tcBorders>
            <w:noWrap/>
            <w:vAlign w:val="center"/>
          </w:tcPr>
          <w:p w14:paraId="42AD55D9" w14:textId="4330E64C" w:rsidR="009066B5" w:rsidRPr="004F0599" w:rsidRDefault="009066B5"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21</w:t>
            </w:r>
          </w:p>
        </w:tc>
      </w:tr>
      <w:tr w:rsidR="005474AF" w:rsidRPr="004F0599" w14:paraId="4F49FE34" w14:textId="77777777" w:rsidTr="002B7395">
        <w:trPr>
          <w:trHeight w:val="300"/>
        </w:trPr>
        <w:tc>
          <w:tcPr>
            <w:tcW w:w="5656"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49C696D7"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Oprávnený subjekt - Národná diaľničná spoločnosť a. s.</w:t>
            </w:r>
          </w:p>
        </w:tc>
        <w:tc>
          <w:tcPr>
            <w:tcW w:w="970" w:type="dxa"/>
            <w:tcBorders>
              <w:top w:val="single" w:sz="4" w:space="0" w:color="auto"/>
              <w:left w:val="nil"/>
              <w:bottom w:val="single" w:sz="4" w:space="0" w:color="auto"/>
              <w:right w:val="nil"/>
            </w:tcBorders>
            <w:shd w:val="clear" w:color="auto" w:fill="BFBFBF" w:themeFill="background1" w:themeFillShade="BF"/>
            <w:noWrap/>
            <w:vAlign w:val="center"/>
            <w:hideMark/>
          </w:tcPr>
          <w:p w14:paraId="62959CD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1793" w:type="dxa"/>
            <w:tcBorders>
              <w:top w:val="single" w:sz="4" w:space="0" w:color="auto"/>
              <w:left w:val="nil"/>
              <w:bottom w:val="single" w:sz="4" w:space="0" w:color="auto"/>
              <w:right w:val="nil"/>
            </w:tcBorders>
            <w:shd w:val="clear" w:color="auto" w:fill="BFBFBF" w:themeFill="background1" w:themeFillShade="BF"/>
            <w:noWrap/>
            <w:vAlign w:val="center"/>
            <w:hideMark/>
          </w:tcPr>
          <w:p w14:paraId="20AE725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93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F65611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r>
      <w:tr w:rsidR="005474AF" w:rsidRPr="004F0599" w14:paraId="571AE0D8"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4A9E4BC"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Produkt</w:t>
            </w:r>
          </w:p>
        </w:tc>
        <w:tc>
          <w:tcPr>
            <w:tcW w:w="970" w:type="dxa"/>
            <w:tcBorders>
              <w:top w:val="single" w:sz="4" w:space="0" w:color="auto"/>
              <w:left w:val="nil"/>
              <w:bottom w:val="single" w:sz="4" w:space="0" w:color="auto"/>
              <w:right w:val="single" w:sz="4" w:space="0" w:color="auto"/>
            </w:tcBorders>
            <w:noWrap/>
            <w:vAlign w:val="center"/>
            <w:hideMark/>
          </w:tcPr>
          <w:p w14:paraId="64B8E3F3"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Jednotka</w:t>
            </w:r>
          </w:p>
        </w:tc>
        <w:tc>
          <w:tcPr>
            <w:tcW w:w="1793" w:type="dxa"/>
            <w:tcBorders>
              <w:top w:val="single" w:sz="4" w:space="0" w:color="auto"/>
              <w:left w:val="nil"/>
              <w:bottom w:val="single" w:sz="4" w:space="0" w:color="auto"/>
              <w:right w:val="single" w:sz="4" w:space="0" w:color="auto"/>
            </w:tcBorders>
            <w:noWrap/>
            <w:vAlign w:val="center"/>
            <w:hideMark/>
          </w:tcPr>
          <w:p w14:paraId="240DD172"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Merná jednotka</w:t>
            </w:r>
          </w:p>
        </w:tc>
        <w:tc>
          <w:tcPr>
            <w:tcW w:w="932" w:type="dxa"/>
            <w:tcBorders>
              <w:top w:val="single" w:sz="4" w:space="0" w:color="auto"/>
              <w:left w:val="nil"/>
              <w:bottom w:val="single" w:sz="4" w:space="0" w:color="auto"/>
              <w:right w:val="single" w:sz="4" w:space="0" w:color="auto"/>
            </w:tcBorders>
            <w:noWrap/>
            <w:vAlign w:val="center"/>
            <w:hideMark/>
          </w:tcPr>
          <w:p w14:paraId="4128D908"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Celkom</w:t>
            </w:r>
          </w:p>
        </w:tc>
      </w:tr>
      <w:tr w:rsidR="005474AF" w:rsidRPr="004F0599" w14:paraId="490E13F4"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D30AF9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Developer User</w:t>
            </w:r>
          </w:p>
        </w:tc>
        <w:tc>
          <w:tcPr>
            <w:tcW w:w="970" w:type="dxa"/>
            <w:tcBorders>
              <w:top w:val="single" w:sz="4" w:space="0" w:color="auto"/>
              <w:left w:val="nil"/>
              <w:bottom w:val="single" w:sz="4" w:space="0" w:color="auto"/>
              <w:right w:val="single" w:sz="4" w:space="0" w:color="auto"/>
            </w:tcBorders>
            <w:noWrap/>
            <w:vAlign w:val="center"/>
            <w:hideMark/>
          </w:tcPr>
          <w:p w14:paraId="0FCDD82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6EA19E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3DF05C3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w:t>
            </w:r>
          </w:p>
        </w:tc>
      </w:tr>
      <w:tr w:rsidR="005474AF" w:rsidRPr="004F0599" w14:paraId="56F2031A"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C20420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Professional User</w:t>
            </w:r>
          </w:p>
        </w:tc>
        <w:tc>
          <w:tcPr>
            <w:tcW w:w="970" w:type="dxa"/>
            <w:tcBorders>
              <w:top w:val="single" w:sz="4" w:space="0" w:color="auto"/>
              <w:left w:val="nil"/>
              <w:bottom w:val="single" w:sz="4" w:space="0" w:color="auto"/>
              <w:right w:val="single" w:sz="4" w:space="0" w:color="auto"/>
            </w:tcBorders>
            <w:noWrap/>
            <w:vAlign w:val="center"/>
            <w:hideMark/>
          </w:tcPr>
          <w:p w14:paraId="3C9287F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C781FF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076F613D" w14:textId="23252349" w:rsidR="005474AF" w:rsidRPr="004F0599" w:rsidRDefault="009066B5"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280</w:t>
            </w:r>
          </w:p>
        </w:tc>
      </w:tr>
      <w:tr w:rsidR="005474AF" w:rsidRPr="004F0599" w14:paraId="5EF19BC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D6DE12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Limited Professional User</w:t>
            </w:r>
          </w:p>
        </w:tc>
        <w:tc>
          <w:tcPr>
            <w:tcW w:w="970" w:type="dxa"/>
            <w:tcBorders>
              <w:top w:val="single" w:sz="4" w:space="0" w:color="auto"/>
              <w:left w:val="nil"/>
              <w:bottom w:val="single" w:sz="4" w:space="0" w:color="auto"/>
              <w:right w:val="single" w:sz="4" w:space="0" w:color="auto"/>
            </w:tcBorders>
            <w:noWrap/>
            <w:vAlign w:val="center"/>
            <w:hideMark/>
          </w:tcPr>
          <w:p w14:paraId="1B634D7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4B9EAB5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211FE06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28</w:t>
            </w:r>
          </w:p>
        </w:tc>
      </w:tr>
      <w:tr w:rsidR="005474AF" w:rsidRPr="004F0599" w14:paraId="1CEA016A"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5F2D80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Payroll Processing</w:t>
            </w:r>
          </w:p>
        </w:tc>
        <w:tc>
          <w:tcPr>
            <w:tcW w:w="970" w:type="dxa"/>
            <w:tcBorders>
              <w:top w:val="single" w:sz="4" w:space="0" w:color="auto"/>
              <w:left w:val="nil"/>
              <w:bottom w:val="single" w:sz="4" w:space="0" w:color="auto"/>
              <w:right w:val="single" w:sz="4" w:space="0" w:color="auto"/>
            </w:tcBorders>
            <w:noWrap/>
            <w:vAlign w:val="center"/>
            <w:hideMark/>
          </w:tcPr>
          <w:p w14:paraId="00561BC6"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2743A6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500 master records</w:t>
            </w:r>
          </w:p>
        </w:tc>
        <w:tc>
          <w:tcPr>
            <w:tcW w:w="932" w:type="dxa"/>
            <w:tcBorders>
              <w:top w:val="single" w:sz="4" w:space="0" w:color="auto"/>
              <w:left w:val="nil"/>
              <w:bottom w:val="single" w:sz="4" w:space="0" w:color="auto"/>
              <w:right w:val="single" w:sz="4" w:space="0" w:color="auto"/>
            </w:tcBorders>
            <w:noWrap/>
            <w:vAlign w:val="center"/>
            <w:hideMark/>
          </w:tcPr>
          <w:p w14:paraId="3FF108C3"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w:t>
            </w:r>
          </w:p>
        </w:tc>
      </w:tr>
      <w:tr w:rsidR="005474AF" w:rsidRPr="004F0599" w14:paraId="3BDCF643"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844F83A"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ERP Foundation Starte</w:t>
            </w:r>
            <w:r w:rsidRPr="004F0599">
              <w:rPr>
                <w:rFonts w:eastAsia="Times New Roman"/>
                <w:sz w:val="18"/>
                <w:szCs w:val="20"/>
                <w:lang w:val="sk-SK" w:eastAsia="sk-SK"/>
              </w:rPr>
              <w:t>r (incl. 5 prof user)</w:t>
            </w:r>
          </w:p>
        </w:tc>
        <w:tc>
          <w:tcPr>
            <w:tcW w:w="970" w:type="dxa"/>
            <w:tcBorders>
              <w:top w:val="single" w:sz="4" w:space="0" w:color="auto"/>
              <w:left w:val="nil"/>
              <w:bottom w:val="single" w:sz="4" w:space="0" w:color="auto"/>
              <w:right w:val="single" w:sz="4" w:space="0" w:color="auto"/>
            </w:tcBorders>
            <w:noWrap/>
            <w:vAlign w:val="center"/>
            <w:hideMark/>
          </w:tcPr>
          <w:p w14:paraId="68F3B62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8A0551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package</w:t>
            </w:r>
          </w:p>
        </w:tc>
        <w:tc>
          <w:tcPr>
            <w:tcW w:w="932" w:type="dxa"/>
            <w:tcBorders>
              <w:top w:val="single" w:sz="4" w:space="0" w:color="auto"/>
              <w:left w:val="nil"/>
              <w:bottom w:val="single" w:sz="4" w:space="0" w:color="auto"/>
              <w:right w:val="single" w:sz="4" w:space="0" w:color="auto"/>
            </w:tcBorders>
            <w:noWrap/>
            <w:vAlign w:val="center"/>
            <w:hideMark/>
          </w:tcPr>
          <w:p w14:paraId="69ECC8B7"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4FFC8300"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6E043C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SAP Platform Professional User </w:t>
            </w:r>
          </w:p>
        </w:tc>
        <w:tc>
          <w:tcPr>
            <w:tcW w:w="970" w:type="dxa"/>
            <w:tcBorders>
              <w:top w:val="single" w:sz="4" w:space="0" w:color="auto"/>
              <w:left w:val="nil"/>
              <w:bottom w:val="single" w:sz="4" w:space="0" w:color="auto"/>
              <w:right w:val="single" w:sz="4" w:space="0" w:color="auto"/>
            </w:tcBorders>
            <w:noWrap/>
            <w:vAlign w:val="center"/>
            <w:hideMark/>
          </w:tcPr>
          <w:p w14:paraId="04940DAC"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3EDD28B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456F0AC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20</w:t>
            </w:r>
          </w:p>
        </w:tc>
      </w:tr>
      <w:tr w:rsidR="005474AF" w:rsidRPr="004F0599" w14:paraId="7A6BBB1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53A7EA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RE Mgmt, land management</w:t>
            </w:r>
          </w:p>
        </w:tc>
        <w:tc>
          <w:tcPr>
            <w:tcW w:w="970" w:type="dxa"/>
            <w:tcBorders>
              <w:top w:val="single" w:sz="4" w:space="0" w:color="auto"/>
              <w:left w:val="nil"/>
              <w:bottom w:val="single" w:sz="4" w:space="0" w:color="auto"/>
              <w:right w:val="single" w:sz="4" w:space="0" w:color="auto"/>
            </w:tcBorders>
            <w:noWrap/>
            <w:vAlign w:val="center"/>
            <w:hideMark/>
          </w:tcPr>
          <w:p w14:paraId="5018A1FB" w14:textId="77777777" w:rsidR="005474AF" w:rsidRPr="004F0599" w:rsidRDefault="005474AF" w:rsidP="002B7395">
            <w:pPr>
              <w:widowControl/>
              <w:autoSpaceDE/>
              <w:autoSpaceDN/>
              <w:jc w:val="right"/>
              <w:rPr>
                <w:rFonts w:eastAsia="Times New Roman"/>
                <w:sz w:val="18"/>
                <w:szCs w:val="20"/>
                <w:lang w:val="sk-SK" w:eastAsia="sk-SK"/>
              </w:rPr>
            </w:pPr>
            <w:r w:rsidRPr="004F0599">
              <w:rPr>
                <w:rFonts w:eastAsia="Times New Roman"/>
                <w:sz w:val="18"/>
                <w:szCs w:val="20"/>
                <w:lang w:val="sk-SK" w:eastAsia="sk-SK"/>
              </w:rPr>
              <w:t>1000</w:t>
            </w:r>
          </w:p>
        </w:tc>
        <w:tc>
          <w:tcPr>
            <w:tcW w:w="1793" w:type="dxa"/>
            <w:tcBorders>
              <w:top w:val="single" w:sz="4" w:space="0" w:color="auto"/>
              <w:left w:val="nil"/>
              <w:bottom w:val="single" w:sz="4" w:space="0" w:color="auto"/>
              <w:right w:val="single" w:sz="4" w:space="0" w:color="auto"/>
            </w:tcBorders>
            <w:noWrap/>
            <w:vAlign w:val="center"/>
            <w:hideMark/>
          </w:tcPr>
          <w:p w14:paraId="5C0AFC9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Parcels of Land</w:t>
            </w:r>
          </w:p>
        </w:tc>
        <w:tc>
          <w:tcPr>
            <w:tcW w:w="932" w:type="dxa"/>
            <w:tcBorders>
              <w:top w:val="single" w:sz="4" w:space="0" w:color="auto"/>
              <w:left w:val="nil"/>
              <w:bottom w:val="single" w:sz="4" w:space="0" w:color="auto"/>
              <w:right w:val="single" w:sz="4" w:space="0" w:color="auto"/>
            </w:tcBorders>
            <w:noWrap/>
            <w:vAlign w:val="center"/>
            <w:hideMark/>
          </w:tcPr>
          <w:p w14:paraId="2C880D1C"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w:t>
            </w:r>
          </w:p>
        </w:tc>
      </w:tr>
      <w:tr w:rsidR="005474AF" w:rsidRPr="004F0599" w14:paraId="34B7AD8A"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1F666D6"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RE Mgmt,office,retail,ind.prop. mgmt</w:t>
            </w:r>
          </w:p>
        </w:tc>
        <w:tc>
          <w:tcPr>
            <w:tcW w:w="970" w:type="dxa"/>
            <w:tcBorders>
              <w:top w:val="single" w:sz="4" w:space="0" w:color="auto"/>
              <w:left w:val="nil"/>
              <w:bottom w:val="single" w:sz="4" w:space="0" w:color="auto"/>
              <w:right w:val="single" w:sz="4" w:space="0" w:color="auto"/>
            </w:tcBorders>
            <w:noWrap/>
            <w:vAlign w:val="center"/>
            <w:hideMark/>
          </w:tcPr>
          <w:p w14:paraId="34D3D9D0"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3E57D1A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4A12223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8</w:t>
            </w:r>
          </w:p>
        </w:tc>
      </w:tr>
      <w:tr w:rsidR="005474AF" w:rsidRPr="004F0599" w14:paraId="77E3B8B8"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5894FE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Employee Self-Service User</w:t>
            </w:r>
          </w:p>
        </w:tc>
        <w:tc>
          <w:tcPr>
            <w:tcW w:w="970" w:type="dxa"/>
            <w:tcBorders>
              <w:top w:val="single" w:sz="4" w:space="0" w:color="auto"/>
              <w:left w:val="nil"/>
              <w:bottom w:val="single" w:sz="4" w:space="0" w:color="auto"/>
              <w:right w:val="single" w:sz="4" w:space="0" w:color="auto"/>
            </w:tcBorders>
            <w:noWrap/>
            <w:vAlign w:val="center"/>
            <w:hideMark/>
          </w:tcPr>
          <w:p w14:paraId="7FCA9F9D"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1B5A364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6EE23A4E" w14:textId="62C75F44"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r w:rsidR="009066B5">
              <w:rPr>
                <w:rFonts w:eastAsia="Times New Roman"/>
                <w:color w:val="000000"/>
                <w:sz w:val="18"/>
                <w:szCs w:val="20"/>
                <w:lang w:val="sk-SK" w:eastAsia="sk-SK"/>
              </w:rPr>
              <w:t xml:space="preserve"> </w:t>
            </w:r>
            <w:r w:rsidRPr="004F0599">
              <w:rPr>
                <w:rFonts w:eastAsia="Times New Roman"/>
                <w:color w:val="000000"/>
                <w:sz w:val="18"/>
                <w:szCs w:val="20"/>
                <w:lang w:val="sk-SK" w:eastAsia="sk-SK"/>
              </w:rPr>
              <w:t>060</w:t>
            </w:r>
          </w:p>
        </w:tc>
      </w:tr>
      <w:tr w:rsidR="005474AF" w:rsidRPr="004F0599" w14:paraId="471EE41D" w14:textId="77777777" w:rsidTr="002B7395">
        <w:trPr>
          <w:trHeight w:val="300"/>
        </w:trPr>
        <w:tc>
          <w:tcPr>
            <w:tcW w:w="5656"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76326ABE"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Oprávnený subjekt - Všeobecná zdravotná poisťovňa, a. s.</w:t>
            </w:r>
          </w:p>
        </w:tc>
        <w:tc>
          <w:tcPr>
            <w:tcW w:w="970" w:type="dxa"/>
            <w:tcBorders>
              <w:top w:val="single" w:sz="4" w:space="0" w:color="auto"/>
              <w:left w:val="nil"/>
              <w:bottom w:val="single" w:sz="4" w:space="0" w:color="auto"/>
              <w:right w:val="nil"/>
            </w:tcBorders>
            <w:shd w:val="clear" w:color="auto" w:fill="BFBFBF" w:themeFill="background1" w:themeFillShade="BF"/>
            <w:noWrap/>
            <w:vAlign w:val="center"/>
            <w:hideMark/>
          </w:tcPr>
          <w:p w14:paraId="0735FDA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1793" w:type="dxa"/>
            <w:tcBorders>
              <w:top w:val="single" w:sz="4" w:space="0" w:color="auto"/>
              <w:left w:val="nil"/>
              <w:bottom w:val="single" w:sz="4" w:space="0" w:color="auto"/>
              <w:right w:val="nil"/>
            </w:tcBorders>
            <w:shd w:val="clear" w:color="auto" w:fill="BFBFBF" w:themeFill="background1" w:themeFillShade="BF"/>
            <w:noWrap/>
            <w:vAlign w:val="center"/>
            <w:hideMark/>
          </w:tcPr>
          <w:p w14:paraId="3D4FADA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93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C6BBC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r>
      <w:tr w:rsidR="005474AF" w:rsidRPr="004F0599" w14:paraId="36CD1A5B"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0721FB10"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Produkt</w:t>
            </w:r>
          </w:p>
        </w:tc>
        <w:tc>
          <w:tcPr>
            <w:tcW w:w="970" w:type="dxa"/>
            <w:tcBorders>
              <w:top w:val="single" w:sz="4" w:space="0" w:color="auto"/>
              <w:left w:val="nil"/>
              <w:bottom w:val="single" w:sz="4" w:space="0" w:color="auto"/>
              <w:right w:val="single" w:sz="4" w:space="0" w:color="auto"/>
            </w:tcBorders>
            <w:noWrap/>
            <w:vAlign w:val="center"/>
            <w:hideMark/>
          </w:tcPr>
          <w:p w14:paraId="3DA95613"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Jednotka</w:t>
            </w:r>
          </w:p>
        </w:tc>
        <w:tc>
          <w:tcPr>
            <w:tcW w:w="1793" w:type="dxa"/>
            <w:tcBorders>
              <w:top w:val="single" w:sz="4" w:space="0" w:color="auto"/>
              <w:left w:val="nil"/>
              <w:bottom w:val="single" w:sz="4" w:space="0" w:color="auto"/>
              <w:right w:val="single" w:sz="4" w:space="0" w:color="auto"/>
            </w:tcBorders>
            <w:noWrap/>
            <w:vAlign w:val="center"/>
            <w:hideMark/>
          </w:tcPr>
          <w:p w14:paraId="2457F8C3"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Merná jednotka</w:t>
            </w:r>
          </w:p>
        </w:tc>
        <w:tc>
          <w:tcPr>
            <w:tcW w:w="932" w:type="dxa"/>
            <w:tcBorders>
              <w:top w:val="single" w:sz="4" w:space="0" w:color="auto"/>
              <w:left w:val="nil"/>
              <w:bottom w:val="single" w:sz="4" w:space="0" w:color="auto"/>
              <w:right w:val="single" w:sz="4" w:space="0" w:color="auto"/>
            </w:tcBorders>
            <w:noWrap/>
            <w:vAlign w:val="center"/>
            <w:hideMark/>
          </w:tcPr>
          <w:p w14:paraId="5DEF0CDB"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Celkom</w:t>
            </w:r>
          </w:p>
        </w:tc>
      </w:tr>
      <w:tr w:rsidR="005474AF" w:rsidRPr="004F0599" w14:paraId="018BA98D"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578E501"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Business Suite Professional User</w:t>
            </w:r>
          </w:p>
        </w:tc>
        <w:tc>
          <w:tcPr>
            <w:tcW w:w="970" w:type="dxa"/>
            <w:tcBorders>
              <w:top w:val="single" w:sz="4" w:space="0" w:color="auto"/>
              <w:left w:val="nil"/>
              <w:bottom w:val="single" w:sz="4" w:space="0" w:color="auto"/>
              <w:right w:val="single" w:sz="4" w:space="0" w:color="auto"/>
            </w:tcBorders>
            <w:noWrap/>
            <w:vAlign w:val="center"/>
            <w:hideMark/>
          </w:tcPr>
          <w:p w14:paraId="39F6504C"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3973540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186BFB12"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200</w:t>
            </w:r>
          </w:p>
        </w:tc>
      </w:tr>
      <w:tr w:rsidR="005474AF" w:rsidRPr="004F0599" w14:paraId="7F44BF7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5F428B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HR Payroll Processing</w:t>
            </w:r>
          </w:p>
        </w:tc>
        <w:tc>
          <w:tcPr>
            <w:tcW w:w="970" w:type="dxa"/>
            <w:tcBorders>
              <w:top w:val="single" w:sz="4" w:space="0" w:color="auto"/>
              <w:left w:val="nil"/>
              <w:bottom w:val="single" w:sz="4" w:space="0" w:color="auto"/>
              <w:right w:val="single" w:sz="4" w:space="0" w:color="auto"/>
            </w:tcBorders>
            <w:noWrap/>
            <w:vAlign w:val="center"/>
            <w:hideMark/>
          </w:tcPr>
          <w:p w14:paraId="62C9D70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w:t>
            </w:r>
          </w:p>
        </w:tc>
        <w:tc>
          <w:tcPr>
            <w:tcW w:w="1793" w:type="dxa"/>
            <w:tcBorders>
              <w:top w:val="single" w:sz="4" w:space="0" w:color="auto"/>
              <w:left w:val="nil"/>
              <w:bottom w:val="single" w:sz="4" w:space="0" w:color="auto"/>
              <w:right w:val="single" w:sz="4" w:space="0" w:color="auto"/>
            </w:tcBorders>
            <w:noWrap/>
            <w:vAlign w:val="center"/>
            <w:hideMark/>
          </w:tcPr>
          <w:p w14:paraId="744C27B3"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Master Records</w:t>
            </w:r>
          </w:p>
        </w:tc>
        <w:tc>
          <w:tcPr>
            <w:tcW w:w="932" w:type="dxa"/>
            <w:tcBorders>
              <w:top w:val="single" w:sz="4" w:space="0" w:color="auto"/>
              <w:left w:val="nil"/>
              <w:bottom w:val="single" w:sz="4" w:space="0" w:color="auto"/>
              <w:right w:val="single" w:sz="4" w:space="0" w:color="auto"/>
            </w:tcBorders>
            <w:noWrap/>
            <w:vAlign w:val="center"/>
            <w:hideMark/>
          </w:tcPr>
          <w:p w14:paraId="289BE248" w14:textId="7F77D5DA" w:rsidR="005474AF" w:rsidRPr="004F0599" w:rsidRDefault="009066B5"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7</w:t>
            </w:r>
          </w:p>
        </w:tc>
      </w:tr>
      <w:tr w:rsidR="005474AF" w:rsidRPr="004F0599" w14:paraId="71D762CA" w14:textId="77777777" w:rsidTr="002B7395">
        <w:trPr>
          <w:trHeight w:val="300"/>
        </w:trPr>
        <w:tc>
          <w:tcPr>
            <w:tcW w:w="5656" w:type="dxa"/>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738CD0BB"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Oprávnený subjekt - Sociálna poisťovňa</w:t>
            </w:r>
          </w:p>
        </w:tc>
        <w:tc>
          <w:tcPr>
            <w:tcW w:w="970" w:type="dxa"/>
            <w:tcBorders>
              <w:top w:val="single" w:sz="4" w:space="0" w:color="auto"/>
              <w:left w:val="nil"/>
              <w:bottom w:val="single" w:sz="4" w:space="0" w:color="auto"/>
              <w:right w:val="nil"/>
            </w:tcBorders>
            <w:shd w:val="clear" w:color="auto" w:fill="BFBFBF" w:themeFill="background1" w:themeFillShade="BF"/>
            <w:noWrap/>
            <w:vAlign w:val="center"/>
            <w:hideMark/>
          </w:tcPr>
          <w:p w14:paraId="7C3092B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1793" w:type="dxa"/>
            <w:tcBorders>
              <w:top w:val="single" w:sz="4" w:space="0" w:color="auto"/>
              <w:left w:val="nil"/>
              <w:bottom w:val="single" w:sz="4" w:space="0" w:color="auto"/>
              <w:right w:val="nil"/>
            </w:tcBorders>
            <w:shd w:val="clear" w:color="auto" w:fill="BFBFBF" w:themeFill="background1" w:themeFillShade="BF"/>
            <w:noWrap/>
            <w:vAlign w:val="center"/>
            <w:hideMark/>
          </w:tcPr>
          <w:p w14:paraId="6E78546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c>
          <w:tcPr>
            <w:tcW w:w="93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94B1E55"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w:t>
            </w:r>
          </w:p>
        </w:tc>
      </w:tr>
      <w:tr w:rsidR="005474AF" w:rsidRPr="004F0599" w14:paraId="1291879D"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6EF5DD43"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Produkt</w:t>
            </w:r>
          </w:p>
        </w:tc>
        <w:tc>
          <w:tcPr>
            <w:tcW w:w="970" w:type="dxa"/>
            <w:tcBorders>
              <w:top w:val="single" w:sz="4" w:space="0" w:color="auto"/>
              <w:left w:val="nil"/>
              <w:bottom w:val="single" w:sz="4" w:space="0" w:color="auto"/>
              <w:right w:val="single" w:sz="4" w:space="0" w:color="auto"/>
            </w:tcBorders>
            <w:noWrap/>
            <w:vAlign w:val="center"/>
            <w:hideMark/>
          </w:tcPr>
          <w:p w14:paraId="6936332C"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Jednotka</w:t>
            </w:r>
          </w:p>
        </w:tc>
        <w:tc>
          <w:tcPr>
            <w:tcW w:w="1793" w:type="dxa"/>
            <w:tcBorders>
              <w:top w:val="single" w:sz="4" w:space="0" w:color="auto"/>
              <w:left w:val="nil"/>
              <w:bottom w:val="single" w:sz="4" w:space="0" w:color="auto"/>
              <w:right w:val="single" w:sz="4" w:space="0" w:color="auto"/>
            </w:tcBorders>
            <w:noWrap/>
            <w:vAlign w:val="center"/>
            <w:hideMark/>
          </w:tcPr>
          <w:p w14:paraId="5F56051C"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Merná jednotka</w:t>
            </w:r>
          </w:p>
        </w:tc>
        <w:tc>
          <w:tcPr>
            <w:tcW w:w="932" w:type="dxa"/>
            <w:tcBorders>
              <w:top w:val="single" w:sz="4" w:space="0" w:color="auto"/>
              <w:left w:val="nil"/>
              <w:bottom w:val="single" w:sz="4" w:space="0" w:color="auto"/>
              <w:right w:val="single" w:sz="4" w:space="0" w:color="auto"/>
            </w:tcBorders>
            <w:noWrap/>
            <w:vAlign w:val="center"/>
            <w:hideMark/>
          </w:tcPr>
          <w:p w14:paraId="020EF31E" w14:textId="77777777" w:rsidR="005474AF" w:rsidRPr="004F0599" w:rsidRDefault="005474AF" w:rsidP="002B7395">
            <w:pPr>
              <w:widowControl/>
              <w:autoSpaceDE/>
              <w:autoSpaceDN/>
              <w:rPr>
                <w:rFonts w:eastAsia="Times New Roman"/>
                <w:b/>
                <w:bCs/>
                <w:color w:val="000000"/>
                <w:sz w:val="18"/>
                <w:szCs w:val="20"/>
                <w:lang w:val="sk-SK" w:eastAsia="sk-SK"/>
              </w:rPr>
            </w:pPr>
            <w:r w:rsidRPr="004F0599">
              <w:rPr>
                <w:rFonts w:eastAsia="Times New Roman"/>
                <w:b/>
                <w:bCs/>
                <w:color w:val="000000"/>
                <w:sz w:val="18"/>
                <w:szCs w:val="20"/>
                <w:lang w:val="sk-SK" w:eastAsia="sk-SK"/>
              </w:rPr>
              <w:t>Celkom</w:t>
            </w:r>
          </w:p>
        </w:tc>
      </w:tr>
      <w:tr w:rsidR="005474AF" w:rsidRPr="004F0599" w14:paraId="4F627D2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40C50F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ERP Application Professional User</w:t>
            </w:r>
          </w:p>
        </w:tc>
        <w:tc>
          <w:tcPr>
            <w:tcW w:w="970" w:type="dxa"/>
            <w:tcBorders>
              <w:top w:val="single" w:sz="4" w:space="0" w:color="auto"/>
              <w:left w:val="nil"/>
              <w:bottom w:val="single" w:sz="4" w:space="0" w:color="auto"/>
              <w:right w:val="single" w:sz="4" w:space="0" w:color="auto"/>
            </w:tcBorders>
            <w:noWrap/>
            <w:vAlign w:val="center"/>
            <w:hideMark/>
          </w:tcPr>
          <w:p w14:paraId="178B677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5A0D997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56C49A5B"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365</w:t>
            </w:r>
          </w:p>
        </w:tc>
      </w:tr>
      <w:tr w:rsidR="005474AF" w:rsidRPr="004F0599" w14:paraId="2727303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06766A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ERP Application Limited Professional User</w:t>
            </w:r>
          </w:p>
        </w:tc>
        <w:tc>
          <w:tcPr>
            <w:tcW w:w="970" w:type="dxa"/>
            <w:tcBorders>
              <w:top w:val="single" w:sz="4" w:space="0" w:color="auto"/>
              <w:left w:val="nil"/>
              <w:bottom w:val="single" w:sz="4" w:space="0" w:color="auto"/>
              <w:right w:val="single" w:sz="4" w:space="0" w:color="auto"/>
            </w:tcBorders>
            <w:noWrap/>
            <w:vAlign w:val="center"/>
            <w:hideMark/>
          </w:tcPr>
          <w:p w14:paraId="69DA04A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BF29C9E"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556F3A94" w14:textId="33541624" w:rsidR="005474AF" w:rsidRPr="004F0599" w:rsidRDefault="009066B5" w:rsidP="002B7395">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r w:rsidR="005474AF" w:rsidRPr="004F0599">
              <w:rPr>
                <w:rFonts w:eastAsia="Times New Roman"/>
                <w:color w:val="000000"/>
                <w:sz w:val="18"/>
                <w:szCs w:val="20"/>
                <w:lang w:val="sk-SK" w:eastAsia="sk-SK"/>
              </w:rPr>
              <w:t>50</w:t>
            </w:r>
          </w:p>
        </w:tc>
      </w:tr>
      <w:tr w:rsidR="005474AF" w:rsidRPr="004F0599" w14:paraId="7E596B3E"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57239E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ERP Application Developer User</w:t>
            </w:r>
          </w:p>
        </w:tc>
        <w:tc>
          <w:tcPr>
            <w:tcW w:w="970" w:type="dxa"/>
            <w:tcBorders>
              <w:top w:val="single" w:sz="4" w:space="0" w:color="auto"/>
              <w:left w:val="nil"/>
              <w:bottom w:val="single" w:sz="4" w:space="0" w:color="auto"/>
              <w:right w:val="single" w:sz="4" w:space="0" w:color="auto"/>
            </w:tcBorders>
            <w:noWrap/>
            <w:vAlign w:val="center"/>
            <w:hideMark/>
          </w:tcPr>
          <w:p w14:paraId="2A25018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68B970D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user</w:t>
            </w:r>
          </w:p>
        </w:tc>
        <w:tc>
          <w:tcPr>
            <w:tcW w:w="932" w:type="dxa"/>
            <w:tcBorders>
              <w:top w:val="single" w:sz="4" w:space="0" w:color="auto"/>
              <w:left w:val="nil"/>
              <w:bottom w:val="single" w:sz="4" w:space="0" w:color="auto"/>
              <w:right w:val="single" w:sz="4" w:space="0" w:color="auto"/>
            </w:tcBorders>
            <w:noWrap/>
            <w:vAlign w:val="center"/>
            <w:hideMark/>
          </w:tcPr>
          <w:p w14:paraId="2D2BA4A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2</w:t>
            </w:r>
          </w:p>
        </w:tc>
      </w:tr>
      <w:tr w:rsidR="005474AF" w:rsidRPr="004F0599" w14:paraId="4BE23C8B"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7742707"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 XI Base Engine</w:t>
            </w:r>
          </w:p>
        </w:tc>
        <w:tc>
          <w:tcPr>
            <w:tcW w:w="970" w:type="dxa"/>
            <w:tcBorders>
              <w:top w:val="single" w:sz="4" w:space="0" w:color="auto"/>
              <w:left w:val="nil"/>
              <w:bottom w:val="single" w:sz="4" w:space="0" w:color="auto"/>
              <w:right w:val="single" w:sz="4" w:space="0" w:color="auto"/>
            </w:tcBorders>
            <w:noWrap/>
            <w:vAlign w:val="center"/>
            <w:hideMark/>
          </w:tcPr>
          <w:p w14:paraId="4E0A1AF9"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74B99DB8"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GB/Month</w:t>
            </w:r>
          </w:p>
        </w:tc>
        <w:tc>
          <w:tcPr>
            <w:tcW w:w="932" w:type="dxa"/>
            <w:tcBorders>
              <w:top w:val="single" w:sz="4" w:space="0" w:color="auto"/>
              <w:left w:val="nil"/>
              <w:bottom w:val="single" w:sz="4" w:space="0" w:color="auto"/>
              <w:right w:val="single" w:sz="4" w:space="0" w:color="auto"/>
            </w:tcBorders>
            <w:noWrap/>
            <w:vAlign w:val="center"/>
            <w:hideMark/>
          </w:tcPr>
          <w:p w14:paraId="0FE47ED4"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w:t>
            </w:r>
          </w:p>
        </w:tc>
      </w:tr>
      <w:tr w:rsidR="005474AF" w:rsidRPr="004F0599" w14:paraId="60F58C15"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1397CCF"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ERP Payroll Processing</w:t>
            </w:r>
          </w:p>
        </w:tc>
        <w:tc>
          <w:tcPr>
            <w:tcW w:w="970" w:type="dxa"/>
            <w:tcBorders>
              <w:top w:val="single" w:sz="4" w:space="0" w:color="auto"/>
              <w:left w:val="nil"/>
              <w:bottom w:val="single" w:sz="4" w:space="0" w:color="auto"/>
              <w:right w:val="single" w:sz="4" w:space="0" w:color="auto"/>
            </w:tcBorders>
            <w:noWrap/>
            <w:vAlign w:val="center"/>
            <w:hideMark/>
          </w:tcPr>
          <w:p w14:paraId="5575E2A5"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500</w:t>
            </w:r>
          </w:p>
        </w:tc>
        <w:tc>
          <w:tcPr>
            <w:tcW w:w="1793" w:type="dxa"/>
            <w:tcBorders>
              <w:top w:val="single" w:sz="4" w:space="0" w:color="auto"/>
              <w:left w:val="nil"/>
              <w:bottom w:val="single" w:sz="4" w:space="0" w:color="auto"/>
              <w:right w:val="single" w:sz="4" w:space="0" w:color="auto"/>
            </w:tcBorders>
            <w:noWrap/>
            <w:vAlign w:val="center"/>
            <w:hideMark/>
          </w:tcPr>
          <w:p w14:paraId="2684BECB"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Master records</w:t>
            </w:r>
          </w:p>
        </w:tc>
        <w:tc>
          <w:tcPr>
            <w:tcW w:w="932" w:type="dxa"/>
            <w:tcBorders>
              <w:top w:val="single" w:sz="4" w:space="0" w:color="auto"/>
              <w:left w:val="nil"/>
              <w:bottom w:val="single" w:sz="4" w:space="0" w:color="auto"/>
              <w:right w:val="single" w:sz="4" w:space="0" w:color="auto"/>
            </w:tcBorders>
            <w:noWrap/>
            <w:vAlign w:val="center"/>
            <w:hideMark/>
          </w:tcPr>
          <w:p w14:paraId="4D9825F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13</w:t>
            </w:r>
          </w:p>
        </w:tc>
      </w:tr>
      <w:tr w:rsidR="005474AF" w:rsidRPr="004F0599" w14:paraId="6F597C5B"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70BFE89"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NetWeaver</w:t>
            </w:r>
          </w:p>
        </w:tc>
        <w:tc>
          <w:tcPr>
            <w:tcW w:w="970" w:type="dxa"/>
            <w:tcBorders>
              <w:top w:val="single" w:sz="4" w:space="0" w:color="auto"/>
              <w:left w:val="nil"/>
              <w:bottom w:val="single" w:sz="4" w:space="0" w:color="auto"/>
              <w:right w:val="single" w:sz="4" w:space="0" w:color="auto"/>
            </w:tcBorders>
            <w:noWrap/>
            <w:vAlign w:val="center"/>
            <w:hideMark/>
          </w:tcPr>
          <w:p w14:paraId="32309FBE"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E6D0AED"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CPU</w:t>
            </w:r>
          </w:p>
        </w:tc>
        <w:tc>
          <w:tcPr>
            <w:tcW w:w="932" w:type="dxa"/>
            <w:tcBorders>
              <w:top w:val="single" w:sz="4" w:space="0" w:color="auto"/>
              <w:left w:val="nil"/>
              <w:bottom w:val="single" w:sz="4" w:space="0" w:color="auto"/>
              <w:right w:val="single" w:sz="4" w:space="0" w:color="auto"/>
            </w:tcBorders>
            <w:noWrap/>
            <w:vAlign w:val="center"/>
            <w:hideMark/>
          </w:tcPr>
          <w:p w14:paraId="0848E3D8"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10</w:t>
            </w:r>
          </w:p>
        </w:tc>
      </w:tr>
      <w:tr w:rsidR="005474AF" w:rsidRPr="004F0599" w14:paraId="3DCA2D2C"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57049350"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lastRenderedPageBreak/>
              <w:t>Oracle run time DB</w:t>
            </w:r>
          </w:p>
        </w:tc>
        <w:tc>
          <w:tcPr>
            <w:tcW w:w="970" w:type="dxa"/>
            <w:tcBorders>
              <w:top w:val="single" w:sz="4" w:space="0" w:color="auto"/>
              <w:left w:val="nil"/>
              <w:bottom w:val="single" w:sz="4" w:space="0" w:color="auto"/>
              <w:right w:val="single" w:sz="4" w:space="0" w:color="auto"/>
            </w:tcBorders>
            <w:noWrap/>
            <w:vAlign w:val="center"/>
            <w:hideMark/>
          </w:tcPr>
          <w:p w14:paraId="65943F66"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03511602"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SAP Application Value</w:t>
            </w:r>
          </w:p>
        </w:tc>
        <w:tc>
          <w:tcPr>
            <w:tcW w:w="932" w:type="dxa"/>
            <w:tcBorders>
              <w:top w:val="single" w:sz="4" w:space="0" w:color="auto"/>
              <w:left w:val="nil"/>
              <w:bottom w:val="single" w:sz="4" w:space="0" w:color="auto"/>
              <w:right w:val="single" w:sz="4" w:space="0" w:color="auto"/>
            </w:tcBorders>
            <w:noWrap/>
            <w:vAlign w:val="center"/>
            <w:hideMark/>
          </w:tcPr>
          <w:p w14:paraId="58C5F80F"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5474AF" w:rsidRPr="004F0599" w14:paraId="3CF3D4F1"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033B3AC"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SAP ERP Foundation Package (incl. 10 prof. users)</w:t>
            </w:r>
          </w:p>
        </w:tc>
        <w:tc>
          <w:tcPr>
            <w:tcW w:w="970" w:type="dxa"/>
            <w:tcBorders>
              <w:top w:val="single" w:sz="4" w:space="0" w:color="auto"/>
              <w:left w:val="nil"/>
              <w:bottom w:val="single" w:sz="4" w:space="0" w:color="auto"/>
              <w:right w:val="single" w:sz="4" w:space="0" w:color="auto"/>
            </w:tcBorders>
            <w:noWrap/>
            <w:vAlign w:val="center"/>
            <w:hideMark/>
          </w:tcPr>
          <w:p w14:paraId="2A809A4A"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hideMark/>
          </w:tcPr>
          <w:p w14:paraId="22ABC354" w14:textId="77777777" w:rsidR="005474AF" w:rsidRPr="004F0599" w:rsidRDefault="005474AF" w:rsidP="002B7395">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xml:space="preserve"> package</w:t>
            </w:r>
          </w:p>
        </w:tc>
        <w:tc>
          <w:tcPr>
            <w:tcW w:w="932" w:type="dxa"/>
            <w:tcBorders>
              <w:top w:val="single" w:sz="4" w:space="0" w:color="auto"/>
              <w:left w:val="nil"/>
              <w:bottom w:val="single" w:sz="4" w:space="0" w:color="auto"/>
              <w:right w:val="single" w:sz="4" w:space="0" w:color="auto"/>
            </w:tcBorders>
            <w:noWrap/>
            <w:vAlign w:val="center"/>
            <w:hideMark/>
          </w:tcPr>
          <w:p w14:paraId="32713B11" w14:textId="77777777" w:rsidR="005474AF" w:rsidRPr="004F0599" w:rsidRDefault="005474AF" w:rsidP="002B7395">
            <w:pPr>
              <w:widowControl/>
              <w:autoSpaceDE/>
              <w:autoSpaceDN/>
              <w:jc w:val="right"/>
              <w:rPr>
                <w:rFonts w:eastAsia="Times New Roman"/>
                <w:color w:val="000000"/>
                <w:sz w:val="18"/>
                <w:szCs w:val="20"/>
                <w:lang w:val="sk-SK" w:eastAsia="sk-SK"/>
              </w:rPr>
            </w:pPr>
            <w:r w:rsidRPr="004F0599">
              <w:rPr>
                <w:rFonts w:eastAsia="Times New Roman"/>
                <w:color w:val="000000"/>
                <w:sz w:val="18"/>
                <w:szCs w:val="20"/>
                <w:lang w:val="sk-SK" w:eastAsia="sk-SK"/>
              </w:rPr>
              <w:t>1</w:t>
            </w:r>
          </w:p>
        </w:tc>
      </w:tr>
      <w:tr w:rsidR="00FF7AAE" w:rsidRPr="004F0599" w14:paraId="39536F82" w14:textId="77777777" w:rsidTr="002B7395">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57337A09" w14:textId="68417BC3" w:rsidR="00FF7AAE" w:rsidRPr="004F0599" w:rsidRDefault="00FF7AAE" w:rsidP="00FF7AAE">
            <w:pPr>
              <w:widowControl/>
              <w:autoSpaceDE/>
              <w:autoSpaceDN/>
              <w:rPr>
                <w:rFonts w:eastAsia="Times New Roman"/>
                <w:color w:val="000000"/>
                <w:sz w:val="18"/>
                <w:szCs w:val="20"/>
                <w:lang w:val="sk-SK" w:eastAsia="sk-SK"/>
              </w:rPr>
            </w:pPr>
            <w:r w:rsidRPr="00FF7AAE">
              <w:rPr>
                <w:rFonts w:eastAsia="Times New Roman"/>
                <w:color w:val="000000"/>
                <w:sz w:val="18"/>
                <w:szCs w:val="20"/>
                <w:lang w:val="sk-SK" w:eastAsia="sk-SK"/>
              </w:rPr>
              <w:t>Oracle DB</w:t>
            </w:r>
          </w:p>
        </w:tc>
        <w:tc>
          <w:tcPr>
            <w:tcW w:w="970" w:type="dxa"/>
            <w:tcBorders>
              <w:top w:val="single" w:sz="4" w:space="0" w:color="auto"/>
              <w:left w:val="nil"/>
              <w:bottom w:val="single" w:sz="4" w:space="0" w:color="auto"/>
              <w:right w:val="single" w:sz="4" w:space="0" w:color="auto"/>
            </w:tcBorders>
            <w:noWrap/>
            <w:vAlign w:val="center"/>
          </w:tcPr>
          <w:p w14:paraId="6CDD8ED9" w14:textId="3335D1DD" w:rsidR="00FF7AAE" w:rsidRPr="004F0599" w:rsidRDefault="00FF7AAE" w:rsidP="00FF7AAE">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c>
          <w:tcPr>
            <w:tcW w:w="1793" w:type="dxa"/>
            <w:tcBorders>
              <w:top w:val="single" w:sz="4" w:space="0" w:color="auto"/>
              <w:left w:val="nil"/>
              <w:bottom w:val="single" w:sz="4" w:space="0" w:color="auto"/>
              <w:right w:val="single" w:sz="4" w:space="0" w:color="auto"/>
            </w:tcBorders>
            <w:noWrap/>
            <w:vAlign w:val="center"/>
          </w:tcPr>
          <w:p w14:paraId="0ABE0409" w14:textId="592AFEAE" w:rsidR="00FF7AAE" w:rsidRPr="004F0599" w:rsidRDefault="00FF7AAE" w:rsidP="00FF7AAE">
            <w:pPr>
              <w:widowControl/>
              <w:autoSpaceDE/>
              <w:autoSpaceDN/>
              <w:rPr>
                <w:rFonts w:eastAsia="Times New Roman"/>
                <w:color w:val="000000"/>
                <w:sz w:val="18"/>
                <w:szCs w:val="20"/>
                <w:lang w:val="sk-SK" w:eastAsia="sk-SK"/>
              </w:rPr>
            </w:pPr>
            <w:r w:rsidRPr="004F0599">
              <w:rPr>
                <w:rFonts w:eastAsia="Times New Roman"/>
                <w:color w:val="000000"/>
                <w:sz w:val="18"/>
                <w:szCs w:val="20"/>
                <w:lang w:val="sk-SK" w:eastAsia="sk-SK"/>
              </w:rPr>
              <w:t>% SAP Application Value</w:t>
            </w:r>
          </w:p>
        </w:tc>
        <w:tc>
          <w:tcPr>
            <w:tcW w:w="932" w:type="dxa"/>
            <w:tcBorders>
              <w:top w:val="single" w:sz="4" w:space="0" w:color="auto"/>
              <w:left w:val="nil"/>
              <w:bottom w:val="single" w:sz="4" w:space="0" w:color="auto"/>
              <w:right w:val="single" w:sz="4" w:space="0" w:color="auto"/>
            </w:tcBorders>
            <w:noWrap/>
            <w:vAlign w:val="center"/>
          </w:tcPr>
          <w:p w14:paraId="36AD81A5" w14:textId="617937C5" w:rsidR="00FF7AAE" w:rsidRPr="004F0599" w:rsidRDefault="00FF7AAE" w:rsidP="00FF7AAE">
            <w:pPr>
              <w:widowControl/>
              <w:autoSpaceDE/>
              <w:autoSpaceDN/>
              <w:jc w:val="right"/>
              <w:rPr>
                <w:rFonts w:eastAsia="Times New Roman"/>
                <w:color w:val="000000"/>
                <w:sz w:val="18"/>
                <w:szCs w:val="20"/>
                <w:lang w:val="sk-SK" w:eastAsia="sk-SK"/>
              </w:rPr>
            </w:pPr>
            <w:r>
              <w:rPr>
                <w:rFonts w:eastAsia="Times New Roman"/>
                <w:color w:val="000000"/>
                <w:sz w:val="18"/>
                <w:szCs w:val="20"/>
                <w:lang w:val="sk-SK" w:eastAsia="sk-SK"/>
              </w:rPr>
              <w:t>1</w:t>
            </w:r>
          </w:p>
        </w:tc>
      </w:tr>
    </w:tbl>
    <w:p w14:paraId="713CEC40" w14:textId="77777777" w:rsidR="005474AF" w:rsidRPr="00A972E5" w:rsidRDefault="005474AF" w:rsidP="005474AF">
      <w:pPr>
        <w:rPr>
          <w:lang w:val="sk-SK"/>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65"/>
        <w:gridCol w:w="3686"/>
      </w:tblGrid>
      <w:tr w:rsidR="005474AF" w:rsidRPr="00A972E5" w14:paraId="79F8FB97" w14:textId="77777777" w:rsidTr="002B7395">
        <w:trPr>
          <w:trHeight w:val="285"/>
        </w:trPr>
        <w:tc>
          <w:tcPr>
            <w:tcW w:w="5665" w:type="dxa"/>
            <w:noWrap/>
            <w:vAlign w:val="center"/>
            <w:hideMark/>
          </w:tcPr>
          <w:p w14:paraId="49405720" w14:textId="77777777" w:rsidR="005474AF" w:rsidRPr="00FF7AAE" w:rsidRDefault="005474AF" w:rsidP="002B7395">
            <w:pPr>
              <w:rPr>
                <w:b/>
                <w:bCs/>
                <w:color w:val="000000"/>
                <w:sz w:val="18"/>
                <w:szCs w:val="18"/>
                <w:lang w:val="sk-SK" w:eastAsia="sk-SK"/>
              </w:rPr>
            </w:pPr>
            <w:r w:rsidRPr="00FF7AAE">
              <w:rPr>
                <w:b/>
                <w:bCs/>
                <w:color w:val="000000"/>
                <w:sz w:val="18"/>
                <w:szCs w:val="18"/>
                <w:lang w:val="sk-SK" w:eastAsia="sk-SK"/>
              </w:rPr>
              <w:t>Oprávnený subjekt</w:t>
            </w:r>
          </w:p>
        </w:tc>
        <w:tc>
          <w:tcPr>
            <w:tcW w:w="3686" w:type="dxa"/>
            <w:vAlign w:val="center"/>
            <w:hideMark/>
          </w:tcPr>
          <w:p w14:paraId="445B347A" w14:textId="77777777" w:rsidR="005474AF" w:rsidRPr="00FF7AAE" w:rsidRDefault="005474AF" w:rsidP="002B7395">
            <w:pPr>
              <w:jc w:val="center"/>
              <w:rPr>
                <w:b/>
                <w:bCs/>
                <w:color w:val="000000"/>
                <w:sz w:val="18"/>
                <w:szCs w:val="18"/>
                <w:lang w:val="sk-SK" w:eastAsia="sk-SK"/>
              </w:rPr>
            </w:pPr>
            <w:r w:rsidRPr="00FF7AAE">
              <w:rPr>
                <w:b/>
                <w:bCs/>
                <w:color w:val="000000"/>
                <w:sz w:val="18"/>
                <w:szCs w:val="18"/>
                <w:lang w:val="sk-SK" w:eastAsia="sk-SK"/>
              </w:rPr>
              <w:t>Nákupná hodnota licencie v € bez DPH / maintenance base</w:t>
            </w:r>
          </w:p>
        </w:tc>
      </w:tr>
      <w:tr w:rsidR="005474AF" w:rsidRPr="00A972E5" w14:paraId="73A015AE" w14:textId="77777777" w:rsidTr="002B7395">
        <w:trPr>
          <w:trHeight w:val="300"/>
        </w:trPr>
        <w:tc>
          <w:tcPr>
            <w:tcW w:w="5665" w:type="dxa"/>
            <w:noWrap/>
            <w:vAlign w:val="bottom"/>
            <w:hideMark/>
          </w:tcPr>
          <w:p w14:paraId="5FD8D6CD" w14:textId="77777777" w:rsidR="005474AF" w:rsidRPr="00FF7AAE" w:rsidRDefault="005474AF" w:rsidP="002B7395">
            <w:pPr>
              <w:rPr>
                <w:sz w:val="18"/>
                <w:szCs w:val="18"/>
                <w:lang w:val="sk-SK"/>
              </w:rPr>
            </w:pPr>
            <w:r w:rsidRPr="00FF7AAE">
              <w:rPr>
                <w:sz w:val="18"/>
                <w:szCs w:val="18"/>
                <w:lang w:val="sk-SK"/>
              </w:rPr>
              <w:t>Ministerstvo financií SR</w:t>
            </w:r>
          </w:p>
        </w:tc>
        <w:tc>
          <w:tcPr>
            <w:tcW w:w="3686" w:type="dxa"/>
            <w:shd w:val="clear" w:color="000000" w:fill="auto"/>
            <w:noWrap/>
            <w:vAlign w:val="bottom"/>
            <w:hideMark/>
          </w:tcPr>
          <w:p w14:paraId="1CB5558F" w14:textId="408AB803" w:rsidR="005474AF" w:rsidRPr="00FF7AAE" w:rsidRDefault="00FF7AAE" w:rsidP="002B7395">
            <w:pPr>
              <w:jc w:val="right"/>
              <w:rPr>
                <w:sz w:val="18"/>
                <w:szCs w:val="18"/>
                <w:lang w:val="sk-SK"/>
              </w:rPr>
            </w:pPr>
            <w:r w:rsidRPr="00FF7AAE">
              <w:rPr>
                <w:sz w:val="18"/>
                <w:szCs w:val="18"/>
                <w:lang w:val="sk-SK"/>
              </w:rPr>
              <w:t>37 257 991,04</w:t>
            </w:r>
            <w:r w:rsidR="005474AF" w:rsidRPr="00FF7AAE">
              <w:rPr>
                <w:sz w:val="18"/>
                <w:szCs w:val="18"/>
                <w:lang w:val="sk-SK"/>
              </w:rPr>
              <w:t xml:space="preserve"> </w:t>
            </w:r>
          </w:p>
        </w:tc>
      </w:tr>
      <w:tr w:rsidR="005474AF" w:rsidRPr="00A972E5" w14:paraId="05A8D3B7" w14:textId="77777777" w:rsidTr="002B7395">
        <w:trPr>
          <w:trHeight w:val="300"/>
        </w:trPr>
        <w:tc>
          <w:tcPr>
            <w:tcW w:w="5665" w:type="dxa"/>
            <w:noWrap/>
            <w:vAlign w:val="bottom"/>
            <w:hideMark/>
          </w:tcPr>
          <w:p w14:paraId="5F6CA008" w14:textId="77777777" w:rsidR="005474AF" w:rsidRPr="00FF7AAE" w:rsidRDefault="005474AF" w:rsidP="002B7395">
            <w:pPr>
              <w:rPr>
                <w:sz w:val="18"/>
                <w:szCs w:val="18"/>
                <w:lang w:val="sk-SK"/>
              </w:rPr>
            </w:pPr>
            <w:r w:rsidRPr="00FF7AAE">
              <w:rPr>
                <w:sz w:val="18"/>
                <w:szCs w:val="18"/>
                <w:lang w:val="sk-SK"/>
              </w:rPr>
              <w:t>Ministerstvo vnútra SR</w:t>
            </w:r>
          </w:p>
        </w:tc>
        <w:tc>
          <w:tcPr>
            <w:tcW w:w="3686" w:type="dxa"/>
            <w:shd w:val="clear" w:color="000000" w:fill="auto"/>
            <w:noWrap/>
            <w:vAlign w:val="bottom"/>
            <w:hideMark/>
          </w:tcPr>
          <w:p w14:paraId="65443B6E" w14:textId="77777777" w:rsidR="005474AF" w:rsidRPr="00FF7AAE" w:rsidRDefault="005474AF" w:rsidP="002B7395">
            <w:pPr>
              <w:jc w:val="right"/>
              <w:rPr>
                <w:sz w:val="18"/>
                <w:szCs w:val="18"/>
                <w:lang w:val="sk-SK"/>
              </w:rPr>
            </w:pPr>
            <w:r w:rsidRPr="00FF7AAE">
              <w:rPr>
                <w:sz w:val="18"/>
                <w:szCs w:val="18"/>
                <w:lang w:val="sk-SK"/>
              </w:rPr>
              <w:t xml:space="preserve">       8 565 815,31 </w:t>
            </w:r>
          </w:p>
        </w:tc>
      </w:tr>
      <w:tr w:rsidR="005474AF" w:rsidRPr="00A972E5" w14:paraId="2D8293F5" w14:textId="77777777" w:rsidTr="002B7395">
        <w:trPr>
          <w:trHeight w:val="300"/>
        </w:trPr>
        <w:tc>
          <w:tcPr>
            <w:tcW w:w="5665" w:type="dxa"/>
            <w:noWrap/>
            <w:vAlign w:val="bottom"/>
            <w:hideMark/>
          </w:tcPr>
          <w:p w14:paraId="38CEC469" w14:textId="77777777" w:rsidR="005474AF" w:rsidRPr="00FF7AAE" w:rsidRDefault="005474AF" w:rsidP="002B7395">
            <w:pPr>
              <w:rPr>
                <w:sz w:val="18"/>
                <w:szCs w:val="18"/>
                <w:lang w:val="sk-SK"/>
              </w:rPr>
            </w:pPr>
            <w:r w:rsidRPr="00FF7AAE">
              <w:rPr>
                <w:rFonts w:eastAsia="Times New Roman"/>
                <w:color w:val="000000"/>
                <w:sz w:val="18"/>
                <w:szCs w:val="20"/>
                <w:lang w:val="sk-SK" w:eastAsia="sk-SK"/>
              </w:rPr>
              <w:t>Ministerstvo školstva, vedy, výskumu a športu SR</w:t>
            </w:r>
          </w:p>
        </w:tc>
        <w:tc>
          <w:tcPr>
            <w:tcW w:w="3686" w:type="dxa"/>
            <w:shd w:val="clear" w:color="000000" w:fill="auto"/>
            <w:noWrap/>
            <w:vAlign w:val="bottom"/>
            <w:hideMark/>
          </w:tcPr>
          <w:p w14:paraId="6F51BB12" w14:textId="6ADFEFD3" w:rsidR="005474AF" w:rsidRPr="00FF7AAE" w:rsidRDefault="005474AF" w:rsidP="002B7395">
            <w:pPr>
              <w:jc w:val="right"/>
              <w:rPr>
                <w:sz w:val="18"/>
                <w:szCs w:val="18"/>
                <w:lang w:val="sk-SK"/>
              </w:rPr>
            </w:pPr>
            <w:r w:rsidRPr="00FF7AAE">
              <w:rPr>
                <w:sz w:val="18"/>
                <w:szCs w:val="18"/>
                <w:lang w:val="sk-SK"/>
              </w:rPr>
              <w:t xml:space="preserve">       2 6</w:t>
            </w:r>
            <w:r w:rsidR="00FF7AAE" w:rsidRPr="00FF7AAE">
              <w:rPr>
                <w:sz w:val="18"/>
                <w:szCs w:val="18"/>
                <w:lang w:val="sk-SK"/>
              </w:rPr>
              <w:t>61</w:t>
            </w:r>
            <w:r w:rsidRPr="00FF7AAE">
              <w:rPr>
                <w:sz w:val="18"/>
                <w:szCs w:val="18"/>
                <w:lang w:val="sk-SK"/>
              </w:rPr>
              <w:t xml:space="preserve"> </w:t>
            </w:r>
            <w:r w:rsidR="00FF7AAE" w:rsidRPr="00FF7AAE">
              <w:rPr>
                <w:sz w:val="18"/>
                <w:szCs w:val="18"/>
                <w:lang w:val="sk-SK"/>
              </w:rPr>
              <w:t>039</w:t>
            </w:r>
            <w:r w:rsidRPr="00FF7AAE">
              <w:rPr>
                <w:sz w:val="18"/>
                <w:szCs w:val="18"/>
                <w:lang w:val="sk-SK"/>
              </w:rPr>
              <w:t xml:space="preserve">,93 </w:t>
            </w:r>
          </w:p>
        </w:tc>
      </w:tr>
      <w:tr w:rsidR="005474AF" w:rsidRPr="00A972E5" w14:paraId="0F1D98E5" w14:textId="77777777" w:rsidTr="002B7395">
        <w:trPr>
          <w:trHeight w:val="300"/>
        </w:trPr>
        <w:tc>
          <w:tcPr>
            <w:tcW w:w="5665" w:type="dxa"/>
            <w:noWrap/>
            <w:vAlign w:val="bottom"/>
            <w:hideMark/>
          </w:tcPr>
          <w:p w14:paraId="0572DF92" w14:textId="77777777" w:rsidR="005474AF" w:rsidRPr="00FF7AAE" w:rsidRDefault="005474AF" w:rsidP="002B7395">
            <w:pPr>
              <w:rPr>
                <w:sz w:val="18"/>
                <w:szCs w:val="18"/>
                <w:lang w:val="sk-SK"/>
              </w:rPr>
            </w:pPr>
            <w:r w:rsidRPr="00FF7AAE">
              <w:rPr>
                <w:sz w:val="18"/>
                <w:szCs w:val="18"/>
                <w:lang w:val="sk-SK"/>
              </w:rPr>
              <w:t>Ministerstvo obrany SR</w:t>
            </w:r>
          </w:p>
        </w:tc>
        <w:tc>
          <w:tcPr>
            <w:tcW w:w="3686" w:type="dxa"/>
            <w:shd w:val="clear" w:color="000000" w:fill="auto"/>
            <w:noWrap/>
            <w:vAlign w:val="bottom"/>
            <w:hideMark/>
          </w:tcPr>
          <w:p w14:paraId="22F7950B" w14:textId="77777777" w:rsidR="005474AF" w:rsidRPr="00FF7AAE" w:rsidRDefault="005474AF" w:rsidP="002B7395">
            <w:pPr>
              <w:jc w:val="right"/>
              <w:rPr>
                <w:sz w:val="18"/>
                <w:szCs w:val="18"/>
                <w:lang w:val="sk-SK"/>
              </w:rPr>
            </w:pPr>
            <w:r w:rsidRPr="00FF7AAE">
              <w:rPr>
                <w:sz w:val="18"/>
                <w:szCs w:val="18"/>
                <w:lang w:val="sk-SK"/>
              </w:rPr>
              <w:t xml:space="preserve">       7 308 673,31 </w:t>
            </w:r>
          </w:p>
        </w:tc>
      </w:tr>
      <w:tr w:rsidR="005474AF" w:rsidRPr="00A972E5" w14:paraId="02315A5E" w14:textId="77777777" w:rsidTr="002B7395">
        <w:trPr>
          <w:trHeight w:val="300"/>
        </w:trPr>
        <w:tc>
          <w:tcPr>
            <w:tcW w:w="5665" w:type="dxa"/>
            <w:noWrap/>
            <w:vAlign w:val="bottom"/>
            <w:hideMark/>
          </w:tcPr>
          <w:p w14:paraId="7D7F511F" w14:textId="77777777" w:rsidR="005474AF" w:rsidRPr="00FF7AAE" w:rsidRDefault="005474AF" w:rsidP="002B7395">
            <w:pPr>
              <w:rPr>
                <w:sz w:val="18"/>
                <w:szCs w:val="18"/>
                <w:lang w:val="sk-SK"/>
              </w:rPr>
            </w:pPr>
            <w:r w:rsidRPr="00FF7AAE">
              <w:rPr>
                <w:sz w:val="18"/>
                <w:szCs w:val="18"/>
                <w:lang w:val="sk-SK"/>
              </w:rPr>
              <w:t>Všeobecná zdravotná poisťovňa, a. s.</w:t>
            </w:r>
          </w:p>
        </w:tc>
        <w:tc>
          <w:tcPr>
            <w:tcW w:w="3686" w:type="dxa"/>
            <w:shd w:val="clear" w:color="000000" w:fill="auto"/>
            <w:noWrap/>
            <w:vAlign w:val="bottom"/>
            <w:hideMark/>
          </w:tcPr>
          <w:p w14:paraId="1857FA7D" w14:textId="1BADCFD7" w:rsidR="005474AF" w:rsidRPr="00FF7AAE" w:rsidRDefault="005474AF" w:rsidP="002B7395">
            <w:pPr>
              <w:jc w:val="right"/>
              <w:rPr>
                <w:sz w:val="18"/>
                <w:szCs w:val="18"/>
                <w:lang w:val="sk-SK"/>
              </w:rPr>
            </w:pPr>
            <w:r w:rsidRPr="00FF7AAE">
              <w:rPr>
                <w:sz w:val="18"/>
                <w:szCs w:val="18"/>
                <w:lang w:val="sk-SK"/>
              </w:rPr>
              <w:t xml:space="preserve">          7</w:t>
            </w:r>
            <w:r w:rsidR="00FF7AAE" w:rsidRPr="00FF7AAE">
              <w:rPr>
                <w:sz w:val="18"/>
                <w:szCs w:val="18"/>
                <w:lang w:val="sk-SK"/>
              </w:rPr>
              <w:t>48</w:t>
            </w:r>
            <w:r w:rsidRPr="00FF7AAE">
              <w:rPr>
                <w:sz w:val="18"/>
                <w:szCs w:val="18"/>
                <w:lang w:val="sk-SK"/>
              </w:rPr>
              <w:t xml:space="preserve"> 700,00 </w:t>
            </w:r>
          </w:p>
        </w:tc>
      </w:tr>
      <w:tr w:rsidR="005474AF" w:rsidRPr="00A972E5" w14:paraId="6D5D312D" w14:textId="77777777" w:rsidTr="002B7395">
        <w:trPr>
          <w:trHeight w:val="300"/>
        </w:trPr>
        <w:tc>
          <w:tcPr>
            <w:tcW w:w="5665" w:type="dxa"/>
            <w:noWrap/>
            <w:vAlign w:val="bottom"/>
            <w:hideMark/>
          </w:tcPr>
          <w:p w14:paraId="62961EC7" w14:textId="77777777" w:rsidR="005474AF" w:rsidRPr="00FF7AAE" w:rsidRDefault="005474AF" w:rsidP="002B7395">
            <w:pPr>
              <w:rPr>
                <w:sz w:val="18"/>
                <w:szCs w:val="18"/>
                <w:lang w:val="sk-SK"/>
              </w:rPr>
            </w:pPr>
            <w:r w:rsidRPr="00FF7AAE">
              <w:rPr>
                <w:rFonts w:eastAsia="Times New Roman"/>
                <w:color w:val="000000"/>
                <w:sz w:val="18"/>
                <w:szCs w:val="20"/>
                <w:lang w:val="sk-SK" w:eastAsia="sk-SK"/>
              </w:rPr>
              <w:t>Národná diaľničná spoločnosť a. s.</w:t>
            </w:r>
          </w:p>
        </w:tc>
        <w:tc>
          <w:tcPr>
            <w:tcW w:w="3686" w:type="dxa"/>
            <w:shd w:val="clear" w:color="000000" w:fill="auto"/>
            <w:noWrap/>
            <w:vAlign w:val="bottom"/>
            <w:hideMark/>
          </w:tcPr>
          <w:p w14:paraId="342793C8" w14:textId="306E8F13" w:rsidR="005474AF" w:rsidRPr="00FF7AAE" w:rsidRDefault="00FF7AAE" w:rsidP="002B7395">
            <w:pPr>
              <w:jc w:val="right"/>
              <w:rPr>
                <w:sz w:val="18"/>
                <w:szCs w:val="18"/>
                <w:lang w:val="sk-SK"/>
              </w:rPr>
            </w:pPr>
            <w:r w:rsidRPr="00FF7AAE">
              <w:rPr>
                <w:sz w:val="18"/>
                <w:szCs w:val="18"/>
                <w:lang w:val="sk-SK"/>
              </w:rPr>
              <w:t>804</w:t>
            </w:r>
            <w:r w:rsidR="005474AF" w:rsidRPr="00FF7AAE">
              <w:rPr>
                <w:sz w:val="18"/>
                <w:szCs w:val="18"/>
                <w:lang w:val="sk-SK"/>
              </w:rPr>
              <w:t xml:space="preserve"> </w:t>
            </w:r>
            <w:r w:rsidRPr="00FF7AAE">
              <w:rPr>
                <w:sz w:val="18"/>
                <w:szCs w:val="18"/>
                <w:lang w:val="sk-SK"/>
              </w:rPr>
              <w:t>4</w:t>
            </w:r>
            <w:r w:rsidR="005474AF" w:rsidRPr="00FF7AAE">
              <w:rPr>
                <w:sz w:val="18"/>
                <w:szCs w:val="18"/>
                <w:lang w:val="sk-SK"/>
              </w:rPr>
              <w:t>00,00</w:t>
            </w:r>
          </w:p>
        </w:tc>
      </w:tr>
      <w:tr w:rsidR="005474AF" w:rsidRPr="00A972E5" w14:paraId="3783AC72" w14:textId="77777777" w:rsidTr="002B7395">
        <w:trPr>
          <w:trHeight w:val="300"/>
        </w:trPr>
        <w:tc>
          <w:tcPr>
            <w:tcW w:w="5665" w:type="dxa"/>
            <w:noWrap/>
            <w:vAlign w:val="bottom"/>
            <w:hideMark/>
          </w:tcPr>
          <w:p w14:paraId="2B347D2A" w14:textId="77777777" w:rsidR="005474AF" w:rsidRPr="00FF7AAE" w:rsidRDefault="005474AF" w:rsidP="002B7395">
            <w:pPr>
              <w:rPr>
                <w:sz w:val="18"/>
                <w:szCs w:val="18"/>
                <w:lang w:val="sk-SK"/>
              </w:rPr>
            </w:pPr>
            <w:r w:rsidRPr="00FF7AAE">
              <w:rPr>
                <w:sz w:val="18"/>
                <w:szCs w:val="18"/>
                <w:lang w:val="sk-SK"/>
              </w:rPr>
              <w:t>Sociálna poisťovňa</w:t>
            </w:r>
          </w:p>
        </w:tc>
        <w:tc>
          <w:tcPr>
            <w:tcW w:w="3686" w:type="dxa"/>
            <w:shd w:val="clear" w:color="000000" w:fill="auto"/>
            <w:noWrap/>
            <w:vAlign w:val="bottom"/>
            <w:hideMark/>
          </w:tcPr>
          <w:p w14:paraId="17B28ACE" w14:textId="611AFD60" w:rsidR="005474AF" w:rsidRPr="00FF7AAE" w:rsidRDefault="005474AF" w:rsidP="002B7395">
            <w:pPr>
              <w:jc w:val="right"/>
              <w:rPr>
                <w:sz w:val="18"/>
                <w:szCs w:val="18"/>
                <w:lang w:val="sk-SK"/>
              </w:rPr>
            </w:pPr>
            <w:r w:rsidRPr="00FF7AAE">
              <w:rPr>
                <w:sz w:val="18"/>
                <w:szCs w:val="18"/>
                <w:lang w:val="sk-SK"/>
              </w:rPr>
              <w:t xml:space="preserve">1 </w:t>
            </w:r>
            <w:r w:rsidR="00FF7AAE" w:rsidRPr="00FF7AAE">
              <w:rPr>
                <w:sz w:val="18"/>
                <w:szCs w:val="18"/>
                <w:lang w:val="sk-SK"/>
              </w:rPr>
              <w:t>369</w:t>
            </w:r>
            <w:r w:rsidRPr="00FF7AAE">
              <w:rPr>
                <w:sz w:val="18"/>
                <w:szCs w:val="18"/>
                <w:lang w:val="sk-SK"/>
              </w:rPr>
              <w:t xml:space="preserve"> </w:t>
            </w:r>
            <w:r w:rsidR="00FF7AAE" w:rsidRPr="00FF7AAE">
              <w:rPr>
                <w:sz w:val="18"/>
                <w:szCs w:val="18"/>
                <w:lang w:val="sk-SK"/>
              </w:rPr>
              <w:t>266</w:t>
            </w:r>
            <w:r w:rsidRPr="00FF7AAE">
              <w:rPr>
                <w:sz w:val="18"/>
                <w:szCs w:val="18"/>
                <w:lang w:val="sk-SK"/>
              </w:rPr>
              <w:t>,50</w:t>
            </w:r>
          </w:p>
        </w:tc>
      </w:tr>
      <w:tr w:rsidR="005474AF" w:rsidRPr="00FF7AAE" w14:paraId="54415BDF" w14:textId="77777777" w:rsidTr="002B7395">
        <w:trPr>
          <w:trHeight w:val="300"/>
        </w:trPr>
        <w:tc>
          <w:tcPr>
            <w:tcW w:w="5665" w:type="dxa"/>
            <w:noWrap/>
            <w:vAlign w:val="bottom"/>
          </w:tcPr>
          <w:p w14:paraId="517B6050" w14:textId="77777777" w:rsidR="005474AF" w:rsidRPr="00FF7AAE" w:rsidRDefault="005474AF" w:rsidP="002B7395">
            <w:pPr>
              <w:rPr>
                <w:b/>
                <w:sz w:val="18"/>
                <w:szCs w:val="18"/>
                <w:lang w:val="sk-SK"/>
              </w:rPr>
            </w:pPr>
            <w:r w:rsidRPr="00FF7AAE">
              <w:rPr>
                <w:b/>
                <w:sz w:val="18"/>
                <w:szCs w:val="18"/>
                <w:lang w:val="sk-SK"/>
              </w:rPr>
              <w:t>Spolu nákupná hodnota v € bez DPH</w:t>
            </w:r>
          </w:p>
        </w:tc>
        <w:tc>
          <w:tcPr>
            <w:tcW w:w="3686" w:type="dxa"/>
            <w:shd w:val="clear" w:color="000000" w:fill="auto"/>
            <w:noWrap/>
            <w:vAlign w:val="center"/>
          </w:tcPr>
          <w:p w14:paraId="052AC12C" w14:textId="0C25CE6A" w:rsidR="005474AF" w:rsidRPr="00FF7AAE" w:rsidRDefault="005474AF" w:rsidP="002B7395">
            <w:pPr>
              <w:jc w:val="right"/>
              <w:rPr>
                <w:b/>
                <w:sz w:val="18"/>
                <w:szCs w:val="18"/>
                <w:lang w:val="sk-SK"/>
              </w:rPr>
            </w:pPr>
            <w:r w:rsidRPr="00FF7AAE">
              <w:rPr>
                <w:b/>
                <w:color w:val="000000"/>
                <w:sz w:val="18"/>
                <w:szCs w:val="18"/>
                <w:lang w:val="sk-SK" w:eastAsia="sk-SK"/>
              </w:rPr>
              <w:t xml:space="preserve">  5</w:t>
            </w:r>
            <w:r w:rsidR="00FF7AAE">
              <w:rPr>
                <w:b/>
                <w:color w:val="000000"/>
                <w:sz w:val="18"/>
                <w:szCs w:val="18"/>
                <w:lang w:val="sk-SK" w:eastAsia="sk-SK"/>
              </w:rPr>
              <w:t>8</w:t>
            </w:r>
            <w:r w:rsidRPr="00FF7AAE">
              <w:rPr>
                <w:b/>
                <w:color w:val="000000"/>
                <w:sz w:val="18"/>
                <w:szCs w:val="18"/>
                <w:lang w:val="sk-SK" w:eastAsia="sk-SK"/>
              </w:rPr>
              <w:t xml:space="preserve"> </w:t>
            </w:r>
            <w:r w:rsidR="00FF7AAE">
              <w:rPr>
                <w:b/>
                <w:color w:val="000000"/>
                <w:sz w:val="18"/>
                <w:szCs w:val="18"/>
                <w:lang w:val="sk-SK" w:eastAsia="sk-SK"/>
              </w:rPr>
              <w:t>715</w:t>
            </w:r>
            <w:r w:rsidRPr="00FF7AAE">
              <w:rPr>
                <w:b/>
                <w:color w:val="000000"/>
                <w:sz w:val="18"/>
                <w:szCs w:val="18"/>
                <w:lang w:val="sk-SK" w:eastAsia="sk-SK"/>
              </w:rPr>
              <w:t xml:space="preserve"> </w:t>
            </w:r>
            <w:r w:rsidR="00FF7AAE">
              <w:rPr>
                <w:b/>
                <w:color w:val="000000"/>
                <w:sz w:val="18"/>
                <w:szCs w:val="18"/>
                <w:lang w:val="sk-SK" w:eastAsia="sk-SK"/>
              </w:rPr>
              <w:t>886</w:t>
            </w:r>
            <w:r w:rsidRPr="00FF7AAE">
              <w:rPr>
                <w:b/>
                <w:color w:val="000000"/>
                <w:sz w:val="18"/>
                <w:szCs w:val="18"/>
                <w:lang w:val="sk-SK" w:eastAsia="sk-SK"/>
              </w:rPr>
              <w:t>,</w:t>
            </w:r>
            <w:r w:rsidR="00FF7AAE">
              <w:rPr>
                <w:b/>
                <w:color w:val="000000"/>
                <w:sz w:val="18"/>
                <w:szCs w:val="18"/>
                <w:lang w:val="sk-SK" w:eastAsia="sk-SK"/>
              </w:rPr>
              <w:t>09</w:t>
            </w:r>
            <w:r w:rsidRPr="00FF7AAE">
              <w:rPr>
                <w:b/>
                <w:color w:val="000000"/>
                <w:sz w:val="18"/>
                <w:szCs w:val="18"/>
                <w:lang w:val="sk-SK" w:eastAsia="sk-SK"/>
              </w:rPr>
              <w:t xml:space="preserve">   </w:t>
            </w:r>
          </w:p>
        </w:tc>
      </w:tr>
    </w:tbl>
    <w:p w14:paraId="6A6E5E43" w14:textId="77777777" w:rsidR="005474AF" w:rsidRPr="00091C81" w:rsidRDefault="005474AF" w:rsidP="005474AF">
      <w:pPr>
        <w:rPr>
          <w:sz w:val="20"/>
          <w:szCs w:val="20"/>
          <w:lang w:val="sk-SK"/>
        </w:rPr>
      </w:pPr>
    </w:p>
    <w:p w14:paraId="272331E5" w14:textId="77777777" w:rsidR="005474AF" w:rsidRPr="00091C81" w:rsidRDefault="005474AF" w:rsidP="005474AF">
      <w:pPr>
        <w:jc w:val="both"/>
        <w:rPr>
          <w:bCs/>
          <w:sz w:val="20"/>
          <w:szCs w:val="20"/>
          <w:lang w:val="sk-SK"/>
        </w:rPr>
      </w:pPr>
    </w:p>
    <w:p w14:paraId="0C3DD3D8" w14:textId="1B304FD2" w:rsidR="005474AF" w:rsidRPr="00091C81" w:rsidRDefault="005474AF" w:rsidP="005474AF">
      <w:pPr>
        <w:pStyle w:val="Normlnywebov"/>
        <w:shd w:val="clear" w:color="auto" w:fill="FFFFFF"/>
        <w:spacing w:before="0" w:beforeAutospacing="0" w:after="160" w:afterAutospacing="0"/>
        <w:jc w:val="both"/>
        <w:rPr>
          <w:rFonts w:ascii="Arial" w:hAnsi="Arial" w:cs="Arial"/>
          <w:color w:val="000000"/>
          <w:sz w:val="20"/>
          <w:szCs w:val="20"/>
        </w:rPr>
      </w:pPr>
      <w:r w:rsidRPr="00091C81">
        <w:rPr>
          <w:rFonts w:ascii="Arial" w:hAnsi="Arial" w:cs="Arial"/>
          <w:color w:val="000000"/>
          <w:sz w:val="20"/>
          <w:szCs w:val="20"/>
        </w:rPr>
        <w:t xml:space="preserve">Predpokladaný </w:t>
      </w:r>
      <w:r w:rsidR="001F6374">
        <w:rPr>
          <w:rFonts w:ascii="Arial" w:hAnsi="Arial" w:cs="Arial"/>
          <w:color w:val="000000"/>
          <w:sz w:val="20"/>
          <w:szCs w:val="20"/>
        </w:rPr>
        <w:t xml:space="preserve">objem </w:t>
      </w:r>
      <w:r w:rsidRPr="00091C81">
        <w:rPr>
          <w:rFonts w:ascii="Arial" w:hAnsi="Arial" w:cs="Arial"/>
          <w:color w:val="000000"/>
          <w:sz w:val="20"/>
          <w:szCs w:val="20"/>
        </w:rPr>
        <w:t>nákup</w:t>
      </w:r>
      <w:r w:rsidR="001F6374">
        <w:rPr>
          <w:rFonts w:ascii="Arial" w:hAnsi="Arial" w:cs="Arial"/>
          <w:color w:val="000000"/>
          <w:sz w:val="20"/>
          <w:szCs w:val="20"/>
        </w:rPr>
        <w:t>u</w:t>
      </w:r>
      <w:r w:rsidRPr="00091C81">
        <w:rPr>
          <w:rFonts w:ascii="Arial" w:hAnsi="Arial" w:cs="Arial"/>
          <w:color w:val="000000"/>
          <w:sz w:val="20"/>
          <w:szCs w:val="20"/>
        </w:rPr>
        <w:t xml:space="preserve"> licencií vychádza predovšetkým z požiadaviek MF SR v podobe licenčného pokrytia v súčasnosti implementovaného centrálneho ekonomického informačného systému (ďalej len „</w:t>
      </w:r>
      <w:r w:rsidRPr="00091C81">
        <w:rPr>
          <w:rFonts w:ascii="Arial" w:hAnsi="Arial" w:cs="Arial"/>
          <w:b/>
          <w:bCs/>
          <w:color w:val="000000"/>
          <w:sz w:val="20"/>
          <w:szCs w:val="20"/>
        </w:rPr>
        <w:t>CES</w:t>
      </w:r>
      <w:r w:rsidRPr="00091C81">
        <w:rPr>
          <w:rFonts w:ascii="Arial" w:hAnsi="Arial" w:cs="Arial"/>
          <w:color w:val="000000"/>
          <w:sz w:val="20"/>
          <w:szCs w:val="20"/>
        </w:rPr>
        <w:t>“), v nadväznosti na jeho implementačné etapy v horizonte 202</w:t>
      </w:r>
      <w:r w:rsidR="00FF7AAE" w:rsidRPr="00091C81">
        <w:rPr>
          <w:rFonts w:ascii="Arial" w:hAnsi="Arial" w:cs="Arial"/>
          <w:color w:val="000000"/>
          <w:sz w:val="20"/>
          <w:szCs w:val="20"/>
        </w:rPr>
        <w:t>6</w:t>
      </w:r>
      <w:r w:rsidRPr="00091C81">
        <w:rPr>
          <w:rFonts w:ascii="Arial" w:hAnsi="Arial" w:cs="Arial"/>
          <w:color w:val="000000"/>
          <w:sz w:val="20"/>
          <w:szCs w:val="20"/>
        </w:rPr>
        <w:t xml:space="preserve"> – 20</w:t>
      </w:r>
      <w:r w:rsidR="00FF7AAE" w:rsidRPr="00091C81">
        <w:rPr>
          <w:rFonts w:ascii="Arial" w:hAnsi="Arial" w:cs="Arial"/>
          <w:color w:val="000000"/>
          <w:sz w:val="20"/>
          <w:szCs w:val="20"/>
        </w:rPr>
        <w:t>30</w:t>
      </w:r>
      <w:r w:rsidRPr="00091C81">
        <w:rPr>
          <w:rFonts w:ascii="Arial" w:hAnsi="Arial" w:cs="Arial"/>
          <w:color w:val="000000"/>
          <w:sz w:val="20"/>
          <w:szCs w:val="20"/>
        </w:rPr>
        <w:t>. Realizácia tohto kľúčového projektu by mala vytvoriť priestor na transformáciu ekonomických činností štátu na servisne poskytované služby.</w:t>
      </w:r>
      <w:r w:rsidRPr="00091C81">
        <w:rPr>
          <w:rFonts w:ascii="Arial" w:hAnsi="Arial" w:cs="Arial"/>
          <w:color w:val="252525"/>
          <w:sz w:val="20"/>
          <w:szCs w:val="20"/>
        </w:rPr>
        <w:t xml:space="preserve"> </w:t>
      </w:r>
      <w:r w:rsidRPr="00091C81">
        <w:rPr>
          <w:rFonts w:ascii="Arial" w:hAnsi="Arial" w:cs="Arial"/>
          <w:color w:val="000000"/>
          <w:sz w:val="20"/>
          <w:szCs w:val="20"/>
        </w:rPr>
        <w:t xml:space="preserve">CES </w:t>
      </w:r>
      <w:r w:rsidR="00FF7AAE" w:rsidRPr="00091C81">
        <w:rPr>
          <w:rFonts w:ascii="Arial" w:hAnsi="Arial" w:cs="Arial"/>
          <w:color w:val="000000"/>
          <w:sz w:val="20"/>
          <w:szCs w:val="20"/>
        </w:rPr>
        <w:t>poskytuje</w:t>
      </w:r>
      <w:r w:rsidRPr="00091C81">
        <w:rPr>
          <w:rFonts w:ascii="Arial" w:hAnsi="Arial" w:cs="Arial"/>
          <w:color w:val="000000"/>
          <w:sz w:val="20"/>
          <w:szCs w:val="20"/>
        </w:rPr>
        <w:t xml:space="preserve"> zdieľané, metodicky a procesne unifikované služby na eGovernment cloud platforme, komplexne pokrývajúce elektronický výkon ekonomických a podporných činností vybraných subjektov štátnej správy, vrátane služieb jeho aplikačnej a metodicko-procesnej podpory. Licenčné potreby vychádzajú z predpokladaného zapojenia cca 500 organizácií štátnej správy. Počet zapojených organizácií vychádza z celkového počtu organizácií v rámci jednotlivých kapitol štátneho rozpočtu. </w:t>
      </w:r>
    </w:p>
    <w:p w14:paraId="3AF4BB0B" w14:textId="29BCC481" w:rsidR="005474AF" w:rsidRPr="00091C81" w:rsidRDefault="005474AF" w:rsidP="005474AF">
      <w:pPr>
        <w:pStyle w:val="Normlnywebov"/>
        <w:shd w:val="clear" w:color="auto" w:fill="FFFFFF"/>
        <w:spacing w:before="0" w:beforeAutospacing="0" w:after="160" w:afterAutospacing="0"/>
        <w:jc w:val="both"/>
        <w:rPr>
          <w:rFonts w:ascii="Arial" w:hAnsi="Arial" w:cs="Arial"/>
          <w:color w:val="000000"/>
          <w:sz w:val="20"/>
          <w:szCs w:val="20"/>
        </w:rPr>
      </w:pPr>
      <w:r w:rsidRPr="00091C81">
        <w:rPr>
          <w:rFonts w:ascii="Arial" w:hAnsi="Arial" w:cs="Arial"/>
          <w:color w:val="000000"/>
          <w:sz w:val="20"/>
          <w:szCs w:val="20"/>
        </w:rPr>
        <w:t xml:space="preserve">Predpokladaný nákup licencií </w:t>
      </w:r>
      <w:r w:rsidR="00B30EAA">
        <w:rPr>
          <w:rFonts w:ascii="Arial" w:hAnsi="Arial" w:cs="Arial"/>
          <w:color w:val="000000"/>
          <w:sz w:val="20"/>
          <w:szCs w:val="20"/>
        </w:rPr>
        <w:t xml:space="preserve">bude </w:t>
      </w:r>
      <w:r w:rsidRPr="00091C81">
        <w:rPr>
          <w:rFonts w:ascii="Arial" w:hAnsi="Arial" w:cs="Arial"/>
          <w:color w:val="000000"/>
          <w:sz w:val="20"/>
          <w:szCs w:val="20"/>
        </w:rPr>
        <w:t>zahŕňa</w:t>
      </w:r>
      <w:r w:rsidR="00B30EAA">
        <w:rPr>
          <w:rFonts w:ascii="Arial" w:hAnsi="Arial" w:cs="Arial"/>
          <w:color w:val="000000"/>
          <w:sz w:val="20"/>
          <w:szCs w:val="20"/>
        </w:rPr>
        <w:t>ť</w:t>
      </w:r>
      <w:r w:rsidRPr="00091C81">
        <w:rPr>
          <w:rFonts w:ascii="Arial" w:hAnsi="Arial" w:cs="Arial"/>
          <w:color w:val="000000"/>
          <w:sz w:val="20"/>
          <w:szCs w:val="20"/>
        </w:rPr>
        <w:t>:</w:t>
      </w:r>
    </w:p>
    <w:p w14:paraId="59B869F7" w14:textId="2772EDCA" w:rsidR="005474AF" w:rsidRDefault="005474AF" w:rsidP="00D15336">
      <w:pPr>
        <w:pStyle w:val="Normlnywebov"/>
        <w:numPr>
          <w:ilvl w:val="2"/>
          <w:numId w:val="1"/>
        </w:numPr>
        <w:shd w:val="clear" w:color="auto" w:fill="FFFFFF"/>
        <w:spacing w:before="0" w:beforeAutospacing="0" w:after="160" w:afterAutospacing="0"/>
        <w:ind w:left="567" w:hanging="567"/>
        <w:jc w:val="both"/>
        <w:rPr>
          <w:rFonts w:ascii="Arial" w:hAnsi="Arial" w:cs="Arial"/>
          <w:color w:val="000000"/>
          <w:sz w:val="20"/>
          <w:szCs w:val="20"/>
        </w:rPr>
      </w:pPr>
      <w:r w:rsidRPr="00091C81">
        <w:rPr>
          <w:rFonts w:ascii="Arial" w:hAnsi="Arial" w:cs="Arial"/>
          <w:color w:val="000000"/>
          <w:sz w:val="20"/>
          <w:szCs w:val="20"/>
        </w:rPr>
        <w:t xml:space="preserve">požiadavky oprávnených subjektov, ktoré bude možné čerpať z RD. Vzhľadom na životný cyklus ERP </w:t>
      </w:r>
      <w:r w:rsidR="003A1A2F" w:rsidRPr="00091C81">
        <w:rPr>
          <w:rFonts w:ascii="Arial" w:hAnsi="Arial" w:cs="Arial"/>
          <w:color w:val="000000"/>
          <w:sz w:val="20"/>
          <w:szCs w:val="20"/>
        </w:rPr>
        <w:t xml:space="preserve">informačných systémov </w:t>
      </w:r>
      <w:r w:rsidRPr="00091C81">
        <w:rPr>
          <w:rFonts w:ascii="Arial" w:hAnsi="Arial" w:cs="Arial"/>
          <w:color w:val="000000"/>
          <w:sz w:val="20"/>
          <w:szCs w:val="20"/>
        </w:rPr>
        <w:t>(Enterprise Resource Planning - vnútropodnikových informačných systémov) sa predpokladá, že tieto oprávnené subjekty budú čerpať predovšetkým v súvislosti s prechodom na novšie generácie systémov napr. S</w:t>
      </w:r>
      <w:r w:rsidR="00FF7AAE" w:rsidRPr="00091C81">
        <w:rPr>
          <w:rFonts w:ascii="Arial" w:hAnsi="Arial" w:cs="Arial"/>
          <w:color w:val="000000"/>
          <w:sz w:val="20"/>
          <w:szCs w:val="20"/>
        </w:rPr>
        <w:t>/</w:t>
      </w:r>
      <w:r w:rsidRPr="00091C81">
        <w:rPr>
          <w:rFonts w:ascii="Arial" w:hAnsi="Arial" w:cs="Arial"/>
          <w:color w:val="000000"/>
          <w:sz w:val="20"/>
          <w:szCs w:val="20"/>
        </w:rPr>
        <w:t>4HANA.</w:t>
      </w:r>
    </w:p>
    <w:p w14:paraId="5140AE01" w14:textId="059753FF" w:rsidR="005474AF" w:rsidRPr="00091C81" w:rsidRDefault="005474AF" w:rsidP="00F42B42">
      <w:pPr>
        <w:pStyle w:val="Normlnywebov"/>
        <w:numPr>
          <w:ilvl w:val="2"/>
          <w:numId w:val="1"/>
        </w:numPr>
        <w:shd w:val="clear" w:color="auto" w:fill="FFFFFF"/>
        <w:spacing w:before="0" w:beforeAutospacing="0" w:after="160" w:afterAutospacing="0"/>
        <w:ind w:left="567" w:hanging="567"/>
        <w:jc w:val="both"/>
        <w:rPr>
          <w:rFonts w:ascii="Arial" w:hAnsi="Arial" w:cs="Arial"/>
          <w:color w:val="000000"/>
          <w:sz w:val="20"/>
          <w:szCs w:val="20"/>
        </w:rPr>
      </w:pPr>
      <w:r w:rsidRPr="003A1A2F">
        <w:rPr>
          <w:rFonts w:ascii="Arial" w:hAnsi="Arial" w:cs="Arial"/>
          <w:color w:val="000000" w:themeColor="text1"/>
          <w:sz w:val="20"/>
          <w:szCs w:val="20"/>
        </w:rPr>
        <w:t xml:space="preserve">požiadavky na cloudové služby, ako alternatívne riešenie k licenciám napríklad projektu CES (Centrálny Ekonomický Systém). </w:t>
      </w:r>
    </w:p>
    <w:p w14:paraId="3960389A" w14:textId="197E0461" w:rsidR="00FF7AAE" w:rsidRPr="00091C81" w:rsidRDefault="005474AF" w:rsidP="00FF7AAE">
      <w:pPr>
        <w:pStyle w:val="Normlnywebov"/>
        <w:shd w:val="clear" w:color="auto" w:fill="FFFFFF"/>
        <w:spacing w:before="0" w:beforeAutospacing="0" w:after="160" w:afterAutospacing="0"/>
        <w:jc w:val="both"/>
        <w:rPr>
          <w:rFonts w:ascii="Arial" w:hAnsi="Arial" w:cs="Arial"/>
          <w:color w:val="000000"/>
          <w:sz w:val="20"/>
          <w:szCs w:val="20"/>
        </w:rPr>
      </w:pPr>
      <w:r w:rsidRPr="00091C81">
        <w:rPr>
          <w:rFonts w:ascii="Arial" w:hAnsi="Arial" w:cs="Arial"/>
          <w:color w:val="000000"/>
          <w:sz w:val="20"/>
          <w:szCs w:val="20"/>
        </w:rPr>
        <w:t>Verejný obstarávateľ predpokladá nasledov</w:t>
      </w:r>
      <w:r w:rsidR="00FF7AAE" w:rsidRPr="00091C81">
        <w:rPr>
          <w:rFonts w:ascii="Arial" w:hAnsi="Arial" w:cs="Arial"/>
          <w:color w:val="000000"/>
          <w:sz w:val="20"/>
          <w:szCs w:val="20"/>
        </w:rPr>
        <w:t>né potenciálne pristupujúce organizácie:</w:t>
      </w:r>
    </w:p>
    <w:p w14:paraId="07607C79" w14:textId="127AAD32" w:rsidR="003F06C3" w:rsidRPr="00091C81" w:rsidRDefault="003F06C3" w:rsidP="003F06C3">
      <w:pPr>
        <w:rPr>
          <w:b/>
          <w:sz w:val="20"/>
          <w:szCs w:val="20"/>
          <w:lang w:val="sk-SK"/>
        </w:rPr>
      </w:pPr>
      <w:r w:rsidRPr="00091C81">
        <w:rPr>
          <w:b/>
          <w:sz w:val="20"/>
          <w:szCs w:val="20"/>
          <w:lang w:val="sk-SK"/>
        </w:rPr>
        <w:t>Tabuľka č. 2</w:t>
      </w:r>
      <w:r w:rsidRPr="00091C81">
        <w:rPr>
          <w:sz w:val="20"/>
          <w:szCs w:val="20"/>
          <w:lang w:val="sk-SK"/>
        </w:rPr>
        <w:t xml:space="preserve"> </w:t>
      </w:r>
      <w:r w:rsidRPr="00091C81">
        <w:rPr>
          <w:b/>
          <w:sz w:val="20"/>
          <w:szCs w:val="20"/>
          <w:lang w:val="sk-SK"/>
        </w:rPr>
        <w:t>Zoznam potenciálnych pristupujúcich organizácii do centrálnej RD</w:t>
      </w:r>
    </w:p>
    <w:tbl>
      <w:tblPr>
        <w:tblW w:w="5656" w:type="dxa"/>
        <w:tblCellMar>
          <w:left w:w="70" w:type="dxa"/>
          <w:right w:w="70" w:type="dxa"/>
        </w:tblCellMar>
        <w:tblLook w:val="04A0" w:firstRow="1" w:lastRow="0" w:firstColumn="1" w:lastColumn="0" w:noHBand="0" w:noVBand="1"/>
      </w:tblPr>
      <w:tblGrid>
        <w:gridCol w:w="5656"/>
      </w:tblGrid>
      <w:tr w:rsidR="003F06C3" w:rsidRPr="003F06C3" w14:paraId="726B6C09"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4DD89E1C" w14:textId="66CBFCE4"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Generálna prokuratúra Slovenskej republiky</w:t>
            </w:r>
          </w:p>
        </w:tc>
      </w:tr>
      <w:tr w:rsidR="003F06C3" w:rsidRPr="003F06C3" w14:paraId="05D0CCCD"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1E1C7BB4" w14:textId="715BC09F"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Lesy SR, š. p.</w:t>
            </w:r>
          </w:p>
        </w:tc>
      </w:tr>
      <w:tr w:rsidR="003F06C3" w:rsidRPr="003F06C3" w14:paraId="6814A7E3"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364D90A4" w14:textId="3438EF22"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Letové prevádzkové služby Slovenskej republiky, š. p.</w:t>
            </w:r>
          </w:p>
        </w:tc>
      </w:tr>
      <w:tr w:rsidR="003F06C3" w:rsidRPr="003F06C3" w14:paraId="5142265E"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B79961D" w14:textId="1A49EC89"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Slovenská záručná a rozvojová banka, a. s.</w:t>
            </w:r>
          </w:p>
        </w:tc>
      </w:tr>
      <w:tr w:rsidR="003F06C3" w:rsidRPr="003F06C3" w14:paraId="725D0E21"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1C6D3B7" w14:textId="569B1DCD"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Západoslovenská energetika, a. s.</w:t>
            </w:r>
          </w:p>
        </w:tc>
      </w:tr>
      <w:tr w:rsidR="003F06C3" w:rsidRPr="003F06C3" w14:paraId="69594AD0"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76F3EFFA" w14:textId="4E862109"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Exportno-importná banka Slovenskej republiky (EXIMBANKA SR)</w:t>
            </w:r>
          </w:p>
        </w:tc>
      </w:tr>
      <w:tr w:rsidR="003F06C3" w:rsidRPr="003F06C3" w14:paraId="6FD697E7"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hideMark/>
          </w:tcPr>
          <w:p w14:paraId="21980167" w14:textId="1A03ED68"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MH Manažment, a. s.</w:t>
            </w:r>
          </w:p>
        </w:tc>
      </w:tr>
      <w:tr w:rsidR="003F06C3" w:rsidRPr="003F06C3" w14:paraId="090A1324"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0095AC92" w14:textId="2E4F2B96"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Železnice Slovenskej republiky</w:t>
            </w:r>
          </w:p>
        </w:tc>
      </w:tr>
      <w:tr w:rsidR="003F06C3" w:rsidRPr="003F06C3" w14:paraId="0E8EB2C2" w14:textId="77777777" w:rsidTr="002C71FA">
        <w:trPr>
          <w:trHeight w:val="300"/>
        </w:trPr>
        <w:tc>
          <w:tcPr>
            <w:tcW w:w="5656" w:type="dxa"/>
            <w:tcBorders>
              <w:top w:val="single" w:sz="4" w:space="0" w:color="auto"/>
              <w:left w:val="single" w:sz="4" w:space="0" w:color="auto"/>
              <w:bottom w:val="single" w:sz="4" w:space="0" w:color="auto"/>
              <w:right w:val="single" w:sz="4" w:space="0" w:color="auto"/>
            </w:tcBorders>
            <w:noWrap/>
          </w:tcPr>
          <w:p w14:paraId="4A1479BA" w14:textId="733360D7" w:rsidR="003F06C3" w:rsidRPr="003F06C3" w:rsidRDefault="003F06C3" w:rsidP="003F06C3">
            <w:pPr>
              <w:widowControl/>
              <w:autoSpaceDE/>
              <w:autoSpaceDN/>
              <w:rPr>
                <w:rFonts w:eastAsia="Times New Roman"/>
                <w:color w:val="000000"/>
                <w:sz w:val="18"/>
                <w:szCs w:val="18"/>
                <w:lang w:val="sk-SK" w:eastAsia="sk-SK"/>
              </w:rPr>
            </w:pPr>
            <w:r w:rsidRPr="003F06C3">
              <w:rPr>
                <w:sz w:val="18"/>
                <w:szCs w:val="18"/>
              </w:rPr>
              <w:t>Železničná spoločnosť Slovensko, a.s.</w:t>
            </w:r>
          </w:p>
        </w:tc>
      </w:tr>
      <w:tr w:rsidR="003F06C3" w:rsidRPr="003F06C3" w14:paraId="2F889E6A"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24B0D92F" w14:textId="6F6A47AD"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Železničná spoločnosť Cargo Slovakia, a. s.</w:t>
            </w:r>
          </w:p>
        </w:tc>
      </w:tr>
      <w:tr w:rsidR="003F06C3" w:rsidRPr="003F06C3" w14:paraId="530DBF6C"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255F4604" w14:textId="6CD9C980"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Jadrová a vyraďovacia spoločnosť, a. s.</w:t>
            </w:r>
          </w:p>
        </w:tc>
      </w:tr>
      <w:tr w:rsidR="003F06C3" w:rsidRPr="003F06C3" w14:paraId="79610076"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3CF7616A" w14:textId="57FFF579"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t>Slovenská elektrizačná prenosová sústava, a. s.</w:t>
            </w:r>
          </w:p>
        </w:tc>
      </w:tr>
      <w:tr w:rsidR="003F06C3" w:rsidRPr="003F06C3" w14:paraId="08A1D2B2" w14:textId="77777777" w:rsidTr="003F06C3">
        <w:trPr>
          <w:trHeight w:val="300"/>
        </w:trPr>
        <w:tc>
          <w:tcPr>
            <w:tcW w:w="5656" w:type="dxa"/>
            <w:tcBorders>
              <w:top w:val="single" w:sz="4" w:space="0" w:color="auto"/>
              <w:left w:val="single" w:sz="4" w:space="0" w:color="auto"/>
              <w:bottom w:val="single" w:sz="4" w:space="0" w:color="auto"/>
              <w:right w:val="single" w:sz="4" w:space="0" w:color="auto"/>
            </w:tcBorders>
            <w:noWrap/>
            <w:vAlign w:val="center"/>
          </w:tcPr>
          <w:p w14:paraId="24E1E1D8" w14:textId="10DDB39E" w:rsidR="003F06C3" w:rsidRPr="003F06C3" w:rsidRDefault="003F06C3" w:rsidP="002B7395">
            <w:pPr>
              <w:widowControl/>
              <w:autoSpaceDE/>
              <w:autoSpaceDN/>
              <w:rPr>
                <w:rFonts w:eastAsia="Times New Roman"/>
                <w:color w:val="000000"/>
                <w:sz w:val="18"/>
                <w:szCs w:val="18"/>
                <w:lang w:val="sk-SK" w:eastAsia="sk-SK"/>
              </w:rPr>
            </w:pPr>
            <w:r w:rsidRPr="003F06C3">
              <w:rPr>
                <w:rFonts w:eastAsia="Times New Roman"/>
                <w:color w:val="000000"/>
                <w:sz w:val="18"/>
                <w:szCs w:val="18"/>
                <w:lang w:val="sk-SK" w:eastAsia="sk-SK"/>
              </w:rPr>
              <w:lastRenderedPageBreak/>
              <w:t>OKTE, a. s.</w:t>
            </w:r>
          </w:p>
        </w:tc>
      </w:tr>
    </w:tbl>
    <w:p w14:paraId="6E3BCE26" w14:textId="77777777" w:rsidR="003F06C3" w:rsidRPr="00091C81" w:rsidRDefault="003F06C3" w:rsidP="00FF7AAE">
      <w:pPr>
        <w:pStyle w:val="Normlnywebov"/>
        <w:shd w:val="clear" w:color="auto" w:fill="FFFFFF"/>
        <w:spacing w:before="0" w:beforeAutospacing="0" w:after="160" w:afterAutospacing="0"/>
        <w:jc w:val="both"/>
        <w:rPr>
          <w:rFonts w:ascii="Arial" w:hAnsi="Arial" w:cs="Arial"/>
          <w:color w:val="000000"/>
          <w:sz w:val="20"/>
          <w:szCs w:val="20"/>
        </w:rPr>
      </w:pPr>
    </w:p>
    <w:p w14:paraId="4673BFD4" w14:textId="77777777" w:rsidR="005474AF" w:rsidRPr="00091C81" w:rsidRDefault="005474AF" w:rsidP="005474AF">
      <w:pPr>
        <w:jc w:val="both"/>
        <w:rPr>
          <w:bCs/>
          <w:sz w:val="20"/>
          <w:szCs w:val="20"/>
          <w:lang w:val="sk-SK"/>
        </w:rPr>
      </w:pPr>
    </w:p>
    <w:p w14:paraId="61930753" w14:textId="193BF6B3" w:rsidR="005474AF" w:rsidRPr="00091C81" w:rsidRDefault="005474AF" w:rsidP="005474AF">
      <w:pPr>
        <w:jc w:val="both"/>
        <w:rPr>
          <w:bCs/>
          <w:sz w:val="20"/>
          <w:szCs w:val="20"/>
          <w:lang w:val="sk-SK"/>
        </w:rPr>
      </w:pPr>
      <w:r w:rsidRPr="00091C81">
        <w:rPr>
          <w:bCs/>
          <w:sz w:val="20"/>
          <w:szCs w:val="20"/>
          <w:lang w:val="sk-SK"/>
        </w:rPr>
        <w:t>Na základe požiadaviek COO pre potreby jednotlivých</w:t>
      </w:r>
      <w:r w:rsidR="003F06C3" w:rsidRPr="00091C81">
        <w:rPr>
          <w:bCs/>
          <w:sz w:val="20"/>
          <w:szCs w:val="20"/>
          <w:lang w:val="sk-SK"/>
        </w:rPr>
        <w:t xml:space="preserve"> </w:t>
      </w:r>
      <w:r w:rsidR="00D15336" w:rsidRPr="00091C81">
        <w:rPr>
          <w:bCs/>
          <w:sz w:val="20"/>
          <w:szCs w:val="20"/>
          <w:lang w:val="sk-SK"/>
        </w:rPr>
        <w:t>terajších</w:t>
      </w:r>
      <w:r w:rsidRPr="00091C81">
        <w:rPr>
          <w:bCs/>
          <w:sz w:val="20"/>
          <w:szCs w:val="20"/>
          <w:lang w:val="sk-SK"/>
        </w:rPr>
        <w:t xml:space="preserve"> </w:t>
      </w:r>
      <w:r w:rsidR="003F06C3" w:rsidRPr="00091C81">
        <w:rPr>
          <w:bCs/>
          <w:sz w:val="20"/>
          <w:szCs w:val="20"/>
          <w:lang w:val="sk-SK"/>
        </w:rPr>
        <w:t>organizácii</w:t>
      </w:r>
      <w:r w:rsidRPr="00091C81">
        <w:rPr>
          <w:bCs/>
          <w:sz w:val="20"/>
          <w:szCs w:val="20"/>
          <w:lang w:val="sk-SK"/>
        </w:rPr>
        <w:t>, ako aj z pohľadu celkových požiadaviek</w:t>
      </w:r>
      <w:r w:rsidR="003F06C3" w:rsidRPr="00091C81">
        <w:rPr>
          <w:bCs/>
          <w:sz w:val="20"/>
          <w:szCs w:val="20"/>
          <w:lang w:val="sk-SK"/>
        </w:rPr>
        <w:t xml:space="preserve"> potenciálne</w:t>
      </w:r>
      <w:r w:rsidRPr="00091C81">
        <w:rPr>
          <w:bCs/>
          <w:sz w:val="20"/>
          <w:szCs w:val="20"/>
          <w:lang w:val="sk-SK"/>
        </w:rPr>
        <w:t xml:space="preserve"> pristupujúcich</w:t>
      </w:r>
      <w:r w:rsidR="003F06C3" w:rsidRPr="00091C81">
        <w:rPr>
          <w:bCs/>
          <w:sz w:val="20"/>
          <w:szCs w:val="20"/>
          <w:lang w:val="sk-SK"/>
        </w:rPr>
        <w:t xml:space="preserve"> organizácii,</w:t>
      </w:r>
      <w:r w:rsidRPr="00091C81">
        <w:rPr>
          <w:bCs/>
          <w:sz w:val="20"/>
          <w:szCs w:val="20"/>
          <w:lang w:val="sk-SK"/>
        </w:rPr>
        <w:t xml:space="preserve"> je spracovaný návrh na uzavretie RD na základe deklarovaných potrieb </w:t>
      </w:r>
      <w:r w:rsidR="003F06C3" w:rsidRPr="00091C81">
        <w:rPr>
          <w:bCs/>
          <w:sz w:val="20"/>
          <w:szCs w:val="20"/>
          <w:lang w:val="sk-SK"/>
        </w:rPr>
        <w:t>všetkých spomenutých</w:t>
      </w:r>
      <w:r w:rsidRPr="00091C81">
        <w:rPr>
          <w:bCs/>
          <w:sz w:val="20"/>
          <w:szCs w:val="20"/>
          <w:lang w:val="sk-SK"/>
        </w:rPr>
        <w:t xml:space="preserve"> organizácií a jej čerpanie prostredníctvom</w:t>
      </w:r>
      <w:r w:rsidR="003F06C3" w:rsidRPr="00091C81">
        <w:rPr>
          <w:bCs/>
          <w:sz w:val="20"/>
          <w:szCs w:val="20"/>
          <w:lang w:val="sk-SK"/>
        </w:rPr>
        <w:t xml:space="preserve"> odsúhlasených</w:t>
      </w:r>
      <w:r w:rsidRPr="00091C81">
        <w:rPr>
          <w:bCs/>
          <w:sz w:val="20"/>
          <w:szCs w:val="20"/>
          <w:lang w:val="sk-SK"/>
        </w:rPr>
        <w:t xml:space="preserve"> čiastkových objednávok v zmysle reálnych potrieb jednotlivých organizácií.</w:t>
      </w:r>
    </w:p>
    <w:p w14:paraId="608CD6CA" w14:textId="77777777" w:rsidR="005474AF" w:rsidRPr="00091C81" w:rsidRDefault="005474AF" w:rsidP="005474AF">
      <w:pPr>
        <w:jc w:val="both"/>
        <w:rPr>
          <w:sz w:val="20"/>
          <w:szCs w:val="20"/>
          <w:lang w:val="sk-SK"/>
        </w:rPr>
      </w:pPr>
    </w:p>
    <w:p w14:paraId="1618E2D8" w14:textId="2C73EDA5" w:rsidR="005474AF" w:rsidRPr="00091C81" w:rsidRDefault="005474AF" w:rsidP="005474AF">
      <w:pPr>
        <w:jc w:val="both"/>
        <w:rPr>
          <w:bCs/>
          <w:sz w:val="20"/>
          <w:szCs w:val="20"/>
          <w:lang w:val="sk-SK"/>
        </w:rPr>
      </w:pPr>
      <w:r w:rsidRPr="00091C81">
        <w:rPr>
          <w:bCs/>
          <w:sz w:val="20"/>
          <w:szCs w:val="20"/>
          <w:lang w:val="sk-SK"/>
        </w:rPr>
        <w:t>Verejný obstarávateľ</w:t>
      </w:r>
      <w:r w:rsidR="00B30EAA">
        <w:rPr>
          <w:bCs/>
          <w:sz w:val="20"/>
          <w:szCs w:val="20"/>
          <w:lang w:val="sk-SK"/>
        </w:rPr>
        <w:t xml:space="preserve">, </w:t>
      </w:r>
      <w:r w:rsidRPr="00091C81">
        <w:rPr>
          <w:bCs/>
          <w:sz w:val="20"/>
          <w:szCs w:val="20"/>
          <w:lang w:val="sk-SK"/>
        </w:rPr>
        <w:t>resp. COO umožňuje uchádzačom ponúknuť aj ekvivalent k aktuálne používanej softvérovej platforme SAP. Za (funkčný) ekvivalent sa v takomto prípade považuje také riešenie, ktoré spĺňa úžitkové, prevádzkové a funkčné charakteristiky, ktoré sú nevyhnutné na zabezpečenie účelu, na ktoré je obstarávaný predmet zákazky určený, pričom za (funkčný) ekvivalent sa nepovažuje najmä také riešenie, z ktorého prijatím/plnením by boli spojené ďalšie vyvolané neprimerané náklady na strane verejného obstarávateľa ako COO.</w:t>
      </w:r>
    </w:p>
    <w:p w14:paraId="53C33BAE" w14:textId="77777777" w:rsidR="005474AF" w:rsidRPr="00091C81" w:rsidRDefault="005474AF" w:rsidP="005474AF">
      <w:pPr>
        <w:jc w:val="both"/>
        <w:rPr>
          <w:bCs/>
          <w:sz w:val="20"/>
          <w:szCs w:val="20"/>
          <w:lang w:val="sk-SK"/>
        </w:rPr>
      </w:pPr>
    </w:p>
    <w:p w14:paraId="03D5596E" w14:textId="77777777" w:rsidR="005474AF" w:rsidRPr="00091C81" w:rsidRDefault="005474AF" w:rsidP="005474AF">
      <w:pPr>
        <w:jc w:val="both"/>
        <w:rPr>
          <w:bCs/>
          <w:sz w:val="20"/>
          <w:szCs w:val="20"/>
          <w:lang w:val="sk-SK"/>
        </w:rPr>
      </w:pPr>
      <w:r w:rsidRPr="00091C81">
        <w:rPr>
          <w:bCs/>
          <w:sz w:val="20"/>
          <w:szCs w:val="20"/>
          <w:lang w:val="sk-SK"/>
        </w:rPr>
        <w:t>Pre vylúčenie akýchkoľvek pochybností verejný obstarávateľ uvádza, že počas doterajšej prevádzky jednotlivých informačných systémov na platforme SAP v rámci verejného sektora mu nie sú známe akékoľvek ďalšie náklady, ktoré by vznikli pri dodávkach služieb podpory SAP alebo licencií (ako napr. potreba mimoriadnej súčinnosti, odstávky systému, dodatočných požiadaviek na hardvér počas aktivácie služby podpory, inštalácií licencií a pod.). V súvislosti s uvedenými skutočnosťami neboli spojené ďalšie vyvolané žiadne náklady ani na strane verejného obstarávateľa ako COO a ani jednotlivých v RD zúčastnených organizácií. Preto každý takýto dodatočný náklad alebo požiadavku na odstávku alebo súčinnosť bude verejný obstarávateľ ako COO pri predmete plnenia považovať za neprimeraný a neekvivalentný.</w:t>
      </w:r>
    </w:p>
    <w:p w14:paraId="2AD494EC" w14:textId="77777777" w:rsidR="005474AF" w:rsidRPr="00091C81" w:rsidRDefault="005474AF" w:rsidP="005474AF">
      <w:pPr>
        <w:jc w:val="both"/>
        <w:rPr>
          <w:bCs/>
          <w:sz w:val="20"/>
          <w:szCs w:val="20"/>
          <w:lang w:val="sk-SK"/>
        </w:rPr>
      </w:pPr>
    </w:p>
    <w:p w14:paraId="3861F1E9" w14:textId="26079429" w:rsidR="005474AF" w:rsidRPr="00091C81" w:rsidRDefault="005474AF" w:rsidP="005474AF">
      <w:pPr>
        <w:jc w:val="both"/>
        <w:rPr>
          <w:sz w:val="20"/>
          <w:szCs w:val="20"/>
          <w:lang w:val="sk-SK"/>
        </w:rPr>
      </w:pPr>
      <w:r w:rsidRPr="00091C81">
        <w:rPr>
          <w:bCs/>
          <w:sz w:val="20"/>
          <w:szCs w:val="20"/>
          <w:lang w:val="sk-SK"/>
        </w:rPr>
        <w:t>V prípade, že uchádzač ponúka „ekvivalent“ k produktom a službám (platforme) SAP, ktoré sú predmetom tejto súťaže, uvedie detailný popis spôsob</w:t>
      </w:r>
      <w:r w:rsidR="003F06C3" w:rsidRPr="00091C81">
        <w:rPr>
          <w:bCs/>
          <w:sz w:val="20"/>
          <w:szCs w:val="20"/>
          <w:lang w:val="sk-SK"/>
        </w:rPr>
        <w:t>u</w:t>
      </w:r>
      <w:r w:rsidRPr="00091C81">
        <w:rPr>
          <w:bCs/>
          <w:sz w:val="20"/>
          <w:szCs w:val="20"/>
          <w:lang w:val="sk-SK"/>
        </w:rPr>
        <w:t xml:space="preserve"> a postupu, ktorým plánuje zabezpečiť kontinuitu prevádzky pri inštalácií ekvivalentného softvéru a poskytovaní ekvivalentných služieb či ekvivalentného produktu v rámci jednotlivých IT systémov prevádzkovaných na platforme SAP.</w:t>
      </w:r>
    </w:p>
    <w:p w14:paraId="208A38C2" w14:textId="77777777" w:rsidR="005474AF" w:rsidRPr="00091C81" w:rsidRDefault="005474AF" w:rsidP="005474AF">
      <w:pPr>
        <w:rPr>
          <w:sz w:val="20"/>
          <w:szCs w:val="20"/>
          <w:highlight w:val="red"/>
          <w:lang w:val="sk-SK"/>
        </w:rPr>
      </w:pPr>
    </w:p>
    <w:p w14:paraId="71B03E65" w14:textId="77777777" w:rsidR="005474AF" w:rsidRPr="00091C81" w:rsidRDefault="005474AF" w:rsidP="005474AF">
      <w:pPr>
        <w:jc w:val="both"/>
        <w:rPr>
          <w:sz w:val="20"/>
          <w:szCs w:val="20"/>
          <w:lang w:val="sk-SK"/>
        </w:rPr>
      </w:pPr>
      <w:r w:rsidRPr="00091C81">
        <w:rPr>
          <w:sz w:val="20"/>
          <w:szCs w:val="20"/>
          <w:lang w:val="sk-SK"/>
        </w:rPr>
        <w:t>Verejný obstarávateľ nemusí vyčerpať predpokladané množstvo, finančný objem resp. nemusí uvedené produkty a služby objednať vôbec. Uvedené vychádza zo samotnej povahy RD.</w:t>
      </w:r>
    </w:p>
    <w:p w14:paraId="11569351" w14:textId="77777777" w:rsidR="005474AF" w:rsidRPr="00091C81" w:rsidRDefault="005474AF" w:rsidP="005474AF">
      <w:pPr>
        <w:jc w:val="both"/>
        <w:rPr>
          <w:sz w:val="20"/>
          <w:szCs w:val="20"/>
          <w:lang w:val="sk-SK"/>
        </w:rPr>
      </w:pPr>
    </w:p>
    <w:p w14:paraId="415E502F" w14:textId="3D2A3780" w:rsidR="005474AF" w:rsidRPr="00091C81" w:rsidRDefault="005474AF" w:rsidP="005474AF">
      <w:pPr>
        <w:jc w:val="both"/>
        <w:rPr>
          <w:sz w:val="20"/>
          <w:szCs w:val="20"/>
          <w:lang w:val="sk-SK"/>
        </w:rPr>
      </w:pPr>
      <w:r w:rsidRPr="00091C81">
        <w:rPr>
          <w:sz w:val="20"/>
          <w:szCs w:val="20"/>
          <w:lang w:val="sk-SK"/>
        </w:rPr>
        <w:t xml:space="preserve">Verejný obstarávateľ </w:t>
      </w:r>
      <w:r w:rsidR="003F06C3" w:rsidRPr="00091C81">
        <w:rPr>
          <w:sz w:val="20"/>
          <w:szCs w:val="20"/>
          <w:lang w:val="sk-SK"/>
        </w:rPr>
        <w:t xml:space="preserve">uvádza, že terajšie oprávnené subjekty využívajú </w:t>
      </w:r>
      <w:r w:rsidR="002E1F07" w:rsidRPr="00091C81">
        <w:rPr>
          <w:sz w:val="20"/>
          <w:szCs w:val="20"/>
          <w:lang w:val="sk-SK"/>
        </w:rPr>
        <w:t xml:space="preserve">licenčnú podporu typu Product Support for Large Enterprises (PSLE) v kombinácii so službami Premium Engagement. </w:t>
      </w:r>
      <w:r w:rsidRPr="00091C81">
        <w:rPr>
          <w:sz w:val="20"/>
          <w:szCs w:val="20"/>
          <w:lang w:val="sk-SK"/>
        </w:rPr>
        <w:t>Tieto služby predstavujú zvýšenú úroveň podpory v oblasti pre softvérové produkty (najmä pomoc pri dlhodobom úspešnom využívaní riešení SAP prostredníctvom plánovania riešení, zabezpečenia projektov a podpory prevádzkových tímov na mieste dodávaných dedikovanou podporou).</w:t>
      </w:r>
    </w:p>
    <w:p w14:paraId="5A36F908" w14:textId="77777777" w:rsidR="005474AF" w:rsidRPr="00091C81" w:rsidRDefault="005474AF" w:rsidP="005474AF">
      <w:pPr>
        <w:jc w:val="both"/>
        <w:rPr>
          <w:sz w:val="20"/>
          <w:szCs w:val="20"/>
          <w:lang w:val="sk-SK"/>
        </w:rPr>
      </w:pPr>
    </w:p>
    <w:p w14:paraId="09FC9F92" w14:textId="1259B5C6" w:rsidR="005474AF" w:rsidRPr="00091C81" w:rsidRDefault="005474AF" w:rsidP="005474AF">
      <w:pPr>
        <w:jc w:val="both"/>
        <w:rPr>
          <w:sz w:val="20"/>
          <w:szCs w:val="20"/>
          <w:lang w:val="sk-SK"/>
        </w:rPr>
      </w:pPr>
      <w:r w:rsidRPr="49411E1F">
        <w:rPr>
          <w:sz w:val="20"/>
          <w:szCs w:val="20"/>
          <w:lang w:val="sk-SK"/>
        </w:rPr>
        <w:t>Predmetné služby verejný obstarávateľ požaduje zabezpečiť prostredníctvom slovensky hovoriacich „t</w:t>
      </w:r>
      <w:r w:rsidR="002E1F07" w:rsidRPr="49411E1F">
        <w:rPr>
          <w:sz w:val="20"/>
          <w:szCs w:val="20"/>
          <w:lang w:val="sk-SK"/>
        </w:rPr>
        <w:t>echnical</w:t>
      </w:r>
      <w:r w:rsidRPr="49411E1F">
        <w:rPr>
          <w:sz w:val="20"/>
          <w:szCs w:val="20"/>
          <w:lang w:val="sk-SK"/>
        </w:rPr>
        <w:t xml:space="preserve"> quality manažéra“ a „on site SAP špecialistu“ na poradenstvo pri komunikácii so SAP a organizácii dodávok pre podporu všetkých rozhodnutí týkajúcich sa riešení SAP (posudzovanie štandardných funkcionalít vs. doprogramovanie, quality assurance, proof of concept).</w:t>
      </w:r>
    </w:p>
    <w:p w14:paraId="3B825A96" w14:textId="77777777" w:rsidR="005474AF" w:rsidRPr="00091C81" w:rsidRDefault="005474AF" w:rsidP="005474AF">
      <w:pPr>
        <w:jc w:val="both"/>
        <w:rPr>
          <w:sz w:val="20"/>
          <w:szCs w:val="20"/>
          <w:lang w:val="sk-SK"/>
        </w:rPr>
      </w:pPr>
    </w:p>
    <w:p w14:paraId="12DA0F53" w14:textId="43C75DFA" w:rsidR="005474AF" w:rsidRPr="00091C81" w:rsidRDefault="005474AF" w:rsidP="005474AF">
      <w:pPr>
        <w:jc w:val="both"/>
        <w:rPr>
          <w:sz w:val="20"/>
          <w:szCs w:val="20"/>
          <w:lang w:val="sk-SK"/>
        </w:rPr>
      </w:pPr>
      <w:r w:rsidRPr="49411E1F">
        <w:rPr>
          <w:sz w:val="20"/>
          <w:szCs w:val="20"/>
          <w:lang w:val="sk-SK"/>
        </w:rPr>
        <w:t>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w:t>
      </w:r>
    </w:p>
    <w:p w14:paraId="528AAD08" w14:textId="77777777" w:rsidR="005474AF" w:rsidRPr="00091C81" w:rsidRDefault="005474AF" w:rsidP="005474AF">
      <w:pPr>
        <w:jc w:val="both"/>
        <w:rPr>
          <w:sz w:val="20"/>
          <w:szCs w:val="20"/>
          <w:lang w:val="sk-SK"/>
        </w:rPr>
      </w:pPr>
    </w:p>
    <w:p w14:paraId="2D1CE97E" w14:textId="77777777" w:rsidR="005474AF" w:rsidRPr="00091C81" w:rsidRDefault="005474AF" w:rsidP="005474AF">
      <w:pPr>
        <w:spacing w:after="120"/>
        <w:jc w:val="both"/>
        <w:rPr>
          <w:sz w:val="20"/>
          <w:szCs w:val="20"/>
          <w:lang w:val="sk-SK"/>
        </w:rPr>
      </w:pPr>
      <w:r w:rsidRPr="00091C81">
        <w:rPr>
          <w:sz w:val="20"/>
          <w:szCs w:val="20"/>
          <w:lang w:val="sk-SK"/>
        </w:rPr>
        <w:t>Dodatočné požiadavky verejného obstarávateľa v súvislosti s predmetom zákazky:</w:t>
      </w:r>
    </w:p>
    <w:p w14:paraId="49365B98" w14:textId="77777777" w:rsidR="005474AF" w:rsidRPr="00091C81" w:rsidRDefault="005474AF" w:rsidP="00D15336">
      <w:pPr>
        <w:pStyle w:val="Odsekzoznamu"/>
        <w:numPr>
          <w:ilvl w:val="2"/>
          <w:numId w:val="1"/>
        </w:numPr>
        <w:spacing w:after="120"/>
        <w:ind w:left="426" w:hanging="426"/>
        <w:contextualSpacing w:val="0"/>
        <w:jc w:val="both"/>
        <w:rPr>
          <w:sz w:val="20"/>
          <w:szCs w:val="20"/>
          <w:lang w:val="sk-SK"/>
        </w:rPr>
      </w:pPr>
      <w:r w:rsidRPr="00091C81">
        <w:rPr>
          <w:sz w:val="20"/>
          <w:szCs w:val="20"/>
          <w:lang w:val="sk-SK"/>
        </w:rPr>
        <w:t>rovnaká cenová úroveň pri službách podpory počas celej doby trvania RD, a to ako pri službách podpory k existujúcim licenciám, novo nakúpeným licenciám, tak aj licenciám pristupujúcim v priebehu zmluvného vzťahu v prípade pristúpenia organizácií.</w:t>
      </w:r>
    </w:p>
    <w:p w14:paraId="4564A15F" w14:textId="77777777" w:rsidR="005474AF" w:rsidRPr="00091C81" w:rsidRDefault="005474AF" w:rsidP="00D15336">
      <w:pPr>
        <w:pStyle w:val="Odsekzoznamu"/>
        <w:numPr>
          <w:ilvl w:val="2"/>
          <w:numId w:val="1"/>
        </w:numPr>
        <w:spacing w:after="120"/>
        <w:ind w:left="426" w:hanging="426"/>
        <w:contextualSpacing w:val="0"/>
        <w:jc w:val="both"/>
        <w:rPr>
          <w:sz w:val="20"/>
          <w:szCs w:val="20"/>
          <w:lang w:val="sk-SK"/>
        </w:rPr>
      </w:pPr>
      <w:r w:rsidRPr="6A0A9623">
        <w:rPr>
          <w:sz w:val="20"/>
          <w:szCs w:val="20"/>
          <w:lang w:val="sk-SK"/>
        </w:rPr>
        <w:t>verejný obstarávateľ požaduje neaplikovanie administratívneho poplatku za obnovenie služieb podpory licencií v prípade, ktoré nemali kontinuálne zabezpečenú podporu. Pre vysvetlenie ide o administratívny poplatok nad rámec poplatku za zabezpečenie kontinuity služieb podpory.</w:t>
      </w:r>
    </w:p>
    <w:p w14:paraId="408F9A78" w14:textId="77777777" w:rsidR="005474AF" w:rsidRPr="00091C81" w:rsidRDefault="005474AF" w:rsidP="00D15336">
      <w:pPr>
        <w:pStyle w:val="Odsekzoznamu"/>
        <w:numPr>
          <w:ilvl w:val="2"/>
          <w:numId w:val="1"/>
        </w:numPr>
        <w:spacing w:after="120"/>
        <w:ind w:left="426" w:hanging="426"/>
        <w:contextualSpacing w:val="0"/>
        <w:jc w:val="both"/>
        <w:rPr>
          <w:sz w:val="20"/>
          <w:szCs w:val="20"/>
          <w:lang w:val="sk-SK"/>
        </w:rPr>
      </w:pPr>
      <w:r w:rsidRPr="00091C81">
        <w:rPr>
          <w:sz w:val="20"/>
          <w:szCs w:val="20"/>
          <w:lang w:val="sk-SK"/>
        </w:rPr>
        <w:lastRenderedPageBreak/>
        <w:t>požaduje možnosť zámeny štruktúry SAP produktov vo vlastníctve jednotlivých organizácií (s výnimkou produktov 3 strán, napr. embedovaná databáza DB Oracle, DB2, atď.). Verejný obstarávateľ pod pojmom možnosť zámeny (možnosť flexingu, konverzie resp. iného hodnotového benefitu) vníma ako mechanizmus podliehajúci konkrétnemu obchodnému prípadu.</w:t>
      </w:r>
    </w:p>
    <w:p w14:paraId="2CB2927E" w14:textId="77777777" w:rsidR="00985B04" w:rsidRPr="00091C81" w:rsidRDefault="00985B04">
      <w:pPr>
        <w:rPr>
          <w:sz w:val="20"/>
          <w:szCs w:val="20"/>
        </w:rPr>
      </w:pPr>
    </w:p>
    <w:sectPr w:rsidR="00985B04" w:rsidRPr="00091C8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50AEE" w14:textId="77777777" w:rsidR="00807737" w:rsidRDefault="00807737" w:rsidP="005474AF">
      <w:r>
        <w:separator/>
      </w:r>
    </w:p>
  </w:endnote>
  <w:endnote w:type="continuationSeparator" w:id="0">
    <w:p w14:paraId="302AD6C4" w14:textId="77777777" w:rsidR="00807737" w:rsidRDefault="00807737" w:rsidP="0054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ABEB2" w14:textId="77777777" w:rsidR="00990AE0" w:rsidRDefault="00990AE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91B7B" w14:textId="77777777" w:rsidR="00990AE0" w:rsidRDefault="00990AE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7B22D" w14:textId="77777777" w:rsidR="00990AE0" w:rsidRDefault="00990A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B5748" w14:textId="77777777" w:rsidR="00807737" w:rsidRDefault="00807737" w:rsidP="005474AF">
      <w:r>
        <w:separator/>
      </w:r>
    </w:p>
  </w:footnote>
  <w:footnote w:type="continuationSeparator" w:id="0">
    <w:p w14:paraId="1879D0A4" w14:textId="77777777" w:rsidR="00807737" w:rsidRDefault="00807737" w:rsidP="0054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EC689" w14:textId="77777777" w:rsidR="00990AE0" w:rsidRDefault="00990AE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6AC55" w14:textId="703505A8" w:rsidR="00990AE0" w:rsidRPr="00F42B42" w:rsidRDefault="00990AE0">
    <w:pPr>
      <w:pStyle w:val="Hlavika"/>
      <w:rPr>
        <w:sz w:val="20"/>
        <w:szCs w:val="20"/>
      </w:rPr>
    </w:pPr>
    <w:r w:rsidRPr="00F42B42">
      <w:rPr>
        <w:sz w:val="20"/>
        <w:szCs w:val="20"/>
      </w:rPr>
      <w:t>Príloha č. 3 Návrh opisu predmetu zákazky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5F5C" w14:textId="77777777" w:rsidR="00990AE0" w:rsidRDefault="00990AE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B1F9D"/>
    <w:multiLevelType w:val="multilevel"/>
    <w:tmpl w:val="84EE2C34"/>
    <w:lvl w:ilvl="0">
      <w:start w:val="3"/>
      <w:numFmt w:val="decimal"/>
      <w:lvlText w:val="%1."/>
      <w:lvlJc w:val="left"/>
      <w:pPr>
        <w:ind w:left="789" w:hanging="567"/>
      </w:pPr>
      <w:rPr>
        <w:rFonts w:ascii="Arial" w:eastAsia="Arial" w:hAnsi="Arial" w:cs="Arial" w:hint="default"/>
        <w:b/>
        <w:bCs/>
        <w:spacing w:val="0"/>
        <w:w w:val="102"/>
        <w:sz w:val="21"/>
        <w:szCs w:val="21"/>
      </w:rPr>
    </w:lvl>
    <w:lvl w:ilvl="1">
      <w:start w:val="1"/>
      <w:numFmt w:val="decimal"/>
      <w:lvlText w:val="%1.%2"/>
      <w:lvlJc w:val="left"/>
      <w:pPr>
        <w:ind w:left="789" w:hanging="567"/>
      </w:pPr>
      <w:rPr>
        <w:rFonts w:ascii="Arial" w:eastAsia="Arial" w:hAnsi="Arial" w:cs="Arial" w:hint="default"/>
        <w:b w:val="0"/>
        <w:spacing w:val="0"/>
        <w:w w:val="102"/>
        <w:sz w:val="21"/>
        <w:szCs w:val="21"/>
      </w:rPr>
    </w:lvl>
    <w:lvl w:ilvl="2">
      <w:numFmt w:val="bullet"/>
      <w:lvlText w:val="-"/>
      <w:lvlJc w:val="left"/>
      <w:pPr>
        <w:ind w:left="1073" w:hanging="284"/>
      </w:pPr>
      <w:rPr>
        <w:rFonts w:hint="default"/>
        <w:w w:val="102"/>
      </w:rPr>
    </w:lvl>
    <w:lvl w:ilvl="3">
      <w:start w:val="1"/>
      <w:numFmt w:val="bullet"/>
      <w:lvlText w:val=""/>
      <w:lvlJc w:val="left"/>
      <w:pPr>
        <w:ind w:left="1640" w:hanging="283"/>
      </w:pPr>
      <w:rPr>
        <w:rFonts w:ascii="Symbol" w:hAnsi="Symbol" w:hint="default"/>
        <w:w w:val="100"/>
      </w:rPr>
    </w:lvl>
    <w:lvl w:ilvl="4">
      <w:numFmt w:val="bullet"/>
      <w:lvlText w:val="•"/>
      <w:lvlJc w:val="left"/>
      <w:pPr>
        <w:ind w:left="3725" w:hanging="283"/>
      </w:pPr>
      <w:rPr>
        <w:rFonts w:hint="default"/>
      </w:rPr>
    </w:lvl>
    <w:lvl w:ilvl="5">
      <w:numFmt w:val="bullet"/>
      <w:lvlText w:val="•"/>
      <w:lvlJc w:val="left"/>
      <w:pPr>
        <w:ind w:left="4767" w:hanging="283"/>
      </w:pPr>
      <w:rPr>
        <w:rFonts w:hint="default"/>
      </w:rPr>
    </w:lvl>
    <w:lvl w:ilvl="6">
      <w:numFmt w:val="bullet"/>
      <w:lvlText w:val="•"/>
      <w:lvlJc w:val="left"/>
      <w:pPr>
        <w:ind w:left="5810" w:hanging="283"/>
      </w:pPr>
      <w:rPr>
        <w:rFonts w:hint="default"/>
      </w:rPr>
    </w:lvl>
    <w:lvl w:ilvl="7">
      <w:numFmt w:val="bullet"/>
      <w:lvlText w:val="•"/>
      <w:lvlJc w:val="left"/>
      <w:pPr>
        <w:ind w:left="6852" w:hanging="283"/>
      </w:pPr>
      <w:rPr>
        <w:rFonts w:hint="default"/>
      </w:rPr>
    </w:lvl>
    <w:lvl w:ilvl="8">
      <w:numFmt w:val="bullet"/>
      <w:lvlText w:val="•"/>
      <w:lvlJc w:val="left"/>
      <w:pPr>
        <w:ind w:left="7895" w:hanging="283"/>
      </w:pPr>
      <w:rPr>
        <w:rFonts w:hint="default"/>
      </w:rPr>
    </w:lvl>
  </w:abstractNum>
  <w:abstractNum w:abstractNumId="1" w15:restartNumberingAfterBreak="0">
    <w:nsid w:val="4B0B2126"/>
    <w:multiLevelType w:val="multilevel"/>
    <w:tmpl w:val="57083682"/>
    <w:styleLink w:val="WW8Num192"/>
    <w:lvl w:ilvl="0">
      <w:start w:val="16"/>
      <w:numFmt w:val="decimal"/>
      <w:lvlText w:val="%1."/>
      <w:lvlJc w:val="left"/>
      <w:pPr>
        <w:ind w:left="660" w:hanging="660"/>
      </w:pPr>
    </w:lvl>
    <w:lvl w:ilvl="1">
      <w:start w:val="1"/>
      <w:numFmt w:val="decimal"/>
      <w:lvlText w:val="%1.%2."/>
      <w:lvlJc w:val="left"/>
      <w:pPr>
        <w:ind w:left="1370" w:hanging="660"/>
      </w:pPr>
      <w:rPr>
        <w:rFonts w:ascii="Times New Roman" w:hAnsi="Times New Roman" w:cs="Times New Roman" w:hint="default"/>
        <w:color w:val="auto"/>
        <w:sz w:val="22"/>
        <w:szCs w:val="22"/>
      </w:rPr>
    </w:lvl>
    <w:lvl w:ilvl="2">
      <w:start w:val="1"/>
      <w:numFmt w:val="decimal"/>
      <w:lvlText w:val="%1.%2.%3."/>
      <w:lvlJc w:val="left"/>
      <w:pPr>
        <w:ind w:left="1571" w:hanging="720"/>
      </w:pPr>
      <w:rPr>
        <w:b w:val="0"/>
        <w:i w:val="0"/>
        <w:strike w:val="0"/>
        <w:dstrike w:val="0"/>
        <w:color w:val="auto"/>
        <w:u w:val="none"/>
        <w:effect w:val="none"/>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466774828">
    <w:abstractNumId w:val="0"/>
  </w:num>
  <w:num w:numId="2" w16cid:durableId="113883825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4AF"/>
    <w:rsid w:val="000679F4"/>
    <w:rsid w:val="00091C81"/>
    <w:rsid w:val="000C3C3D"/>
    <w:rsid w:val="00192A1A"/>
    <w:rsid w:val="001F6374"/>
    <w:rsid w:val="00215CCA"/>
    <w:rsid w:val="002C0BE0"/>
    <w:rsid w:val="002E1F07"/>
    <w:rsid w:val="00396F63"/>
    <w:rsid w:val="003A1A2F"/>
    <w:rsid w:val="003A3645"/>
    <w:rsid w:val="003F06C3"/>
    <w:rsid w:val="003F4143"/>
    <w:rsid w:val="00427D0B"/>
    <w:rsid w:val="004448D8"/>
    <w:rsid w:val="00477284"/>
    <w:rsid w:val="004D3C68"/>
    <w:rsid w:val="004F1BBB"/>
    <w:rsid w:val="00507DEC"/>
    <w:rsid w:val="005474AF"/>
    <w:rsid w:val="00570FE6"/>
    <w:rsid w:val="006F480D"/>
    <w:rsid w:val="00722732"/>
    <w:rsid w:val="00771040"/>
    <w:rsid w:val="007C7164"/>
    <w:rsid w:val="00807737"/>
    <w:rsid w:val="008153E8"/>
    <w:rsid w:val="00840B46"/>
    <w:rsid w:val="00905A88"/>
    <w:rsid w:val="009066B5"/>
    <w:rsid w:val="00985B04"/>
    <w:rsid w:val="00990986"/>
    <w:rsid w:val="00990AE0"/>
    <w:rsid w:val="00A50252"/>
    <w:rsid w:val="00AD18F0"/>
    <w:rsid w:val="00B30EAA"/>
    <w:rsid w:val="00CA5EA0"/>
    <w:rsid w:val="00D15336"/>
    <w:rsid w:val="00D734E6"/>
    <w:rsid w:val="00DA557A"/>
    <w:rsid w:val="00EE01CA"/>
    <w:rsid w:val="00EE32CA"/>
    <w:rsid w:val="00EF5A39"/>
    <w:rsid w:val="00F42B42"/>
    <w:rsid w:val="00F65E9D"/>
    <w:rsid w:val="00FF0923"/>
    <w:rsid w:val="00FF7AAE"/>
    <w:rsid w:val="09D46437"/>
    <w:rsid w:val="11BA408C"/>
    <w:rsid w:val="2A55F26C"/>
    <w:rsid w:val="352EC7D6"/>
    <w:rsid w:val="43A5DBAF"/>
    <w:rsid w:val="49411E1F"/>
    <w:rsid w:val="5A491567"/>
    <w:rsid w:val="6A0A96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364E8"/>
  <w15:chartTrackingRefBased/>
  <w15:docId w15:val="{DD86E401-97A1-403E-B6E7-94E10C7F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5474AF"/>
    <w:pPr>
      <w:widowControl w:val="0"/>
      <w:autoSpaceDE w:val="0"/>
      <w:autoSpaceDN w:val="0"/>
      <w:spacing w:after="0" w:line="240" w:lineRule="auto"/>
    </w:pPr>
    <w:rPr>
      <w:rFonts w:ascii="Arial" w:eastAsia="Arial" w:hAnsi="Arial" w:cs="Arial"/>
      <w:kern w:val="0"/>
      <w:lang w:val="en-US"/>
      <w14:ligatures w14:val="none"/>
    </w:rPr>
  </w:style>
  <w:style w:type="paragraph" w:styleId="Nadpis1">
    <w:name w:val="heading 1"/>
    <w:basedOn w:val="Normlny"/>
    <w:next w:val="Normlny"/>
    <w:link w:val="Nadpis1Char"/>
    <w:uiPriority w:val="9"/>
    <w:qFormat/>
    <w:rsid w:val="005474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unhideWhenUsed/>
    <w:qFormat/>
    <w:rsid w:val="005474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unhideWhenUsed/>
    <w:qFormat/>
    <w:rsid w:val="005474AF"/>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unhideWhenUsed/>
    <w:qFormat/>
    <w:rsid w:val="005474AF"/>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nhideWhenUsed/>
    <w:qFormat/>
    <w:rsid w:val="005474AF"/>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1"/>
    <w:unhideWhenUsed/>
    <w:qFormat/>
    <w:rsid w:val="005474A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5474A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474A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474A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74AF"/>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qFormat/>
    <w:rsid w:val="005474AF"/>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rsid w:val="005474AF"/>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rsid w:val="005474AF"/>
    <w:rPr>
      <w:rFonts w:eastAsiaTheme="majorEastAsia" w:cstheme="majorBidi"/>
      <w:i/>
      <w:iCs/>
      <w:color w:val="2E74B5" w:themeColor="accent1" w:themeShade="BF"/>
    </w:rPr>
  </w:style>
  <w:style w:type="character" w:customStyle="1" w:styleId="Nadpis5Char">
    <w:name w:val="Nadpis 5 Char"/>
    <w:basedOn w:val="Predvolenpsmoodseku"/>
    <w:link w:val="Nadpis5"/>
    <w:qFormat/>
    <w:rsid w:val="005474AF"/>
    <w:rPr>
      <w:rFonts w:eastAsiaTheme="majorEastAsia" w:cstheme="majorBidi"/>
      <w:color w:val="2E74B5" w:themeColor="accent1" w:themeShade="BF"/>
    </w:rPr>
  </w:style>
  <w:style w:type="character" w:customStyle="1" w:styleId="Nadpis6Char">
    <w:name w:val="Nadpis 6 Char"/>
    <w:basedOn w:val="Predvolenpsmoodseku"/>
    <w:link w:val="Nadpis6"/>
    <w:uiPriority w:val="1"/>
    <w:rsid w:val="005474AF"/>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5474A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474A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474AF"/>
    <w:rPr>
      <w:rFonts w:eastAsiaTheme="majorEastAsia" w:cstheme="majorBidi"/>
      <w:color w:val="272727" w:themeColor="text1" w:themeTint="D8"/>
    </w:rPr>
  </w:style>
  <w:style w:type="paragraph" w:styleId="Nzov">
    <w:name w:val="Title"/>
    <w:basedOn w:val="Normlny"/>
    <w:next w:val="Normlny"/>
    <w:link w:val="NzovChar"/>
    <w:uiPriority w:val="10"/>
    <w:qFormat/>
    <w:rsid w:val="005474A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474A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474A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474A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474A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474AF"/>
    <w:rPr>
      <w:i/>
      <w:iCs/>
      <w:color w:val="404040" w:themeColor="text1" w:themeTint="BF"/>
    </w:rPr>
  </w:style>
  <w:style w:type="paragraph" w:styleId="Odsekzoznamu">
    <w:name w:val="List Paragraph"/>
    <w:aliases w:val="body,Odsek zoznamu2,Bullet Number,lp1,lp11,List Paragraph11,Bullet 1,Use Case List Paragraph,Odsek,Colorful List - Accent 11,List Paragraph,ODRAZKY PRVA UROVEN,Bullet List,FooterText,numbered,Paragraphe de liste1,Medium List 2 - Accent 41"/>
    <w:basedOn w:val="Normlny"/>
    <w:link w:val="OdsekzoznamuChar"/>
    <w:uiPriority w:val="34"/>
    <w:qFormat/>
    <w:rsid w:val="005474AF"/>
    <w:pPr>
      <w:ind w:left="720"/>
      <w:contextualSpacing/>
    </w:pPr>
  </w:style>
  <w:style w:type="character" w:styleId="Intenzvnezvraznenie">
    <w:name w:val="Intense Emphasis"/>
    <w:basedOn w:val="Predvolenpsmoodseku"/>
    <w:uiPriority w:val="21"/>
    <w:qFormat/>
    <w:rsid w:val="005474AF"/>
    <w:rPr>
      <w:i/>
      <w:iCs/>
      <w:color w:val="2E74B5" w:themeColor="accent1" w:themeShade="BF"/>
    </w:rPr>
  </w:style>
  <w:style w:type="paragraph" w:styleId="Zvraznencitcia">
    <w:name w:val="Intense Quote"/>
    <w:basedOn w:val="Normlny"/>
    <w:next w:val="Normlny"/>
    <w:link w:val="ZvraznencitciaChar"/>
    <w:uiPriority w:val="30"/>
    <w:qFormat/>
    <w:rsid w:val="005474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5474AF"/>
    <w:rPr>
      <w:i/>
      <w:iCs/>
      <w:color w:val="2E74B5" w:themeColor="accent1" w:themeShade="BF"/>
    </w:rPr>
  </w:style>
  <w:style w:type="character" w:styleId="Zvraznenodkaz">
    <w:name w:val="Intense Reference"/>
    <w:basedOn w:val="Predvolenpsmoodseku"/>
    <w:uiPriority w:val="32"/>
    <w:qFormat/>
    <w:rsid w:val="005474AF"/>
    <w:rPr>
      <w:b/>
      <w:bCs/>
      <w:smallCaps/>
      <w:color w:val="2E74B5" w:themeColor="accent1" w:themeShade="BF"/>
      <w:spacing w:val="5"/>
    </w:rPr>
  </w:style>
  <w:style w:type="table" w:customStyle="1" w:styleId="NormalTable0">
    <w:name w:val="Normal Table0"/>
    <w:uiPriority w:val="2"/>
    <w:semiHidden/>
    <w:unhideWhenUsed/>
    <w:qFormat/>
    <w:rsid w:val="005474A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Obsah1">
    <w:name w:val="toc 1"/>
    <w:basedOn w:val="Normlny"/>
    <w:uiPriority w:val="39"/>
    <w:qFormat/>
    <w:rsid w:val="005474AF"/>
    <w:pPr>
      <w:spacing w:before="360" w:after="360"/>
    </w:pPr>
    <w:rPr>
      <w:rFonts w:asciiTheme="minorHAnsi" w:hAnsiTheme="minorHAnsi"/>
      <w:b/>
      <w:bCs/>
      <w:caps/>
      <w:u w:val="single"/>
    </w:rPr>
  </w:style>
  <w:style w:type="paragraph" w:styleId="Obsah2">
    <w:name w:val="toc 2"/>
    <w:basedOn w:val="Normlny"/>
    <w:uiPriority w:val="39"/>
    <w:qFormat/>
    <w:rsid w:val="005474AF"/>
    <w:rPr>
      <w:rFonts w:asciiTheme="minorHAnsi" w:hAnsiTheme="minorHAnsi"/>
      <w:b/>
      <w:bCs/>
      <w:smallCaps/>
    </w:rPr>
  </w:style>
  <w:style w:type="paragraph" w:styleId="Obsah3">
    <w:name w:val="toc 3"/>
    <w:basedOn w:val="Normlny"/>
    <w:uiPriority w:val="39"/>
    <w:qFormat/>
    <w:rsid w:val="005474AF"/>
    <w:rPr>
      <w:rFonts w:asciiTheme="minorHAnsi" w:hAnsiTheme="minorHAnsi"/>
      <w:smallCaps/>
    </w:rPr>
  </w:style>
  <w:style w:type="paragraph" w:styleId="Obsah4">
    <w:name w:val="toc 4"/>
    <w:basedOn w:val="Normlny"/>
    <w:uiPriority w:val="39"/>
    <w:qFormat/>
    <w:rsid w:val="005474AF"/>
    <w:rPr>
      <w:rFonts w:asciiTheme="minorHAnsi" w:hAnsiTheme="minorHAnsi"/>
    </w:rPr>
  </w:style>
  <w:style w:type="paragraph" w:styleId="Obsah5">
    <w:name w:val="toc 5"/>
    <w:basedOn w:val="Normlny"/>
    <w:uiPriority w:val="39"/>
    <w:qFormat/>
    <w:rsid w:val="005474AF"/>
    <w:rPr>
      <w:rFonts w:asciiTheme="minorHAnsi" w:hAnsiTheme="minorHAnsi"/>
    </w:rPr>
  </w:style>
  <w:style w:type="paragraph" w:styleId="Zkladntext">
    <w:name w:val="Body Text"/>
    <w:basedOn w:val="Normlny"/>
    <w:link w:val="ZkladntextChar"/>
    <w:uiPriority w:val="1"/>
    <w:qFormat/>
    <w:rsid w:val="005474AF"/>
    <w:rPr>
      <w:sz w:val="21"/>
      <w:szCs w:val="21"/>
    </w:rPr>
  </w:style>
  <w:style w:type="character" w:customStyle="1" w:styleId="ZkladntextChar">
    <w:name w:val="Základný text Char"/>
    <w:basedOn w:val="Predvolenpsmoodseku"/>
    <w:link w:val="Zkladntext"/>
    <w:uiPriority w:val="1"/>
    <w:rsid w:val="005474AF"/>
    <w:rPr>
      <w:rFonts w:ascii="Arial" w:eastAsia="Arial" w:hAnsi="Arial" w:cs="Arial"/>
      <w:kern w:val="0"/>
      <w:sz w:val="21"/>
      <w:szCs w:val="21"/>
      <w:lang w:val="en-US"/>
      <w14:ligatures w14:val="none"/>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numbered Char"/>
    <w:basedOn w:val="Predvolenpsmoodseku"/>
    <w:link w:val="Odsekzoznamu"/>
    <w:uiPriority w:val="34"/>
    <w:qFormat/>
    <w:rsid w:val="005474AF"/>
  </w:style>
  <w:style w:type="paragraph" w:customStyle="1" w:styleId="TableParagraph">
    <w:name w:val="Table Paragraph"/>
    <w:basedOn w:val="Normlny"/>
    <w:uiPriority w:val="1"/>
    <w:qFormat/>
    <w:rsid w:val="005474AF"/>
  </w:style>
  <w:style w:type="paragraph" w:styleId="Textbubliny">
    <w:name w:val="Balloon Text"/>
    <w:basedOn w:val="Normlny"/>
    <w:link w:val="TextbublinyChar"/>
    <w:uiPriority w:val="99"/>
    <w:semiHidden/>
    <w:unhideWhenUsed/>
    <w:rsid w:val="005474AF"/>
    <w:rPr>
      <w:rFonts w:ascii="Tahoma" w:hAnsi="Tahoma" w:cs="Tahoma"/>
      <w:sz w:val="16"/>
      <w:szCs w:val="16"/>
    </w:rPr>
  </w:style>
  <w:style w:type="character" w:customStyle="1" w:styleId="TextbublinyChar">
    <w:name w:val="Text bubliny Char"/>
    <w:basedOn w:val="Predvolenpsmoodseku"/>
    <w:link w:val="Textbubliny"/>
    <w:uiPriority w:val="99"/>
    <w:semiHidden/>
    <w:rsid w:val="005474AF"/>
    <w:rPr>
      <w:rFonts w:ascii="Tahoma" w:eastAsia="Arial" w:hAnsi="Tahoma" w:cs="Tahoma"/>
      <w:kern w:val="0"/>
      <w:sz w:val="16"/>
      <w:szCs w:val="16"/>
      <w:lang w:val="en-US"/>
      <w14:ligatures w14:val="none"/>
    </w:rPr>
  </w:style>
  <w:style w:type="paragraph" w:styleId="Hlavika">
    <w:name w:val="header"/>
    <w:basedOn w:val="Normlny"/>
    <w:link w:val="HlavikaChar"/>
    <w:unhideWhenUsed/>
    <w:rsid w:val="005474AF"/>
    <w:pPr>
      <w:tabs>
        <w:tab w:val="center" w:pos="4536"/>
        <w:tab w:val="right" w:pos="9072"/>
      </w:tabs>
    </w:pPr>
  </w:style>
  <w:style w:type="character" w:customStyle="1" w:styleId="HlavikaChar">
    <w:name w:val="Hlavička Char"/>
    <w:basedOn w:val="Predvolenpsmoodseku"/>
    <w:link w:val="Hlavika"/>
    <w:qFormat/>
    <w:rsid w:val="005474AF"/>
    <w:rPr>
      <w:rFonts w:ascii="Arial" w:eastAsia="Arial" w:hAnsi="Arial" w:cs="Arial"/>
      <w:kern w:val="0"/>
      <w:lang w:val="en-US"/>
      <w14:ligatures w14:val="none"/>
    </w:rPr>
  </w:style>
  <w:style w:type="paragraph" w:styleId="Pta">
    <w:name w:val="footer"/>
    <w:basedOn w:val="Normlny"/>
    <w:link w:val="PtaChar"/>
    <w:uiPriority w:val="99"/>
    <w:unhideWhenUsed/>
    <w:rsid w:val="005474AF"/>
    <w:pPr>
      <w:tabs>
        <w:tab w:val="center" w:pos="4536"/>
        <w:tab w:val="right" w:pos="9072"/>
      </w:tabs>
    </w:pPr>
  </w:style>
  <w:style w:type="character" w:customStyle="1" w:styleId="PtaChar">
    <w:name w:val="Päta Char"/>
    <w:basedOn w:val="Predvolenpsmoodseku"/>
    <w:link w:val="Pta"/>
    <w:uiPriority w:val="99"/>
    <w:qFormat/>
    <w:rsid w:val="005474AF"/>
    <w:rPr>
      <w:rFonts w:ascii="Arial" w:eastAsia="Arial" w:hAnsi="Arial" w:cs="Arial"/>
      <w:kern w:val="0"/>
      <w:lang w:val="en-US"/>
      <w14:ligatures w14:val="none"/>
    </w:rPr>
  </w:style>
  <w:style w:type="character" w:styleId="Hypertextovprepojenie">
    <w:name w:val="Hyperlink"/>
    <w:basedOn w:val="Predvolenpsmoodseku"/>
    <w:uiPriority w:val="99"/>
    <w:unhideWhenUsed/>
    <w:rsid w:val="005474AF"/>
    <w:rPr>
      <w:color w:val="0563C1" w:themeColor="hyperlink"/>
      <w:u w:val="single"/>
    </w:rPr>
  </w:style>
  <w:style w:type="character" w:styleId="Odkaznakomentr">
    <w:name w:val="annotation reference"/>
    <w:basedOn w:val="Predvolenpsmoodseku"/>
    <w:uiPriority w:val="99"/>
    <w:semiHidden/>
    <w:unhideWhenUsed/>
    <w:rsid w:val="005474AF"/>
    <w:rPr>
      <w:sz w:val="16"/>
      <w:szCs w:val="16"/>
    </w:rPr>
  </w:style>
  <w:style w:type="paragraph" w:styleId="Textkomentra">
    <w:name w:val="annotation text"/>
    <w:basedOn w:val="Normlny"/>
    <w:link w:val="TextkomentraChar"/>
    <w:uiPriority w:val="99"/>
    <w:unhideWhenUsed/>
    <w:rsid w:val="005474AF"/>
    <w:rPr>
      <w:sz w:val="20"/>
      <w:szCs w:val="20"/>
    </w:rPr>
  </w:style>
  <w:style w:type="character" w:customStyle="1" w:styleId="TextkomentraChar">
    <w:name w:val="Text komentára Char"/>
    <w:basedOn w:val="Predvolenpsmoodseku"/>
    <w:link w:val="Textkomentra"/>
    <w:uiPriority w:val="99"/>
    <w:rsid w:val="005474AF"/>
    <w:rPr>
      <w:rFonts w:ascii="Arial" w:eastAsia="Arial" w:hAnsi="Arial" w:cs="Arial"/>
      <w:kern w:val="0"/>
      <w:sz w:val="20"/>
      <w:szCs w:val="20"/>
      <w:lang w:val="en-US"/>
      <w14:ligatures w14:val="none"/>
    </w:rPr>
  </w:style>
  <w:style w:type="paragraph" w:styleId="Predmetkomentra">
    <w:name w:val="annotation subject"/>
    <w:basedOn w:val="Textkomentra"/>
    <w:next w:val="Textkomentra"/>
    <w:link w:val="PredmetkomentraChar"/>
    <w:uiPriority w:val="99"/>
    <w:semiHidden/>
    <w:unhideWhenUsed/>
    <w:rsid w:val="005474AF"/>
    <w:rPr>
      <w:b/>
      <w:bCs/>
    </w:rPr>
  </w:style>
  <w:style w:type="character" w:customStyle="1" w:styleId="PredmetkomentraChar">
    <w:name w:val="Predmet komentára Char"/>
    <w:basedOn w:val="TextkomentraChar"/>
    <w:link w:val="Predmetkomentra"/>
    <w:uiPriority w:val="99"/>
    <w:semiHidden/>
    <w:rsid w:val="005474AF"/>
    <w:rPr>
      <w:rFonts w:ascii="Arial" w:eastAsia="Arial" w:hAnsi="Arial" w:cs="Arial"/>
      <w:b/>
      <w:bCs/>
      <w:kern w:val="0"/>
      <w:sz w:val="20"/>
      <w:szCs w:val="20"/>
      <w:lang w:val="en-US"/>
      <w14:ligatures w14:val="none"/>
    </w:rPr>
  </w:style>
  <w:style w:type="table" w:styleId="Mriekatabuky">
    <w:name w:val="Table Grid"/>
    <w:basedOn w:val="Normlnatabuka"/>
    <w:uiPriority w:val="39"/>
    <w:rsid w:val="005474AF"/>
    <w:pPr>
      <w:spacing w:after="0" w:line="240" w:lineRule="auto"/>
    </w:pPr>
    <w:rPr>
      <w:rFonts w:ascii="Georgia" w:hAnsi="Georgia"/>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5474AF"/>
    <w:pPr>
      <w:spacing w:after="0" w:line="240" w:lineRule="auto"/>
    </w:pPr>
    <w:rPr>
      <w:rFonts w:ascii="Georgia" w:hAnsi="Georgia"/>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5474A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Mriekatabuky2">
    <w:name w:val="Mriežka tabuľky2"/>
    <w:basedOn w:val="Normlnatabuka"/>
    <w:next w:val="Mriekatabuky"/>
    <w:uiPriority w:val="59"/>
    <w:rsid w:val="005474A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5474AF"/>
    <w:pPr>
      <w:widowControl/>
      <w:autoSpaceDE/>
      <w:autoSpaceDN/>
    </w:pPr>
    <w:rPr>
      <w:rFonts w:ascii="Times New Roman" w:eastAsia="Times New Roman" w:hAnsi="Times New Roman" w:cs="Times New Roman"/>
      <w:sz w:val="20"/>
      <w:szCs w:val="20"/>
      <w:lang w:val="sk-SK"/>
    </w:rPr>
  </w:style>
  <w:style w:type="character" w:customStyle="1" w:styleId="TextpoznmkypodiarouChar">
    <w:name w:val="Text poznámky pod čiarou Char"/>
    <w:basedOn w:val="Predvolenpsmoodseku"/>
    <w:link w:val="Textpoznmkypodiarou"/>
    <w:uiPriority w:val="99"/>
    <w:semiHidden/>
    <w:rsid w:val="005474AF"/>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5474AF"/>
    <w:rPr>
      <w:rFonts w:ascii="Times New Roman" w:hAnsi="Times New Roman" w:cs="Times New Roman" w:hint="default"/>
      <w:vertAlign w:val="superscript"/>
    </w:rPr>
  </w:style>
  <w:style w:type="character" w:customStyle="1" w:styleId="HlavikaChar2">
    <w:name w:val="Hlavička Char2"/>
    <w:uiPriority w:val="99"/>
    <w:semiHidden/>
    <w:locked/>
    <w:rsid w:val="005474AF"/>
    <w:rPr>
      <w:rFonts w:ascii="Calibri" w:eastAsia="Calibri" w:hAnsi="Calibri" w:cs="Times New Roman"/>
      <w:sz w:val="20"/>
      <w:szCs w:val="20"/>
      <w:vertAlign w:val="superscript"/>
      <w:lang w:val="sk-SK" w:eastAsia="sk-SK"/>
    </w:rPr>
  </w:style>
  <w:style w:type="paragraph" w:styleId="Revzia">
    <w:name w:val="Revision"/>
    <w:hidden/>
    <w:uiPriority w:val="99"/>
    <w:semiHidden/>
    <w:rsid w:val="005474AF"/>
    <w:pPr>
      <w:spacing w:after="0" w:line="240" w:lineRule="auto"/>
    </w:pPr>
    <w:rPr>
      <w:rFonts w:ascii="Arial" w:eastAsia="Arial" w:hAnsi="Arial" w:cs="Arial"/>
      <w:kern w:val="0"/>
      <w:lang w:val="en-US"/>
      <w14:ligatures w14:val="none"/>
    </w:rPr>
  </w:style>
  <w:style w:type="character" w:styleId="PouitHypertextovPrepojenie">
    <w:name w:val="FollowedHyperlink"/>
    <w:basedOn w:val="Predvolenpsmoodseku"/>
    <w:uiPriority w:val="99"/>
    <w:semiHidden/>
    <w:unhideWhenUsed/>
    <w:rsid w:val="005474AF"/>
    <w:rPr>
      <w:color w:val="954F72" w:themeColor="followedHyperlink"/>
      <w:u w:val="single"/>
    </w:rPr>
  </w:style>
  <w:style w:type="table" w:customStyle="1" w:styleId="Mriekatabuky3">
    <w:name w:val="Mriežka tabuľky3"/>
    <w:basedOn w:val="Normlnatabuka"/>
    <w:next w:val="Mriekatabuky"/>
    <w:uiPriority w:val="39"/>
    <w:rsid w:val="005474AF"/>
    <w:pPr>
      <w:spacing w:after="0" w:line="240" w:lineRule="auto"/>
    </w:pPr>
    <w:rPr>
      <w:rFonts w:ascii="Georgia" w:hAnsi="Georgia"/>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39"/>
    <w:rsid w:val="005474AF"/>
    <w:pPr>
      <w:spacing w:after="0" w:line="240" w:lineRule="auto"/>
    </w:pPr>
    <w:rPr>
      <w:rFonts w:ascii="Georgia" w:hAnsi="Georgia"/>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5474AF"/>
    <w:pPr>
      <w:spacing w:before="480" w:after="0" w:line="276" w:lineRule="auto"/>
      <w:outlineLvl w:val="9"/>
    </w:pPr>
    <w:rPr>
      <w:b/>
      <w:bCs/>
      <w:sz w:val="28"/>
      <w:szCs w:val="28"/>
      <w:lang w:eastAsia="sk-SK"/>
    </w:rPr>
  </w:style>
  <w:style w:type="paragraph" w:styleId="Obsah6">
    <w:name w:val="toc 6"/>
    <w:basedOn w:val="Normlny"/>
    <w:next w:val="Normlny"/>
    <w:autoRedefine/>
    <w:uiPriority w:val="39"/>
    <w:unhideWhenUsed/>
    <w:rsid w:val="005474AF"/>
    <w:rPr>
      <w:rFonts w:asciiTheme="minorHAnsi" w:hAnsiTheme="minorHAnsi"/>
    </w:rPr>
  </w:style>
  <w:style w:type="paragraph" w:styleId="Obsah7">
    <w:name w:val="toc 7"/>
    <w:basedOn w:val="Normlny"/>
    <w:next w:val="Normlny"/>
    <w:autoRedefine/>
    <w:uiPriority w:val="39"/>
    <w:unhideWhenUsed/>
    <w:rsid w:val="005474AF"/>
    <w:rPr>
      <w:rFonts w:asciiTheme="minorHAnsi" w:hAnsiTheme="minorHAnsi"/>
    </w:rPr>
  </w:style>
  <w:style w:type="paragraph" w:styleId="Obsah8">
    <w:name w:val="toc 8"/>
    <w:basedOn w:val="Normlny"/>
    <w:next w:val="Normlny"/>
    <w:autoRedefine/>
    <w:uiPriority w:val="39"/>
    <w:unhideWhenUsed/>
    <w:rsid w:val="005474AF"/>
    <w:rPr>
      <w:rFonts w:asciiTheme="minorHAnsi" w:hAnsiTheme="minorHAnsi"/>
    </w:rPr>
  </w:style>
  <w:style w:type="paragraph" w:styleId="Obsah9">
    <w:name w:val="toc 9"/>
    <w:basedOn w:val="Normlny"/>
    <w:next w:val="Normlny"/>
    <w:autoRedefine/>
    <w:uiPriority w:val="39"/>
    <w:unhideWhenUsed/>
    <w:rsid w:val="005474AF"/>
    <w:rPr>
      <w:rFonts w:asciiTheme="minorHAnsi" w:hAnsiTheme="minorHAnsi"/>
    </w:rPr>
  </w:style>
  <w:style w:type="character" w:customStyle="1" w:styleId="InternetLink">
    <w:name w:val="Internet Link"/>
    <w:basedOn w:val="Predvolenpsmoodseku"/>
    <w:uiPriority w:val="99"/>
    <w:unhideWhenUsed/>
    <w:rsid w:val="005474AF"/>
    <w:rPr>
      <w:color w:val="0563C1" w:themeColor="hyperlink"/>
      <w:u w:val="single"/>
    </w:rPr>
  </w:style>
  <w:style w:type="paragraph" w:styleId="Popis">
    <w:name w:val="caption"/>
    <w:basedOn w:val="Normlny"/>
    <w:next w:val="Normlny"/>
    <w:uiPriority w:val="35"/>
    <w:unhideWhenUsed/>
    <w:qFormat/>
    <w:rsid w:val="005474AF"/>
    <w:pPr>
      <w:widowControl/>
      <w:autoSpaceDE/>
      <w:autoSpaceDN/>
      <w:spacing w:after="200"/>
    </w:pPr>
    <w:rPr>
      <w:rFonts w:asciiTheme="minorHAnsi" w:eastAsiaTheme="minorHAnsi" w:hAnsiTheme="minorHAnsi" w:cstheme="minorBidi"/>
      <w:b/>
      <w:bCs/>
      <w:color w:val="5B9BD5" w:themeColor="accent1"/>
      <w:sz w:val="18"/>
      <w:szCs w:val="18"/>
      <w:lang w:val="sk-SK"/>
    </w:rPr>
  </w:style>
  <w:style w:type="paragraph" w:styleId="Zoznamobrzkov">
    <w:name w:val="table of figures"/>
    <w:basedOn w:val="Normlny"/>
    <w:next w:val="Normlny"/>
    <w:uiPriority w:val="99"/>
    <w:unhideWhenUsed/>
    <w:rsid w:val="005474AF"/>
    <w:pPr>
      <w:widowControl/>
      <w:autoSpaceDE/>
      <w:autoSpaceDN/>
      <w:spacing w:line="259" w:lineRule="auto"/>
    </w:pPr>
    <w:rPr>
      <w:rFonts w:asciiTheme="minorHAnsi" w:eastAsiaTheme="minorHAnsi" w:hAnsiTheme="minorHAnsi" w:cstheme="minorBidi"/>
      <w:lang w:val="sk-SK"/>
    </w:rPr>
  </w:style>
  <w:style w:type="paragraph" w:customStyle="1" w:styleId="msonormal0">
    <w:name w:val="msonormal"/>
    <w:basedOn w:val="Normlny"/>
    <w:rsid w:val="005474AF"/>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xl63">
    <w:name w:val="xl63"/>
    <w:basedOn w:val="Normlny"/>
    <w:rsid w:val="005474AF"/>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table" w:customStyle="1" w:styleId="Mriekatabuky5">
    <w:name w:val="Mriežka tabuľky5"/>
    <w:basedOn w:val="Normlnatabuka"/>
    <w:next w:val="Mriekatabuky"/>
    <w:uiPriority w:val="39"/>
    <w:rsid w:val="005474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474AF"/>
    <w:pPr>
      <w:spacing w:after="0" w:line="240" w:lineRule="auto"/>
    </w:pPr>
    <w:rPr>
      <w:kern w:val="0"/>
      <w14:ligatures w14:val="none"/>
    </w:rPr>
  </w:style>
  <w:style w:type="table" w:customStyle="1" w:styleId="TableGrid0">
    <w:name w:val="Table Grid0"/>
    <w:rsid w:val="005474AF"/>
    <w:pPr>
      <w:spacing w:after="0" w:line="240" w:lineRule="auto"/>
    </w:pPr>
    <w:rPr>
      <w:rFonts w:eastAsiaTheme="minorEastAsia"/>
      <w:kern w:val="0"/>
      <w:lang w:eastAsia="sk-SK"/>
      <w14:ligatures w14:val="none"/>
    </w:rPr>
    <w:tblPr>
      <w:tblCellMar>
        <w:top w:w="0" w:type="dxa"/>
        <w:left w:w="0" w:type="dxa"/>
        <w:bottom w:w="0" w:type="dxa"/>
        <w:right w:w="0" w:type="dxa"/>
      </w:tblCellMar>
    </w:tblPr>
  </w:style>
  <w:style w:type="table" w:styleId="Tabukasmriekou1svetlzvraznenie6">
    <w:name w:val="Grid Table 1 Light Accent 6"/>
    <w:basedOn w:val="Normlnatabuka"/>
    <w:uiPriority w:val="46"/>
    <w:rsid w:val="005474AF"/>
    <w:pPr>
      <w:widowControl w:val="0"/>
      <w:autoSpaceDE w:val="0"/>
      <w:autoSpaceDN w:val="0"/>
      <w:spacing w:after="0" w:line="240" w:lineRule="auto"/>
    </w:pPr>
    <w:rPr>
      <w:kern w:val="0"/>
      <w:lang w:val="en-US"/>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TitleBlockHeading">
    <w:name w:val="Title Block Heading"/>
    <w:basedOn w:val="Normlny"/>
    <w:rsid w:val="005474AF"/>
    <w:pPr>
      <w:widowControl/>
      <w:autoSpaceDE/>
      <w:autoSpaceDN/>
      <w:spacing w:before="60"/>
    </w:pPr>
    <w:rPr>
      <w:rFonts w:ascii="Times New Roman" w:eastAsia="Times New Roman" w:hAnsi="Times New Roman" w:cs="Times New Roman"/>
      <w:sz w:val="16"/>
      <w:szCs w:val="16"/>
      <w:lang w:val="en-GB"/>
    </w:rPr>
  </w:style>
  <w:style w:type="paragraph" w:customStyle="1" w:styleId="Tabulka">
    <w:name w:val="Tabulka"/>
    <w:basedOn w:val="Normlny"/>
    <w:rsid w:val="005474AF"/>
    <w:pPr>
      <w:widowControl/>
      <w:suppressAutoHyphens/>
      <w:overflowPunct w:val="0"/>
      <w:autoSpaceDN/>
      <w:spacing w:before="20" w:after="120"/>
      <w:textAlignment w:val="baseline"/>
    </w:pPr>
    <w:rPr>
      <w:rFonts w:eastAsia="Times New Roman" w:cs="Times New Roman"/>
      <w:sz w:val="18"/>
      <w:szCs w:val="20"/>
      <w:lang w:val="sk-SK" w:eastAsia="ar-SA"/>
    </w:rPr>
  </w:style>
  <w:style w:type="paragraph" w:customStyle="1" w:styleId="HProjekt">
    <w:name w:val="H_Projekt"/>
    <w:basedOn w:val="Tabulka"/>
    <w:rsid w:val="005474AF"/>
    <w:rPr>
      <w:bCs/>
      <w:sz w:val="20"/>
    </w:rPr>
  </w:style>
  <w:style w:type="paragraph" w:customStyle="1" w:styleId="HVerzia">
    <w:name w:val="H_Verzia"/>
    <w:basedOn w:val="Tabulka"/>
    <w:rsid w:val="005474AF"/>
    <w:rPr>
      <w:bCs/>
      <w:sz w:val="20"/>
    </w:rPr>
  </w:style>
  <w:style w:type="paragraph" w:styleId="Normlnywebov">
    <w:name w:val="Normal (Web)"/>
    <w:basedOn w:val="Normlny"/>
    <w:uiPriority w:val="99"/>
    <w:unhideWhenUsed/>
    <w:qFormat/>
    <w:rsid w:val="005474AF"/>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character" w:styleId="PremennHTML">
    <w:name w:val="HTML Variable"/>
    <w:basedOn w:val="Predvolenpsmoodseku"/>
    <w:uiPriority w:val="99"/>
    <w:semiHidden/>
    <w:unhideWhenUsed/>
    <w:rsid w:val="005474AF"/>
    <w:rPr>
      <w:i/>
      <w:iCs/>
    </w:rPr>
  </w:style>
  <w:style w:type="paragraph" w:customStyle="1" w:styleId="Bulletslevel1">
    <w:name w:val="Bullets level 1"/>
    <w:basedOn w:val="Normlny"/>
    <w:link w:val="Bulletslevel1Char"/>
    <w:qFormat/>
    <w:rsid w:val="005474AF"/>
    <w:pPr>
      <w:widowControl/>
      <w:autoSpaceDE/>
      <w:autoSpaceDN/>
      <w:spacing w:before="120"/>
      <w:ind w:left="182" w:hanging="40"/>
      <w:jc w:val="both"/>
    </w:pPr>
    <w:rPr>
      <w:rFonts w:eastAsia="Times New Roman" w:cs="Times New Roman"/>
      <w:color w:val="000000"/>
      <w:sz w:val="19"/>
      <w:szCs w:val="20"/>
      <w:lang w:val="en-GB"/>
    </w:rPr>
  </w:style>
  <w:style w:type="character" w:customStyle="1" w:styleId="Bulletslevel1Char">
    <w:name w:val="Bullets level 1 Char"/>
    <w:link w:val="Bulletslevel1"/>
    <w:locked/>
    <w:rsid w:val="005474AF"/>
    <w:rPr>
      <w:rFonts w:ascii="Arial" w:eastAsia="Times New Roman" w:hAnsi="Arial" w:cs="Times New Roman"/>
      <w:color w:val="000000"/>
      <w:kern w:val="0"/>
      <w:sz w:val="19"/>
      <w:szCs w:val="20"/>
      <w:lang w:val="en-GB"/>
      <w14:ligatures w14:val="none"/>
    </w:rPr>
  </w:style>
  <w:style w:type="paragraph" w:styleId="Oznaitext">
    <w:name w:val="Block Text"/>
    <w:basedOn w:val="Normlny"/>
    <w:rsid w:val="005474AF"/>
    <w:pPr>
      <w:widowControl/>
      <w:autoSpaceDE/>
      <w:autoSpaceDN/>
      <w:ind w:left="1080" w:right="720"/>
      <w:jc w:val="center"/>
    </w:pPr>
    <w:rPr>
      <w:rFonts w:eastAsia="Times New Roman" w:cs="Times New Roman"/>
      <w:b/>
      <w:sz w:val="32"/>
      <w:szCs w:val="20"/>
      <w:lang w:val="sk-SK" w:eastAsia="cs-CZ"/>
    </w:rPr>
  </w:style>
  <w:style w:type="numbering" w:customStyle="1" w:styleId="WW8Num192">
    <w:name w:val="WW8Num192"/>
    <w:rsid w:val="005474A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34955">
      <w:bodyDiv w:val="1"/>
      <w:marLeft w:val="0"/>
      <w:marRight w:val="0"/>
      <w:marTop w:val="0"/>
      <w:marBottom w:val="0"/>
      <w:divBdr>
        <w:top w:val="none" w:sz="0" w:space="0" w:color="auto"/>
        <w:left w:val="none" w:sz="0" w:space="0" w:color="auto"/>
        <w:bottom w:val="none" w:sz="0" w:space="0" w:color="auto"/>
        <w:right w:val="none" w:sz="0" w:space="0" w:color="auto"/>
      </w:divBdr>
    </w:div>
    <w:div w:id="1055130782">
      <w:bodyDiv w:val="1"/>
      <w:marLeft w:val="0"/>
      <w:marRight w:val="0"/>
      <w:marTop w:val="0"/>
      <w:marBottom w:val="0"/>
      <w:divBdr>
        <w:top w:val="none" w:sz="0" w:space="0" w:color="auto"/>
        <w:left w:val="none" w:sz="0" w:space="0" w:color="auto"/>
        <w:bottom w:val="none" w:sz="0" w:space="0" w:color="auto"/>
        <w:right w:val="none" w:sz="0" w:space="0" w:color="auto"/>
      </w:divBdr>
    </w:div>
    <w:div w:id="21049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50D61B8115E44A4A102E1915D7758" ma:contentTypeVersion="3" ma:contentTypeDescription="Create a new document." ma:contentTypeScope="" ma:versionID="1defc9a82468f32dece031235f369292">
  <xsd:schema xmlns:xsd="http://www.w3.org/2001/XMLSchema" xmlns:xs="http://www.w3.org/2001/XMLSchema" xmlns:p="http://schemas.microsoft.com/office/2006/metadata/properties" xmlns:ns2="69d34dea-ea73-4561-ad55-8dd0a2ce8136" targetNamespace="http://schemas.microsoft.com/office/2006/metadata/properties" ma:root="true" ma:fieldsID="a7b751182e1c87262d16c49ee48478a2" ns2:_="">
    <xsd:import namespace="69d34dea-ea73-4561-ad55-8dd0a2ce81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34dea-ea73-4561-ad55-8dd0a2ce8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CAE4E-EE16-477F-9095-1177F756D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34dea-ea73-4561-ad55-8dd0a2c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6E0F5-954E-412C-9CF4-C575D72D0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7FFF77-C93D-486E-84A7-AB5AB3674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2722</Words>
  <Characters>15516</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Brusnický, Michal</dc:creator>
  <cp:keywords/>
  <dc:description/>
  <cp:lastModifiedBy>Tarasovičová, Zuzana</cp:lastModifiedBy>
  <cp:revision>2</cp:revision>
  <dcterms:created xsi:type="dcterms:W3CDTF">2026-01-07T09:58:00Z</dcterms:created>
  <dcterms:modified xsi:type="dcterms:W3CDTF">2026-01-07T09:58:00Z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0x01010086150D61B8115E44A4A102E1915D7758</vt:lpwstr>
  </property>
</Properties>
</file>