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74CB0" w14:textId="77777777" w:rsidR="009940A9" w:rsidRDefault="004B7756" w:rsidP="00151681">
      <w:pPr>
        <w:spacing w:after="0" w:line="240" w:lineRule="auto"/>
        <w:jc w:val="right"/>
        <w:rPr>
          <w:color w:val="1F497D"/>
          <w:sz w:val="18"/>
          <w:szCs w:val="18"/>
        </w:rPr>
      </w:pPr>
      <w:bookmarkStart w:id="0" w:name="_GoBack"/>
      <w:bookmarkEnd w:id="0"/>
      <w:r w:rsidRPr="00842B3D">
        <w:rPr>
          <w:b/>
          <w:color w:val="1F497D"/>
          <w:sz w:val="18"/>
          <w:szCs w:val="18"/>
        </w:rPr>
        <w:tab/>
      </w:r>
      <w:r w:rsidRPr="00842B3D">
        <w:rPr>
          <w:b/>
          <w:color w:val="1F497D"/>
          <w:sz w:val="18"/>
          <w:szCs w:val="18"/>
        </w:rPr>
        <w:tab/>
      </w:r>
      <w:r>
        <w:rPr>
          <w:b/>
          <w:color w:val="1F497D"/>
          <w:sz w:val="18"/>
          <w:szCs w:val="18"/>
        </w:rPr>
        <w:tab/>
      </w:r>
      <w:r>
        <w:rPr>
          <w:b/>
          <w:color w:val="1F497D"/>
          <w:sz w:val="18"/>
          <w:szCs w:val="18"/>
        </w:rPr>
        <w:tab/>
      </w:r>
      <w:r>
        <w:rPr>
          <w:b/>
          <w:color w:val="1F497D"/>
          <w:sz w:val="18"/>
          <w:szCs w:val="18"/>
        </w:rPr>
        <w:tab/>
      </w:r>
      <w:r>
        <w:rPr>
          <w:b/>
          <w:color w:val="1F497D"/>
          <w:sz w:val="18"/>
          <w:szCs w:val="18"/>
        </w:rPr>
        <w:tab/>
      </w:r>
      <w:r>
        <w:rPr>
          <w:b/>
          <w:color w:val="1F497D"/>
          <w:sz w:val="18"/>
          <w:szCs w:val="18"/>
        </w:rPr>
        <w:tab/>
      </w:r>
      <w:r>
        <w:rPr>
          <w:b/>
          <w:color w:val="1F497D"/>
          <w:sz w:val="18"/>
          <w:szCs w:val="18"/>
        </w:rPr>
        <w:tab/>
      </w:r>
      <w:r w:rsidRPr="00123A81">
        <w:rPr>
          <w:color w:val="1F497D"/>
          <w:sz w:val="18"/>
          <w:szCs w:val="18"/>
        </w:rPr>
        <w:t xml:space="preserve">                                         </w:t>
      </w:r>
    </w:p>
    <w:p w14:paraId="0A35B27D" w14:textId="36E740B1" w:rsidR="009940A9" w:rsidRDefault="009940A9" w:rsidP="00151681">
      <w:pPr>
        <w:spacing w:after="0" w:line="240" w:lineRule="auto"/>
        <w:jc w:val="right"/>
        <w:rPr>
          <w:color w:val="1F497D"/>
          <w:sz w:val="18"/>
          <w:szCs w:val="18"/>
        </w:rPr>
      </w:pPr>
      <w:r w:rsidRPr="00A472CC">
        <w:rPr>
          <w:sz w:val="18"/>
          <w:szCs w:val="18"/>
        </w:rPr>
        <w:t xml:space="preserve">Príloha </w:t>
      </w:r>
      <w:r w:rsidR="00062EF4" w:rsidRPr="00A472CC">
        <w:rPr>
          <w:sz w:val="18"/>
          <w:szCs w:val="18"/>
        </w:rPr>
        <w:t>V</w:t>
      </w:r>
      <w:r w:rsidR="00A472CC" w:rsidRPr="00A472CC">
        <w:rPr>
          <w:sz w:val="18"/>
          <w:szCs w:val="18"/>
        </w:rPr>
        <w:t>05</w:t>
      </w:r>
      <w:r w:rsidRPr="00123A81">
        <w:rPr>
          <w:sz w:val="18"/>
          <w:szCs w:val="18"/>
        </w:rPr>
        <w:t xml:space="preserve">                             </w:t>
      </w:r>
    </w:p>
    <w:p w14:paraId="490D21E1" w14:textId="77777777" w:rsidR="004B7756" w:rsidRDefault="004B7756" w:rsidP="00151681">
      <w:pPr>
        <w:spacing w:before="120" w:line="240" w:lineRule="auto"/>
        <w:jc w:val="center"/>
        <w:rPr>
          <w:b/>
          <w:color w:val="1F497D"/>
          <w:sz w:val="36"/>
          <w:szCs w:val="36"/>
        </w:rPr>
      </w:pPr>
    </w:p>
    <w:p w14:paraId="17D98A1F" w14:textId="77777777" w:rsidR="00461D6B" w:rsidRDefault="00461D6B" w:rsidP="00151681">
      <w:pPr>
        <w:spacing w:before="120" w:line="240" w:lineRule="auto"/>
        <w:jc w:val="center"/>
        <w:rPr>
          <w:b/>
          <w:color w:val="1F497D"/>
          <w:sz w:val="36"/>
          <w:szCs w:val="36"/>
        </w:rPr>
      </w:pPr>
    </w:p>
    <w:p w14:paraId="0F948D19" w14:textId="77777777" w:rsidR="008E6246" w:rsidRDefault="008E6246" w:rsidP="00151681">
      <w:pPr>
        <w:spacing w:before="120" w:line="240" w:lineRule="auto"/>
        <w:jc w:val="center"/>
        <w:rPr>
          <w:b/>
          <w:color w:val="1F497D"/>
          <w:sz w:val="36"/>
          <w:szCs w:val="36"/>
        </w:rPr>
      </w:pPr>
    </w:p>
    <w:p w14:paraId="50F5B6A5" w14:textId="77777777" w:rsidR="00794E3B" w:rsidRDefault="00794E3B" w:rsidP="00151681">
      <w:pPr>
        <w:spacing w:before="120" w:line="240" w:lineRule="auto"/>
        <w:jc w:val="center"/>
        <w:rPr>
          <w:b/>
          <w:color w:val="1F497D"/>
          <w:sz w:val="36"/>
          <w:szCs w:val="36"/>
        </w:rPr>
      </w:pPr>
    </w:p>
    <w:p w14:paraId="7D6CCB7A" w14:textId="77777777" w:rsidR="00794E3B" w:rsidRDefault="00794E3B" w:rsidP="00151681">
      <w:pPr>
        <w:spacing w:before="120" w:line="240" w:lineRule="auto"/>
        <w:jc w:val="center"/>
        <w:rPr>
          <w:b/>
          <w:color w:val="1F497D"/>
          <w:sz w:val="36"/>
          <w:szCs w:val="36"/>
        </w:rPr>
      </w:pPr>
    </w:p>
    <w:p w14:paraId="51C70AF8" w14:textId="77777777" w:rsidR="00461D6B" w:rsidRDefault="00461D6B" w:rsidP="00151681">
      <w:pPr>
        <w:spacing w:before="120" w:line="240" w:lineRule="auto"/>
        <w:jc w:val="center"/>
        <w:rPr>
          <w:b/>
          <w:color w:val="1F497D"/>
          <w:sz w:val="36"/>
          <w:szCs w:val="36"/>
        </w:rPr>
      </w:pPr>
    </w:p>
    <w:p w14:paraId="5BFCAB7A" w14:textId="77777777" w:rsidR="00794E3B" w:rsidRDefault="00794E3B" w:rsidP="00151681">
      <w:pPr>
        <w:spacing w:before="120" w:line="240" w:lineRule="auto"/>
        <w:jc w:val="center"/>
        <w:rPr>
          <w:b/>
          <w:color w:val="1F497D"/>
          <w:sz w:val="36"/>
          <w:szCs w:val="36"/>
        </w:rPr>
      </w:pPr>
    </w:p>
    <w:p w14:paraId="074B49EE" w14:textId="77777777" w:rsidR="00A54581" w:rsidRDefault="004B7756" w:rsidP="00151681">
      <w:pPr>
        <w:spacing w:before="120" w:line="240" w:lineRule="auto"/>
        <w:jc w:val="center"/>
        <w:rPr>
          <w:b/>
          <w:color w:val="1F497D"/>
          <w:sz w:val="36"/>
          <w:szCs w:val="36"/>
        </w:rPr>
      </w:pPr>
      <w:r w:rsidRPr="00C94F4E">
        <w:rPr>
          <w:b/>
          <w:color w:val="1F497D"/>
          <w:sz w:val="36"/>
          <w:szCs w:val="36"/>
        </w:rPr>
        <w:t xml:space="preserve">Pravidlá oprávnenosti výdavkov </w:t>
      </w:r>
      <w:r w:rsidR="00A13922">
        <w:rPr>
          <w:b/>
          <w:color w:val="1F497D"/>
          <w:sz w:val="36"/>
          <w:szCs w:val="36"/>
        </w:rPr>
        <w:t>pre IROP</w:t>
      </w:r>
    </w:p>
    <w:p w14:paraId="6E5FE46F" w14:textId="77777777" w:rsidR="004B7756" w:rsidRPr="00C94F4E" w:rsidRDefault="004B7756" w:rsidP="00151681">
      <w:pPr>
        <w:spacing w:before="120" w:line="240" w:lineRule="auto"/>
        <w:jc w:val="center"/>
        <w:rPr>
          <w:b/>
          <w:color w:val="1F497D"/>
          <w:sz w:val="36"/>
          <w:szCs w:val="36"/>
        </w:rPr>
      </w:pPr>
      <w:r w:rsidRPr="00C94F4E">
        <w:rPr>
          <w:b/>
          <w:color w:val="1F497D"/>
          <w:sz w:val="36"/>
          <w:szCs w:val="36"/>
        </w:rPr>
        <w:t>prioritná os 2</w:t>
      </w:r>
      <w:r>
        <w:rPr>
          <w:b/>
          <w:color w:val="1F497D"/>
          <w:sz w:val="36"/>
          <w:szCs w:val="36"/>
        </w:rPr>
        <w:t>, špecifický cieľ</w:t>
      </w:r>
      <w:r w:rsidRPr="00C94F4E">
        <w:rPr>
          <w:b/>
          <w:color w:val="1F497D"/>
          <w:sz w:val="36"/>
          <w:szCs w:val="36"/>
        </w:rPr>
        <w:t xml:space="preserve"> 2.1.</w:t>
      </w:r>
      <w:r w:rsidR="001224B4">
        <w:rPr>
          <w:b/>
          <w:color w:val="1F497D"/>
          <w:sz w:val="36"/>
          <w:szCs w:val="36"/>
        </w:rPr>
        <w:t>4</w:t>
      </w:r>
    </w:p>
    <w:p w14:paraId="6FCB6045" w14:textId="77777777" w:rsidR="00145122" w:rsidRDefault="00145122" w:rsidP="00151681">
      <w:pPr>
        <w:spacing w:before="120" w:line="240" w:lineRule="auto"/>
        <w:rPr>
          <w:b/>
          <w:color w:val="1F497D"/>
          <w:sz w:val="32"/>
        </w:rPr>
      </w:pPr>
    </w:p>
    <w:p w14:paraId="68393146" w14:textId="38ACC0FB" w:rsidR="00145122" w:rsidRDefault="003730A4" w:rsidP="002F0259">
      <w:pPr>
        <w:spacing w:before="120" w:line="240" w:lineRule="auto"/>
        <w:ind w:left="1134" w:right="1142"/>
        <w:jc w:val="center"/>
        <w:rPr>
          <w:b/>
          <w:color w:val="1F497D"/>
          <w:sz w:val="32"/>
        </w:rPr>
      </w:pPr>
      <w:r w:rsidRPr="00926EC1">
        <w:rPr>
          <w:b/>
        </w:rPr>
        <w:t>Posilnenie kapacít v zdravotníck</w:t>
      </w:r>
      <w:r>
        <w:rPr>
          <w:b/>
        </w:rPr>
        <w:t>om s</w:t>
      </w:r>
      <w:r w:rsidRPr="00926EC1">
        <w:rPr>
          <w:b/>
        </w:rPr>
        <w:t xml:space="preserve">ystéme </w:t>
      </w:r>
      <w:r w:rsidR="002F0259">
        <w:rPr>
          <w:b/>
        </w:rPr>
        <w:t xml:space="preserve">a ochrana verejného zdravia </w:t>
      </w:r>
      <w:r w:rsidRPr="00926EC1">
        <w:rPr>
          <w:b/>
        </w:rPr>
        <w:t>ako reakcia na pandémiu COVID-19</w:t>
      </w:r>
    </w:p>
    <w:p w14:paraId="75242E28" w14:textId="77777777" w:rsidR="00151681" w:rsidRDefault="00151681" w:rsidP="00151681">
      <w:pPr>
        <w:spacing w:before="120" w:line="240" w:lineRule="auto"/>
        <w:rPr>
          <w:b/>
          <w:color w:val="1F497D"/>
          <w:sz w:val="32"/>
        </w:rPr>
      </w:pPr>
    </w:p>
    <w:p w14:paraId="080BABAC" w14:textId="77777777" w:rsidR="00151681" w:rsidRDefault="00151681" w:rsidP="00151681">
      <w:pPr>
        <w:spacing w:before="120" w:line="240" w:lineRule="auto"/>
        <w:rPr>
          <w:b/>
          <w:color w:val="1F497D"/>
          <w:sz w:val="32"/>
        </w:rPr>
      </w:pPr>
    </w:p>
    <w:p w14:paraId="42C591C4" w14:textId="77777777" w:rsidR="00151681" w:rsidRDefault="00151681" w:rsidP="00151681">
      <w:pPr>
        <w:spacing w:before="120" w:line="240" w:lineRule="auto"/>
        <w:rPr>
          <w:b/>
          <w:color w:val="1F497D"/>
          <w:sz w:val="32"/>
        </w:rPr>
      </w:pPr>
    </w:p>
    <w:p w14:paraId="3075F375" w14:textId="77777777" w:rsidR="00145122" w:rsidRDefault="00145122" w:rsidP="00151681">
      <w:pPr>
        <w:spacing w:before="120" w:line="240" w:lineRule="auto"/>
        <w:rPr>
          <w:b/>
          <w:color w:val="1F497D"/>
          <w:sz w:val="32"/>
        </w:rPr>
      </w:pPr>
    </w:p>
    <w:p w14:paraId="38098E85" w14:textId="57DCC5E0" w:rsidR="00145122" w:rsidRPr="00145122" w:rsidRDefault="00145122" w:rsidP="00151681">
      <w:pPr>
        <w:spacing w:before="120" w:line="240" w:lineRule="auto"/>
        <w:rPr>
          <w:b/>
          <w:color w:val="1F497D"/>
          <w:sz w:val="28"/>
        </w:rPr>
      </w:pPr>
      <w:r w:rsidRPr="00145122">
        <w:rPr>
          <w:b/>
          <w:color w:val="1F497D"/>
          <w:sz w:val="28"/>
        </w:rPr>
        <w:t xml:space="preserve">Verzia: </w:t>
      </w:r>
      <w:r w:rsidR="00C911A1">
        <w:rPr>
          <w:b/>
          <w:color w:val="1F497D"/>
          <w:sz w:val="28"/>
        </w:rPr>
        <w:t>3</w:t>
      </w:r>
      <w:r w:rsidR="00172BE6">
        <w:rPr>
          <w:b/>
          <w:color w:val="1F497D"/>
          <w:sz w:val="28"/>
        </w:rPr>
        <w:t>.0</w:t>
      </w:r>
    </w:p>
    <w:p w14:paraId="61AD54F0" w14:textId="57A0AD5A" w:rsidR="00145122" w:rsidRPr="00145122" w:rsidRDefault="00145122" w:rsidP="00151681">
      <w:pPr>
        <w:spacing w:before="120" w:line="240" w:lineRule="auto"/>
        <w:rPr>
          <w:b/>
          <w:color w:val="1F497D"/>
          <w:sz w:val="28"/>
        </w:rPr>
      </w:pPr>
      <w:r w:rsidRPr="00145122">
        <w:rPr>
          <w:b/>
          <w:color w:val="1F497D"/>
          <w:sz w:val="28"/>
        </w:rPr>
        <w:t xml:space="preserve">Dátum platnosti: </w:t>
      </w:r>
      <w:r w:rsidR="00C911A1">
        <w:rPr>
          <w:b/>
          <w:color w:val="1F497D"/>
          <w:sz w:val="28"/>
        </w:rPr>
        <w:t>november</w:t>
      </w:r>
      <w:r w:rsidR="001B0110">
        <w:rPr>
          <w:b/>
          <w:color w:val="1F497D"/>
          <w:sz w:val="28"/>
        </w:rPr>
        <w:t xml:space="preserve"> </w:t>
      </w:r>
      <w:r w:rsidR="00172BE6">
        <w:rPr>
          <w:b/>
          <w:color w:val="1F497D"/>
          <w:sz w:val="28"/>
        </w:rPr>
        <w:t>2020</w:t>
      </w:r>
    </w:p>
    <w:p w14:paraId="51A0661C" w14:textId="635AD275" w:rsidR="00145122" w:rsidRPr="00145122" w:rsidRDefault="00145122" w:rsidP="00151681">
      <w:pPr>
        <w:spacing w:before="120" w:line="240" w:lineRule="auto"/>
        <w:rPr>
          <w:b/>
          <w:color w:val="1F497D"/>
          <w:sz w:val="28"/>
        </w:rPr>
      </w:pPr>
      <w:r w:rsidRPr="00145122">
        <w:rPr>
          <w:b/>
          <w:color w:val="1F497D"/>
          <w:sz w:val="28"/>
        </w:rPr>
        <w:t>Schválil:</w:t>
      </w:r>
      <w:r w:rsidR="00AC39AC">
        <w:rPr>
          <w:b/>
          <w:color w:val="1F497D"/>
          <w:sz w:val="28"/>
        </w:rPr>
        <w:t xml:space="preserve"> </w:t>
      </w:r>
      <w:r w:rsidR="003730A4">
        <w:rPr>
          <w:b/>
          <w:color w:val="1F497D"/>
          <w:sz w:val="28"/>
        </w:rPr>
        <w:t xml:space="preserve">Ing. </w:t>
      </w:r>
      <w:r w:rsidR="00172BE6">
        <w:rPr>
          <w:b/>
          <w:color w:val="1F497D"/>
          <w:sz w:val="28"/>
        </w:rPr>
        <w:t>Peter Ferjančík</w:t>
      </w:r>
    </w:p>
    <w:p w14:paraId="117A21BB" w14:textId="77777777" w:rsidR="00794E3B" w:rsidRDefault="00794E3B" w:rsidP="00151681">
      <w:pPr>
        <w:spacing w:before="120" w:line="240" w:lineRule="auto"/>
        <w:rPr>
          <w:b/>
          <w:color w:val="1F497D"/>
          <w:sz w:val="28"/>
        </w:rPr>
      </w:pPr>
    </w:p>
    <w:p w14:paraId="156CC972" w14:textId="77777777" w:rsidR="00794E3B" w:rsidRDefault="00794E3B" w:rsidP="00151681">
      <w:pPr>
        <w:spacing w:before="120" w:line="240" w:lineRule="auto"/>
        <w:rPr>
          <w:b/>
          <w:color w:val="1F497D"/>
          <w:sz w:val="28"/>
        </w:rPr>
      </w:pPr>
    </w:p>
    <w:p w14:paraId="0978CAF9" w14:textId="77777777" w:rsidR="00794E3B" w:rsidRDefault="00794E3B" w:rsidP="00151681">
      <w:pPr>
        <w:spacing w:before="120" w:line="240" w:lineRule="auto"/>
        <w:rPr>
          <w:b/>
          <w:color w:val="1F497D"/>
          <w:sz w:val="28"/>
        </w:rPr>
      </w:pPr>
    </w:p>
    <w:p w14:paraId="7A0F5A8A" w14:textId="77777777" w:rsidR="00145122" w:rsidRPr="005A7F89" w:rsidRDefault="00145122" w:rsidP="005A7F89">
      <w:pPr>
        <w:spacing w:before="120" w:line="240" w:lineRule="auto"/>
        <w:ind w:left="4536"/>
        <w:jc w:val="center"/>
        <w:rPr>
          <w:color w:val="1F497D"/>
        </w:rPr>
      </w:pPr>
      <w:r w:rsidRPr="005A7F89">
        <w:rPr>
          <w:color w:val="1F497D"/>
        </w:rPr>
        <w:t>.</w:t>
      </w:r>
      <w:r w:rsidR="005A7F89">
        <w:rPr>
          <w:color w:val="1F497D"/>
        </w:rPr>
        <w:t>...........................</w:t>
      </w:r>
      <w:r w:rsidRPr="005A7F89">
        <w:rPr>
          <w:color w:val="1F497D"/>
        </w:rPr>
        <w:t>........................................</w:t>
      </w:r>
    </w:p>
    <w:p w14:paraId="3A116727" w14:textId="39864463" w:rsidR="00145122" w:rsidRPr="00145122" w:rsidRDefault="003730A4" w:rsidP="005A7F89">
      <w:pPr>
        <w:tabs>
          <w:tab w:val="left" w:pos="5103"/>
        </w:tabs>
        <w:spacing w:after="0" w:line="240" w:lineRule="auto"/>
        <w:ind w:left="4536"/>
        <w:jc w:val="center"/>
        <w:rPr>
          <w:b/>
          <w:color w:val="1F497D"/>
        </w:rPr>
      </w:pPr>
      <w:r>
        <w:rPr>
          <w:b/>
          <w:color w:val="1F497D"/>
        </w:rPr>
        <w:t xml:space="preserve">Ing. </w:t>
      </w:r>
      <w:r w:rsidR="00066FA8">
        <w:rPr>
          <w:b/>
          <w:color w:val="1F497D"/>
        </w:rPr>
        <w:t>Peter Ferja</w:t>
      </w:r>
      <w:r w:rsidR="005B6256">
        <w:rPr>
          <w:b/>
          <w:color w:val="1F497D"/>
        </w:rPr>
        <w:t>nčík</w:t>
      </w:r>
    </w:p>
    <w:p w14:paraId="48AF294C" w14:textId="77777777" w:rsidR="00145122" w:rsidRPr="005A7F89" w:rsidRDefault="00145122" w:rsidP="005A7F89">
      <w:pPr>
        <w:tabs>
          <w:tab w:val="left" w:pos="5103"/>
        </w:tabs>
        <w:spacing w:after="0" w:line="240" w:lineRule="auto"/>
        <w:ind w:left="4536"/>
        <w:jc w:val="center"/>
        <w:rPr>
          <w:color w:val="1F497D"/>
        </w:rPr>
      </w:pPr>
      <w:r w:rsidRPr="005A7F89">
        <w:rPr>
          <w:color w:val="1F497D"/>
        </w:rPr>
        <w:t>generálny riaditeľ</w:t>
      </w:r>
    </w:p>
    <w:p w14:paraId="02D01231" w14:textId="77777777" w:rsidR="00145122" w:rsidRPr="005A7F89" w:rsidRDefault="00145122" w:rsidP="005A7F89">
      <w:pPr>
        <w:tabs>
          <w:tab w:val="left" w:pos="5103"/>
        </w:tabs>
        <w:spacing w:after="0" w:line="240" w:lineRule="auto"/>
        <w:ind w:left="4536"/>
        <w:jc w:val="center"/>
        <w:rPr>
          <w:color w:val="1F497D"/>
          <w:sz w:val="32"/>
        </w:rPr>
      </w:pPr>
      <w:r w:rsidRPr="005A7F89">
        <w:rPr>
          <w:color w:val="1F497D"/>
        </w:rPr>
        <w:t>sekcie európskych programov a projektov</w:t>
      </w:r>
    </w:p>
    <w:p w14:paraId="0356A384" w14:textId="77777777" w:rsidR="009940A9" w:rsidRDefault="009940A9" w:rsidP="00151681">
      <w:pPr>
        <w:spacing w:before="120" w:line="240" w:lineRule="auto"/>
        <w:rPr>
          <w:b/>
          <w:color w:val="1F497D"/>
          <w:sz w:val="32"/>
        </w:rPr>
      </w:pPr>
    </w:p>
    <w:p w14:paraId="2DCBBDE6" w14:textId="77777777" w:rsidR="004B7756" w:rsidRPr="005605DA" w:rsidRDefault="004B7756" w:rsidP="00151681">
      <w:pPr>
        <w:spacing w:before="120" w:line="240" w:lineRule="auto"/>
        <w:rPr>
          <w:b/>
          <w:color w:val="1F497D"/>
          <w:sz w:val="32"/>
        </w:rPr>
      </w:pPr>
      <w:r>
        <w:rPr>
          <w:b/>
          <w:color w:val="1F497D"/>
          <w:sz w:val="32"/>
        </w:rPr>
        <w:br w:type="page"/>
      </w:r>
    </w:p>
    <w:bookmarkStart w:id="1" w:name="page2" w:displacedByCustomXml="next"/>
    <w:bookmarkEnd w:id="1" w:displacedByCustomXml="next"/>
    <w:bookmarkStart w:id="2" w:name="_Toc476655608" w:displacedByCustomXml="next"/>
    <w:sdt>
      <w:sdtPr>
        <w:rPr>
          <w:rFonts w:ascii="Calibri" w:hAnsi="Calibri"/>
          <w:b w:val="0"/>
          <w:bCs w:val="0"/>
          <w:noProof/>
          <w:color w:val="auto"/>
          <w:sz w:val="22"/>
          <w:szCs w:val="22"/>
        </w:rPr>
        <w:id w:val="1604303850"/>
        <w:docPartObj>
          <w:docPartGallery w:val="Table of Contents"/>
          <w:docPartUnique/>
        </w:docPartObj>
      </w:sdtPr>
      <w:sdtEndPr>
        <w:rPr>
          <w:noProof w:val="0"/>
        </w:rPr>
      </w:sdtEndPr>
      <w:sdtContent>
        <w:p w14:paraId="7C40DAD6" w14:textId="77777777" w:rsidR="00A824F9" w:rsidRDefault="00A824F9" w:rsidP="00151681">
          <w:pPr>
            <w:pStyle w:val="Hlavikaobsahu"/>
            <w:spacing w:line="240" w:lineRule="auto"/>
          </w:pPr>
          <w:r>
            <w:t>Obsah</w:t>
          </w:r>
        </w:p>
        <w:p w14:paraId="5F1840D5" w14:textId="77777777" w:rsidR="005A7F89" w:rsidRPr="005A7F89" w:rsidRDefault="005A7F89" w:rsidP="005A7F89"/>
        <w:p w14:paraId="67409C26" w14:textId="023A0015" w:rsidR="007C5E5C" w:rsidRDefault="00A824F9">
          <w:pPr>
            <w:pStyle w:val="Obsah1"/>
            <w:rPr>
              <w:rFonts w:asciiTheme="minorHAnsi" w:eastAsiaTheme="minorEastAsia" w:hAnsiTheme="minorHAnsi" w:cstheme="minorBidi"/>
              <w:b w:val="0"/>
            </w:rPr>
          </w:pPr>
          <w:r>
            <w:fldChar w:fldCharType="begin"/>
          </w:r>
          <w:r>
            <w:instrText xml:space="preserve"> TOC \o "1-3" \h \z \u </w:instrText>
          </w:r>
          <w:r>
            <w:fldChar w:fldCharType="separate"/>
          </w:r>
          <w:hyperlink w:anchor="_Toc56090009" w:history="1">
            <w:r w:rsidR="007C5E5C" w:rsidRPr="00091CB1">
              <w:rPr>
                <w:rStyle w:val="Hypertextovprepojenie"/>
              </w:rPr>
              <w:t>1 ÚVOD</w:t>
            </w:r>
            <w:r w:rsidR="007C5E5C">
              <w:rPr>
                <w:webHidden/>
              </w:rPr>
              <w:tab/>
            </w:r>
            <w:r w:rsidR="007C5E5C">
              <w:rPr>
                <w:webHidden/>
              </w:rPr>
              <w:fldChar w:fldCharType="begin"/>
            </w:r>
            <w:r w:rsidR="007C5E5C">
              <w:rPr>
                <w:webHidden/>
              </w:rPr>
              <w:instrText xml:space="preserve"> PAGEREF _Toc56090009 \h </w:instrText>
            </w:r>
            <w:r w:rsidR="007C5E5C">
              <w:rPr>
                <w:webHidden/>
              </w:rPr>
            </w:r>
            <w:r w:rsidR="007C5E5C">
              <w:rPr>
                <w:webHidden/>
              </w:rPr>
              <w:fldChar w:fldCharType="separate"/>
            </w:r>
            <w:r w:rsidR="007C5E5C">
              <w:rPr>
                <w:webHidden/>
              </w:rPr>
              <w:t>3</w:t>
            </w:r>
            <w:r w:rsidR="007C5E5C">
              <w:rPr>
                <w:webHidden/>
              </w:rPr>
              <w:fldChar w:fldCharType="end"/>
            </w:r>
          </w:hyperlink>
        </w:p>
        <w:p w14:paraId="34B35CCF" w14:textId="15136914" w:rsidR="007C5E5C" w:rsidRDefault="00DE0ADD">
          <w:pPr>
            <w:pStyle w:val="Obsah1"/>
            <w:rPr>
              <w:rFonts w:asciiTheme="minorHAnsi" w:eastAsiaTheme="minorEastAsia" w:hAnsiTheme="minorHAnsi" w:cstheme="minorBidi"/>
              <w:b w:val="0"/>
            </w:rPr>
          </w:pPr>
          <w:hyperlink w:anchor="_Toc56090010" w:history="1">
            <w:r w:rsidR="007C5E5C" w:rsidRPr="00091CB1">
              <w:rPr>
                <w:rStyle w:val="Hypertextovprepojenie"/>
              </w:rPr>
              <w:t>2  OPRÁVNENOSŤ VÝDAVKOV REALIZÁCIE PROJEKTU</w:t>
            </w:r>
            <w:r w:rsidR="007C5E5C">
              <w:rPr>
                <w:webHidden/>
              </w:rPr>
              <w:tab/>
            </w:r>
            <w:r w:rsidR="007C5E5C">
              <w:rPr>
                <w:webHidden/>
              </w:rPr>
              <w:fldChar w:fldCharType="begin"/>
            </w:r>
            <w:r w:rsidR="007C5E5C">
              <w:rPr>
                <w:webHidden/>
              </w:rPr>
              <w:instrText xml:space="preserve"> PAGEREF _Toc56090010 \h </w:instrText>
            </w:r>
            <w:r w:rsidR="007C5E5C">
              <w:rPr>
                <w:webHidden/>
              </w:rPr>
            </w:r>
            <w:r w:rsidR="007C5E5C">
              <w:rPr>
                <w:webHidden/>
              </w:rPr>
              <w:fldChar w:fldCharType="separate"/>
            </w:r>
            <w:r w:rsidR="007C5E5C">
              <w:rPr>
                <w:webHidden/>
              </w:rPr>
              <w:t>4</w:t>
            </w:r>
            <w:r w:rsidR="007C5E5C">
              <w:rPr>
                <w:webHidden/>
              </w:rPr>
              <w:fldChar w:fldCharType="end"/>
            </w:r>
          </w:hyperlink>
        </w:p>
        <w:p w14:paraId="5FFC4677" w14:textId="620CF401" w:rsidR="007C5E5C" w:rsidRDefault="00DE0ADD">
          <w:pPr>
            <w:pStyle w:val="Obsah2"/>
            <w:rPr>
              <w:rFonts w:asciiTheme="minorHAnsi" w:eastAsiaTheme="minorEastAsia" w:hAnsiTheme="minorHAnsi" w:cstheme="minorBidi"/>
              <w:noProof/>
            </w:rPr>
          </w:pPr>
          <w:hyperlink w:anchor="_Toc56090011" w:history="1">
            <w:r w:rsidR="007C5E5C" w:rsidRPr="00091CB1">
              <w:rPr>
                <w:rStyle w:val="Hypertextovprepojenie"/>
                <w:noProof/>
              </w:rPr>
              <w:t>2.1  Všeobecné pravidlá oprávnenosti výdavkov</w:t>
            </w:r>
            <w:r w:rsidR="007C5E5C">
              <w:rPr>
                <w:noProof/>
                <w:webHidden/>
              </w:rPr>
              <w:tab/>
            </w:r>
            <w:r w:rsidR="007C5E5C">
              <w:rPr>
                <w:noProof/>
                <w:webHidden/>
              </w:rPr>
              <w:fldChar w:fldCharType="begin"/>
            </w:r>
            <w:r w:rsidR="007C5E5C">
              <w:rPr>
                <w:noProof/>
                <w:webHidden/>
              </w:rPr>
              <w:instrText xml:space="preserve"> PAGEREF _Toc56090011 \h </w:instrText>
            </w:r>
            <w:r w:rsidR="007C5E5C">
              <w:rPr>
                <w:noProof/>
                <w:webHidden/>
              </w:rPr>
            </w:r>
            <w:r w:rsidR="007C5E5C">
              <w:rPr>
                <w:noProof/>
                <w:webHidden/>
              </w:rPr>
              <w:fldChar w:fldCharType="separate"/>
            </w:r>
            <w:r w:rsidR="007C5E5C">
              <w:rPr>
                <w:noProof/>
                <w:webHidden/>
              </w:rPr>
              <w:t>4</w:t>
            </w:r>
            <w:r w:rsidR="007C5E5C">
              <w:rPr>
                <w:noProof/>
                <w:webHidden/>
              </w:rPr>
              <w:fldChar w:fldCharType="end"/>
            </w:r>
          </w:hyperlink>
        </w:p>
        <w:p w14:paraId="6C283831" w14:textId="256B4205" w:rsidR="007C5E5C" w:rsidRDefault="00DE0ADD">
          <w:pPr>
            <w:pStyle w:val="Obsah2"/>
            <w:rPr>
              <w:rFonts w:asciiTheme="minorHAnsi" w:eastAsiaTheme="minorEastAsia" w:hAnsiTheme="minorHAnsi" w:cstheme="minorBidi"/>
              <w:noProof/>
            </w:rPr>
          </w:pPr>
          <w:hyperlink w:anchor="_Toc56090012" w:history="1">
            <w:r w:rsidR="007C5E5C" w:rsidRPr="00091CB1">
              <w:rPr>
                <w:rStyle w:val="Hypertextovprepojenie"/>
                <w:noProof/>
              </w:rPr>
              <w:t>2.2  Vecná oprávnenosť výdavku</w:t>
            </w:r>
            <w:r w:rsidR="007C5E5C">
              <w:rPr>
                <w:noProof/>
                <w:webHidden/>
              </w:rPr>
              <w:tab/>
            </w:r>
            <w:r w:rsidR="007C5E5C">
              <w:rPr>
                <w:noProof/>
                <w:webHidden/>
              </w:rPr>
              <w:fldChar w:fldCharType="begin"/>
            </w:r>
            <w:r w:rsidR="007C5E5C">
              <w:rPr>
                <w:noProof/>
                <w:webHidden/>
              </w:rPr>
              <w:instrText xml:space="preserve"> PAGEREF _Toc56090012 \h </w:instrText>
            </w:r>
            <w:r w:rsidR="007C5E5C">
              <w:rPr>
                <w:noProof/>
                <w:webHidden/>
              </w:rPr>
            </w:r>
            <w:r w:rsidR="007C5E5C">
              <w:rPr>
                <w:noProof/>
                <w:webHidden/>
              </w:rPr>
              <w:fldChar w:fldCharType="separate"/>
            </w:r>
            <w:r w:rsidR="007C5E5C">
              <w:rPr>
                <w:noProof/>
                <w:webHidden/>
              </w:rPr>
              <w:t>7</w:t>
            </w:r>
            <w:r w:rsidR="007C5E5C">
              <w:rPr>
                <w:noProof/>
                <w:webHidden/>
              </w:rPr>
              <w:fldChar w:fldCharType="end"/>
            </w:r>
          </w:hyperlink>
        </w:p>
        <w:p w14:paraId="5E009E65" w14:textId="53B59ECF" w:rsidR="007C5E5C" w:rsidRDefault="00DE0ADD">
          <w:pPr>
            <w:pStyle w:val="Obsah2"/>
            <w:rPr>
              <w:rFonts w:asciiTheme="minorHAnsi" w:eastAsiaTheme="minorEastAsia" w:hAnsiTheme="minorHAnsi" w:cstheme="minorBidi"/>
              <w:noProof/>
            </w:rPr>
          </w:pPr>
          <w:hyperlink w:anchor="_Toc56090013" w:history="1">
            <w:r w:rsidR="007C5E5C" w:rsidRPr="00091CB1">
              <w:rPr>
                <w:rStyle w:val="Hypertextovprepojenie"/>
                <w:noProof/>
              </w:rPr>
              <w:t>2.3  Časová oprávnenosť výdavku</w:t>
            </w:r>
            <w:r w:rsidR="007C5E5C">
              <w:rPr>
                <w:noProof/>
                <w:webHidden/>
              </w:rPr>
              <w:tab/>
            </w:r>
            <w:r w:rsidR="007C5E5C">
              <w:rPr>
                <w:noProof/>
                <w:webHidden/>
              </w:rPr>
              <w:fldChar w:fldCharType="begin"/>
            </w:r>
            <w:r w:rsidR="007C5E5C">
              <w:rPr>
                <w:noProof/>
                <w:webHidden/>
              </w:rPr>
              <w:instrText xml:space="preserve"> PAGEREF _Toc56090013 \h </w:instrText>
            </w:r>
            <w:r w:rsidR="007C5E5C">
              <w:rPr>
                <w:noProof/>
                <w:webHidden/>
              </w:rPr>
            </w:r>
            <w:r w:rsidR="007C5E5C">
              <w:rPr>
                <w:noProof/>
                <w:webHidden/>
              </w:rPr>
              <w:fldChar w:fldCharType="separate"/>
            </w:r>
            <w:r w:rsidR="007C5E5C">
              <w:rPr>
                <w:noProof/>
                <w:webHidden/>
              </w:rPr>
              <w:t>9</w:t>
            </w:r>
            <w:r w:rsidR="007C5E5C">
              <w:rPr>
                <w:noProof/>
                <w:webHidden/>
              </w:rPr>
              <w:fldChar w:fldCharType="end"/>
            </w:r>
          </w:hyperlink>
        </w:p>
        <w:p w14:paraId="58C9666D" w14:textId="0014EB26" w:rsidR="007C5E5C" w:rsidRDefault="00DE0ADD">
          <w:pPr>
            <w:pStyle w:val="Obsah2"/>
            <w:rPr>
              <w:rFonts w:asciiTheme="minorHAnsi" w:eastAsiaTheme="minorEastAsia" w:hAnsiTheme="minorHAnsi" w:cstheme="minorBidi"/>
              <w:noProof/>
            </w:rPr>
          </w:pPr>
          <w:hyperlink w:anchor="_Toc56090014" w:history="1">
            <w:r w:rsidR="007C5E5C" w:rsidRPr="00091CB1">
              <w:rPr>
                <w:rStyle w:val="Hypertextovprepojenie"/>
                <w:noProof/>
              </w:rPr>
              <w:t>2.4  Územná oprávnenosť výdavkov</w:t>
            </w:r>
            <w:r w:rsidR="007C5E5C">
              <w:rPr>
                <w:noProof/>
                <w:webHidden/>
              </w:rPr>
              <w:tab/>
            </w:r>
            <w:r w:rsidR="007C5E5C">
              <w:rPr>
                <w:noProof/>
                <w:webHidden/>
              </w:rPr>
              <w:fldChar w:fldCharType="begin"/>
            </w:r>
            <w:r w:rsidR="007C5E5C">
              <w:rPr>
                <w:noProof/>
                <w:webHidden/>
              </w:rPr>
              <w:instrText xml:space="preserve"> PAGEREF _Toc56090014 \h </w:instrText>
            </w:r>
            <w:r w:rsidR="007C5E5C">
              <w:rPr>
                <w:noProof/>
                <w:webHidden/>
              </w:rPr>
            </w:r>
            <w:r w:rsidR="007C5E5C">
              <w:rPr>
                <w:noProof/>
                <w:webHidden/>
              </w:rPr>
              <w:fldChar w:fldCharType="separate"/>
            </w:r>
            <w:r w:rsidR="007C5E5C">
              <w:rPr>
                <w:noProof/>
                <w:webHidden/>
              </w:rPr>
              <w:t>9</w:t>
            </w:r>
            <w:r w:rsidR="007C5E5C">
              <w:rPr>
                <w:noProof/>
                <w:webHidden/>
              </w:rPr>
              <w:fldChar w:fldCharType="end"/>
            </w:r>
          </w:hyperlink>
        </w:p>
        <w:p w14:paraId="416B465A" w14:textId="47F92196" w:rsidR="007C5E5C" w:rsidRDefault="00DE0ADD">
          <w:pPr>
            <w:pStyle w:val="Obsah2"/>
            <w:rPr>
              <w:rFonts w:asciiTheme="minorHAnsi" w:eastAsiaTheme="minorEastAsia" w:hAnsiTheme="minorHAnsi" w:cstheme="minorBidi"/>
              <w:noProof/>
            </w:rPr>
          </w:pPr>
          <w:hyperlink w:anchor="_Toc56090015" w:history="1">
            <w:r w:rsidR="007C5E5C" w:rsidRPr="00091CB1">
              <w:rPr>
                <w:rStyle w:val="Hypertextovprepojenie"/>
                <w:noProof/>
              </w:rPr>
              <w:t>2.5  Neoprávnené výdavky</w:t>
            </w:r>
            <w:r w:rsidR="007C5E5C">
              <w:rPr>
                <w:noProof/>
                <w:webHidden/>
              </w:rPr>
              <w:tab/>
            </w:r>
            <w:r w:rsidR="007C5E5C">
              <w:rPr>
                <w:noProof/>
                <w:webHidden/>
              </w:rPr>
              <w:fldChar w:fldCharType="begin"/>
            </w:r>
            <w:r w:rsidR="007C5E5C">
              <w:rPr>
                <w:noProof/>
                <w:webHidden/>
              </w:rPr>
              <w:instrText xml:space="preserve"> PAGEREF _Toc56090015 \h </w:instrText>
            </w:r>
            <w:r w:rsidR="007C5E5C">
              <w:rPr>
                <w:noProof/>
                <w:webHidden/>
              </w:rPr>
            </w:r>
            <w:r w:rsidR="007C5E5C">
              <w:rPr>
                <w:noProof/>
                <w:webHidden/>
              </w:rPr>
              <w:fldChar w:fldCharType="separate"/>
            </w:r>
            <w:r w:rsidR="007C5E5C">
              <w:rPr>
                <w:noProof/>
                <w:webHidden/>
              </w:rPr>
              <w:t>9</w:t>
            </w:r>
            <w:r w:rsidR="007C5E5C">
              <w:rPr>
                <w:noProof/>
                <w:webHidden/>
              </w:rPr>
              <w:fldChar w:fldCharType="end"/>
            </w:r>
          </w:hyperlink>
        </w:p>
        <w:p w14:paraId="4B76D3F8" w14:textId="50807B27" w:rsidR="007C5E5C" w:rsidRDefault="00DE0ADD">
          <w:pPr>
            <w:pStyle w:val="Obsah2"/>
            <w:rPr>
              <w:rFonts w:asciiTheme="minorHAnsi" w:eastAsiaTheme="minorEastAsia" w:hAnsiTheme="minorHAnsi" w:cstheme="minorBidi"/>
              <w:noProof/>
            </w:rPr>
          </w:pPr>
          <w:hyperlink w:anchor="_Toc56090016" w:history="1">
            <w:r w:rsidR="007C5E5C" w:rsidRPr="00091CB1">
              <w:rPr>
                <w:rStyle w:val="Hypertextovprepojenie"/>
                <w:noProof/>
              </w:rPr>
              <w:t>2.6  Projekty generujúce čisté príjmy a nadmerná náhrada</w:t>
            </w:r>
            <w:r w:rsidR="007C5E5C">
              <w:rPr>
                <w:noProof/>
                <w:webHidden/>
              </w:rPr>
              <w:tab/>
            </w:r>
            <w:r w:rsidR="007C5E5C">
              <w:rPr>
                <w:noProof/>
                <w:webHidden/>
              </w:rPr>
              <w:fldChar w:fldCharType="begin"/>
            </w:r>
            <w:r w:rsidR="007C5E5C">
              <w:rPr>
                <w:noProof/>
                <w:webHidden/>
              </w:rPr>
              <w:instrText xml:space="preserve"> PAGEREF _Toc56090016 \h </w:instrText>
            </w:r>
            <w:r w:rsidR="007C5E5C">
              <w:rPr>
                <w:noProof/>
                <w:webHidden/>
              </w:rPr>
            </w:r>
            <w:r w:rsidR="007C5E5C">
              <w:rPr>
                <w:noProof/>
                <w:webHidden/>
              </w:rPr>
              <w:fldChar w:fldCharType="separate"/>
            </w:r>
            <w:r w:rsidR="007C5E5C">
              <w:rPr>
                <w:noProof/>
                <w:webHidden/>
              </w:rPr>
              <w:t>11</w:t>
            </w:r>
            <w:r w:rsidR="007C5E5C">
              <w:rPr>
                <w:noProof/>
                <w:webHidden/>
              </w:rPr>
              <w:fldChar w:fldCharType="end"/>
            </w:r>
          </w:hyperlink>
        </w:p>
        <w:p w14:paraId="28AEB2CD" w14:textId="76A01333" w:rsidR="007C5E5C" w:rsidRDefault="00DE0ADD">
          <w:pPr>
            <w:pStyle w:val="Obsah2"/>
            <w:rPr>
              <w:rFonts w:asciiTheme="minorHAnsi" w:eastAsiaTheme="minorEastAsia" w:hAnsiTheme="minorHAnsi" w:cstheme="minorBidi"/>
              <w:noProof/>
            </w:rPr>
          </w:pPr>
          <w:hyperlink w:anchor="_Toc56090017" w:history="1">
            <w:r w:rsidR="007C5E5C" w:rsidRPr="00091CB1">
              <w:rPr>
                <w:rStyle w:val="Hypertextovprepojenie"/>
                <w:noProof/>
              </w:rPr>
              <w:t>2.7  Infraštruktúra</w:t>
            </w:r>
            <w:r w:rsidR="007C5E5C">
              <w:rPr>
                <w:noProof/>
                <w:webHidden/>
              </w:rPr>
              <w:tab/>
            </w:r>
            <w:r w:rsidR="007C5E5C">
              <w:rPr>
                <w:noProof/>
                <w:webHidden/>
              </w:rPr>
              <w:fldChar w:fldCharType="begin"/>
            </w:r>
            <w:r w:rsidR="007C5E5C">
              <w:rPr>
                <w:noProof/>
                <w:webHidden/>
              </w:rPr>
              <w:instrText xml:space="preserve"> PAGEREF _Toc56090017 \h </w:instrText>
            </w:r>
            <w:r w:rsidR="007C5E5C">
              <w:rPr>
                <w:noProof/>
                <w:webHidden/>
              </w:rPr>
            </w:r>
            <w:r w:rsidR="007C5E5C">
              <w:rPr>
                <w:noProof/>
                <w:webHidden/>
              </w:rPr>
              <w:fldChar w:fldCharType="separate"/>
            </w:r>
            <w:r w:rsidR="007C5E5C">
              <w:rPr>
                <w:noProof/>
                <w:webHidden/>
              </w:rPr>
              <w:t>12</w:t>
            </w:r>
            <w:r w:rsidR="007C5E5C">
              <w:rPr>
                <w:noProof/>
                <w:webHidden/>
              </w:rPr>
              <w:fldChar w:fldCharType="end"/>
            </w:r>
          </w:hyperlink>
        </w:p>
        <w:p w14:paraId="510E36EB" w14:textId="3D2E03BF" w:rsidR="007C5E5C" w:rsidRDefault="00DE0ADD">
          <w:pPr>
            <w:pStyle w:val="Obsah2"/>
            <w:rPr>
              <w:rFonts w:asciiTheme="minorHAnsi" w:eastAsiaTheme="minorEastAsia" w:hAnsiTheme="minorHAnsi" w:cstheme="minorBidi"/>
              <w:noProof/>
            </w:rPr>
          </w:pPr>
          <w:hyperlink w:anchor="_Toc56090018" w:history="1">
            <w:r w:rsidR="007C5E5C" w:rsidRPr="00091CB1">
              <w:rPr>
                <w:rStyle w:val="Hypertextovprepojenie"/>
                <w:noProof/>
              </w:rPr>
              <w:t>2.8  Vyvolané investície</w:t>
            </w:r>
            <w:r w:rsidR="007C5E5C">
              <w:rPr>
                <w:noProof/>
                <w:webHidden/>
              </w:rPr>
              <w:tab/>
            </w:r>
            <w:r w:rsidR="007C5E5C">
              <w:rPr>
                <w:noProof/>
                <w:webHidden/>
              </w:rPr>
              <w:fldChar w:fldCharType="begin"/>
            </w:r>
            <w:r w:rsidR="007C5E5C">
              <w:rPr>
                <w:noProof/>
                <w:webHidden/>
              </w:rPr>
              <w:instrText xml:space="preserve"> PAGEREF _Toc56090018 \h </w:instrText>
            </w:r>
            <w:r w:rsidR="007C5E5C">
              <w:rPr>
                <w:noProof/>
                <w:webHidden/>
              </w:rPr>
            </w:r>
            <w:r w:rsidR="007C5E5C">
              <w:rPr>
                <w:noProof/>
                <w:webHidden/>
              </w:rPr>
              <w:fldChar w:fldCharType="separate"/>
            </w:r>
            <w:r w:rsidR="007C5E5C">
              <w:rPr>
                <w:noProof/>
                <w:webHidden/>
              </w:rPr>
              <w:t>13</w:t>
            </w:r>
            <w:r w:rsidR="007C5E5C">
              <w:rPr>
                <w:noProof/>
                <w:webHidden/>
              </w:rPr>
              <w:fldChar w:fldCharType="end"/>
            </w:r>
          </w:hyperlink>
        </w:p>
        <w:p w14:paraId="295DA40C" w14:textId="7FEBF5A0" w:rsidR="007C5E5C" w:rsidRDefault="00DE0ADD">
          <w:pPr>
            <w:pStyle w:val="Obsah2"/>
            <w:tabs>
              <w:tab w:val="left" w:pos="880"/>
            </w:tabs>
            <w:rPr>
              <w:rFonts w:asciiTheme="minorHAnsi" w:eastAsiaTheme="minorEastAsia" w:hAnsiTheme="minorHAnsi" w:cstheme="minorBidi"/>
              <w:noProof/>
            </w:rPr>
          </w:pPr>
          <w:hyperlink w:anchor="_Toc56090019" w:history="1">
            <w:r w:rsidR="007C5E5C" w:rsidRPr="00091CB1">
              <w:rPr>
                <w:rStyle w:val="Hypertextovprepojenie"/>
                <w:noProof/>
              </w:rPr>
              <w:t>2.9</w:t>
            </w:r>
            <w:r w:rsidR="007C5E5C">
              <w:rPr>
                <w:rFonts w:asciiTheme="minorHAnsi" w:eastAsiaTheme="minorEastAsia" w:hAnsiTheme="minorHAnsi" w:cstheme="minorBidi"/>
                <w:noProof/>
              </w:rPr>
              <w:tab/>
            </w:r>
            <w:r w:rsidR="007C5E5C" w:rsidRPr="00091CB1">
              <w:rPr>
                <w:rStyle w:val="Hypertextovprepojenie"/>
                <w:noProof/>
              </w:rPr>
              <w:t>Nepriame výdavky</w:t>
            </w:r>
            <w:r w:rsidR="007C5E5C">
              <w:rPr>
                <w:noProof/>
                <w:webHidden/>
              </w:rPr>
              <w:tab/>
            </w:r>
            <w:r w:rsidR="007C5E5C">
              <w:rPr>
                <w:noProof/>
                <w:webHidden/>
              </w:rPr>
              <w:fldChar w:fldCharType="begin"/>
            </w:r>
            <w:r w:rsidR="007C5E5C">
              <w:rPr>
                <w:noProof/>
                <w:webHidden/>
              </w:rPr>
              <w:instrText xml:space="preserve"> PAGEREF _Toc56090019 \h </w:instrText>
            </w:r>
            <w:r w:rsidR="007C5E5C">
              <w:rPr>
                <w:noProof/>
                <w:webHidden/>
              </w:rPr>
            </w:r>
            <w:r w:rsidR="007C5E5C">
              <w:rPr>
                <w:noProof/>
                <w:webHidden/>
              </w:rPr>
              <w:fldChar w:fldCharType="separate"/>
            </w:r>
            <w:r w:rsidR="007C5E5C">
              <w:rPr>
                <w:noProof/>
                <w:webHidden/>
              </w:rPr>
              <w:t>13</w:t>
            </w:r>
            <w:r w:rsidR="007C5E5C">
              <w:rPr>
                <w:noProof/>
                <w:webHidden/>
              </w:rPr>
              <w:fldChar w:fldCharType="end"/>
            </w:r>
          </w:hyperlink>
        </w:p>
        <w:p w14:paraId="086B2F90" w14:textId="7C7092FE" w:rsidR="007C5E5C" w:rsidRDefault="00DE0ADD">
          <w:pPr>
            <w:pStyle w:val="Obsah2"/>
            <w:tabs>
              <w:tab w:val="left" w:pos="1100"/>
            </w:tabs>
            <w:rPr>
              <w:rFonts w:asciiTheme="minorHAnsi" w:eastAsiaTheme="minorEastAsia" w:hAnsiTheme="minorHAnsi" w:cstheme="minorBidi"/>
              <w:noProof/>
            </w:rPr>
          </w:pPr>
          <w:hyperlink w:anchor="_Toc56090020" w:history="1">
            <w:r w:rsidR="007C5E5C" w:rsidRPr="00091CB1">
              <w:rPr>
                <w:rStyle w:val="Hypertextovprepojenie"/>
                <w:noProof/>
              </w:rPr>
              <w:t>2.10</w:t>
            </w:r>
            <w:r w:rsidR="007C5E5C">
              <w:rPr>
                <w:rFonts w:asciiTheme="minorHAnsi" w:eastAsiaTheme="minorEastAsia" w:hAnsiTheme="minorHAnsi" w:cstheme="minorBidi"/>
                <w:noProof/>
              </w:rPr>
              <w:tab/>
            </w:r>
            <w:r w:rsidR="007C5E5C" w:rsidRPr="00091CB1">
              <w:rPr>
                <w:rStyle w:val="Hypertextovprepojenie"/>
                <w:noProof/>
              </w:rPr>
              <w:t>Krížové financovanie</w:t>
            </w:r>
            <w:r w:rsidR="007C5E5C">
              <w:rPr>
                <w:noProof/>
                <w:webHidden/>
              </w:rPr>
              <w:tab/>
            </w:r>
            <w:r w:rsidR="007C5E5C">
              <w:rPr>
                <w:noProof/>
                <w:webHidden/>
              </w:rPr>
              <w:fldChar w:fldCharType="begin"/>
            </w:r>
            <w:r w:rsidR="007C5E5C">
              <w:rPr>
                <w:noProof/>
                <w:webHidden/>
              </w:rPr>
              <w:instrText xml:space="preserve"> PAGEREF _Toc56090020 \h </w:instrText>
            </w:r>
            <w:r w:rsidR="007C5E5C">
              <w:rPr>
                <w:noProof/>
                <w:webHidden/>
              </w:rPr>
            </w:r>
            <w:r w:rsidR="007C5E5C">
              <w:rPr>
                <w:noProof/>
                <w:webHidden/>
              </w:rPr>
              <w:fldChar w:fldCharType="separate"/>
            </w:r>
            <w:r w:rsidR="007C5E5C">
              <w:rPr>
                <w:noProof/>
                <w:webHidden/>
              </w:rPr>
              <w:t>14</w:t>
            </w:r>
            <w:r w:rsidR="007C5E5C">
              <w:rPr>
                <w:noProof/>
                <w:webHidden/>
              </w:rPr>
              <w:fldChar w:fldCharType="end"/>
            </w:r>
          </w:hyperlink>
        </w:p>
        <w:p w14:paraId="130C5A91" w14:textId="163920AA" w:rsidR="007C5E5C" w:rsidRDefault="00DE0ADD">
          <w:pPr>
            <w:pStyle w:val="Obsah1"/>
            <w:rPr>
              <w:rFonts w:asciiTheme="minorHAnsi" w:eastAsiaTheme="minorEastAsia" w:hAnsiTheme="minorHAnsi" w:cstheme="minorBidi"/>
              <w:b w:val="0"/>
            </w:rPr>
          </w:pPr>
          <w:hyperlink w:anchor="_Toc56090021" w:history="1">
            <w:r w:rsidR="007C5E5C" w:rsidRPr="00091CB1">
              <w:rPr>
                <w:rStyle w:val="Hypertextovprepojenie"/>
              </w:rPr>
              <w:t>3  ZOZNAM OPRÁVNENÝCH VÝDAVKOV</w:t>
            </w:r>
            <w:r w:rsidR="007C5E5C">
              <w:rPr>
                <w:webHidden/>
              </w:rPr>
              <w:tab/>
            </w:r>
            <w:r w:rsidR="007C5E5C">
              <w:rPr>
                <w:webHidden/>
              </w:rPr>
              <w:fldChar w:fldCharType="begin"/>
            </w:r>
            <w:r w:rsidR="007C5E5C">
              <w:rPr>
                <w:webHidden/>
              </w:rPr>
              <w:instrText xml:space="preserve"> PAGEREF _Toc56090021 \h </w:instrText>
            </w:r>
            <w:r w:rsidR="007C5E5C">
              <w:rPr>
                <w:webHidden/>
              </w:rPr>
            </w:r>
            <w:r w:rsidR="007C5E5C">
              <w:rPr>
                <w:webHidden/>
              </w:rPr>
              <w:fldChar w:fldCharType="separate"/>
            </w:r>
            <w:r w:rsidR="007C5E5C">
              <w:rPr>
                <w:webHidden/>
              </w:rPr>
              <w:t>15</w:t>
            </w:r>
            <w:r w:rsidR="007C5E5C">
              <w:rPr>
                <w:webHidden/>
              </w:rPr>
              <w:fldChar w:fldCharType="end"/>
            </w:r>
          </w:hyperlink>
        </w:p>
        <w:p w14:paraId="5BFB2971" w14:textId="06BA24D6" w:rsidR="007C5E5C" w:rsidRDefault="00DE0ADD">
          <w:pPr>
            <w:pStyle w:val="Obsah2"/>
            <w:rPr>
              <w:rFonts w:asciiTheme="minorHAnsi" w:eastAsiaTheme="minorEastAsia" w:hAnsiTheme="minorHAnsi" w:cstheme="minorBidi"/>
              <w:noProof/>
            </w:rPr>
          </w:pPr>
          <w:hyperlink w:anchor="_Toc56090022" w:history="1">
            <w:r w:rsidR="007C5E5C" w:rsidRPr="00091CB1">
              <w:rPr>
                <w:rStyle w:val="Hypertextovprepojenie"/>
                <w:noProof/>
              </w:rPr>
              <w:t>3.1 Číselník výdavkov a označovanie výdavkov</w:t>
            </w:r>
            <w:r w:rsidR="007C5E5C">
              <w:rPr>
                <w:noProof/>
                <w:webHidden/>
              </w:rPr>
              <w:tab/>
            </w:r>
            <w:r w:rsidR="007C5E5C">
              <w:rPr>
                <w:noProof/>
                <w:webHidden/>
              </w:rPr>
              <w:fldChar w:fldCharType="begin"/>
            </w:r>
            <w:r w:rsidR="007C5E5C">
              <w:rPr>
                <w:noProof/>
                <w:webHidden/>
              </w:rPr>
              <w:instrText xml:space="preserve"> PAGEREF _Toc56090022 \h </w:instrText>
            </w:r>
            <w:r w:rsidR="007C5E5C">
              <w:rPr>
                <w:noProof/>
                <w:webHidden/>
              </w:rPr>
            </w:r>
            <w:r w:rsidR="007C5E5C">
              <w:rPr>
                <w:noProof/>
                <w:webHidden/>
              </w:rPr>
              <w:fldChar w:fldCharType="separate"/>
            </w:r>
            <w:r w:rsidR="007C5E5C">
              <w:rPr>
                <w:noProof/>
                <w:webHidden/>
              </w:rPr>
              <w:t>15</w:t>
            </w:r>
            <w:r w:rsidR="007C5E5C">
              <w:rPr>
                <w:noProof/>
                <w:webHidden/>
              </w:rPr>
              <w:fldChar w:fldCharType="end"/>
            </w:r>
          </w:hyperlink>
        </w:p>
        <w:p w14:paraId="4D71B9CE" w14:textId="0B45E7A2" w:rsidR="007C5E5C" w:rsidRDefault="00DE0ADD">
          <w:pPr>
            <w:pStyle w:val="Obsah2"/>
            <w:rPr>
              <w:rFonts w:asciiTheme="minorHAnsi" w:eastAsiaTheme="minorEastAsia" w:hAnsiTheme="minorHAnsi" w:cstheme="minorBidi"/>
              <w:noProof/>
            </w:rPr>
          </w:pPr>
          <w:hyperlink w:anchor="_Toc56090023" w:history="1">
            <w:r w:rsidR="007C5E5C" w:rsidRPr="00091CB1">
              <w:rPr>
                <w:rStyle w:val="Hypertextovprepojenie"/>
                <w:noProof/>
              </w:rPr>
              <w:t>3.2 Trieda 01 – Dlhodobý nehmotný majetok</w:t>
            </w:r>
            <w:r w:rsidR="007C5E5C">
              <w:rPr>
                <w:noProof/>
                <w:webHidden/>
              </w:rPr>
              <w:tab/>
            </w:r>
            <w:r w:rsidR="007C5E5C">
              <w:rPr>
                <w:noProof/>
                <w:webHidden/>
              </w:rPr>
              <w:fldChar w:fldCharType="begin"/>
            </w:r>
            <w:r w:rsidR="007C5E5C">
              <w:rPr>
                <w:noProof/>
                <w:webHidden/>
              </w:rPr>
              <w:instrText xml:space="preserve"> PAGEREF _Toc56090023 \h </w:instrText>
            </w:r>
            <w:r w:rsidR="007C5E5C">
              <w:rPr>
                <w:noProof/>
                <w:webHidden/>
              </w:rPr>
            </w:r>
            <w:r w:rsidR="007C5E5C">
              <w:rPr>
                <w:noProof/>
                <w:webHidden/>
              </w:rPr>
              <w:fldChar w:fldCharType="separate"/>
            </w:r>
            <w:r w:rsidR="007C5E5C">
              <w:rPr>
                <w:noProof/>
                <w:webHidden/>
              </w:rPr>
              <w:t>15</w:t>
            </w:r>
            <w:r w:rsidR="007C5E5C">
              <w:rPr>
                <w:noProof/>
                <w:webHidden/>
              </w:rPr>
              <w:fldChar w:fldCharType="end"/>
            </w:r>
          </w:hyperlink>
        </w:p>
        <w:p w14:paraId="1EF1E0F1" w14:textId="5B9912F8" w:rsidR="007C5E5C" w:rsidRDefault="00DE0ADD">
          <w:pPr>
            <w:pStyle w:val="Obsah2"/>
            <w:rPr>
              <w:rFonts w:asciiTheme="minorHAnsi" w:eastAsiaTheme="minorEastAsia" w:hAnsiTheme="minorHAnsi" w:cstheme="minorBidi"/>
              <w:noProof/>
            </w:rPr>
          </w:pPr>
          <w:hyperlink w:anchor="_Toc56090024" w:history="1">
            <w:r w:rsidR="007C5E5C" w:rsidRPr="00091CB1">
              <w:rPr>
                <w:rStyle w:val="Hypertextovprepojenie"/>
                <w:noProof/>
              </w:rPr>
              <w:t>3.3 Trieda 02 – Dlhodobý hmotný majetok</w:t>
            </w:r>
            <w:r w:rsidR="007C5E5C">
              <w:rPr>
                <w:noProof/>
                <w:webHidden/>
              </w:rPr>
              <w:tab/>
            </w:r>
            <w:r w:rsidR="007C5E5C">
              <w:rPr>
                <w:noProof/>
                <w:webHidden/>
              </w:rPr>
              <w:fldChar w:fldCharType="begin"/>
            </w:r>
            <w:r w:rsidR="007C5E5C">
              <w:rPr>
                <w:noProof/>
                <w:webHidden/>
              </w:rPr>
              <w:instrText xml:space="preserve"> PAGEREF _Toc56090024 \h </w:instrText>
            </w:r>
            <w:r w:rsidR="007C5E5C">
              <w:rPr>
                <w:noProof/>
                <w:webHidden/>
              </w:rPr>
            </w:r>
            <w:r w:rsidR="007C5E5C">
              <w:rPr>
                <w:noProof/>
                <w:webHidden/>
              </w:rPr>
              <w:fldChar w:fldCharType="separate"/>
            </w:r>
            <w:r w:rsidR="007C5E5C">
              <w:rPr>
                <w:noProof/>
                <w:webHidden/>
              </w:rPr>
              <w:t>17</w:t>
            </w:r>
            <w:r w:rsidR="007C5E5C">
              <w:rPr>
                <w:noProof/>
                <w:webHidden/>
              </w:rPr>
              <w:fldChar w:fldCharType="end"/>
            </w:r>
          </w:hyperlink>
        </w:p>
        <w:p w14:paraId="404F2D81" w14:textId="5CD21382" w:rsidR="007C5E5C" w:rsidRDefault="00DE0ADD">
          <w:pPr>
            <w:pStyle w:val="Obsah2"/>
            <w:rPr>
              <w:rFonts w:asciiTheme="minorHAnsi" w:eastAsiaTheme="minorEastAsia" w:hAnsiTheme="minorHAnsi" w:cstheme="minorBidi"/>
              <w:noProof/>
            </w:rPr>
          </w:pPr>
          <w:hyperlink w:anchor="_Toc56090025" w:history="1">
            <w:r w:rsidR="007C5E5C" w:rsidRPr="00091CB1">
              <w:rPr>
                <w:rStyle w:val="Hypertextovprepojenie"/>
                <w:noProof/>
              </w:rPr>
              <w:t>3.4 Trieda 11 - Zásoby</w:t>
            </w:r>
            <w:r w:rsidR="007C5E5C">
              <w:rPr>
                <w:noProof/>
                <w:webHidden/>
              </w:rPr>
              <w:tab/>
            </w:r>
            <w:r w:rsidR="007C5E5C">
              <w:rPr>
                <w:noProof/>
                <w:webHidden/>
              </w:rPr>
              <w:fldChar w:fldCharType="begin"/>
            </w:r>
            <w:r w:rsidR="007C5E5C">
              <w:rPr>
                <w:noProof/>
                <w:webHidden/>
              </w:rPr>
              <w:instrText xml:space="preserve"> PAGEREF _Toc56090025 \h </w:instrText>
            </w:r>
            <w:r w:rsidR="007C5E5C">
              <w:rPr>
                <w:noProof/>
                <w:webHidden/>
              </w:rPr>
            </w:r>
            <w:r w:rsidR="007C5E5C">
              <w:rPr>
                <w:noProof/>
                <w:webHidden/>
              </w:rPr>
              <w:fldChar w:fldCharType="separate"/>
            </w:r>
            <w:r w:rsidR="007C5E5C">
              <w:rPr>
                <w:noProof/>
                <w:webHidden/>
              </w:rPr>
              <w:t>19</w:t>
            </w:r>
            <w:r w:rsidR="007C5E5C">
              <w:rPr>
                <w:noProof/>
                <w:webHidden/>
              </w:rPr>
              <w:fldChar w:fldCharType="end"/>
            </w:r>
          </w:hyperlink>
        </w:p>
        <w:p w14:paraId="3891914B" w14:textId="26DA5C54" w:rsidR="007C5E5C" w:rsidRDefault="00DE0ADD">
          <w:pPr>
            <w:pStyle w:val="Obsah2"/>
            <w:rPr>
              <w:rFonts w:asciiTheme="minorHAnsi" w:eastAsiaTheme="minorEastAsia" w:hAnsiTheme="minorHAnsi" w:cstheme="minorBidi"/>
              <w:noProof/>
            </w:rPr>
          </w:pPr>
          <w:hyperlink w:anchor="_Toc56090026" w:history="1">
            <w:r w:rsidR="007C5E5C" w:rsidRPr="00091CB1">
              <w:rPr>
                <w:rStyle w:val="Hypertextovprepojenie"/>
                <w:noProof/>
              </w:rPr>
              <w:t>3.5 Trieda 51 – Služby</w:t>
            </w:r>
            <w:r w:rsidR="007C5E5C">
              <w:rPr>
                <w:noProof/>
                <w:webHidden/>
              </w:rPr>
              <w:tab/>
            </w:r>
            <w:r w:rsidR="007C5E5C">
              <w:rPr>
                <w:noProof/>
                <w:webHidden/>
              </w:rPr>
              <w:fldChar w:fldCharType="begin"/>
            </w:r>
            <w:r w:rsidR="007C5E5C">
              <w:rPr>
                <w:noProof/>
                <w:webHidden/>
              </w:rPr>
              <w:instrText xml:space="preserve"> PAGEREF _Toc56090026 \h </w:instrText>
            </w:r>
            <w:r w:rsidR="007C5E5C">
              <w:rPr>
                <w:noProof/>
                <w:webHidden/>
              </w:rPr>
            </w:r>
            <w:r w:rsidR="007C5E5C">
              <w:rPr>
                <w:noProof/>
                <w:webHidden/>
              </w:rPr>
              <w:fldChar w:fldCharType="separate"/>
            </w:r>
            <w:r w:rsidR="007C5E5C">
              <w:rPr>
                <w:noProof/>
                <w:webHidden/>
              </w:rPr>
              <w:t>20</w:t>
            </w:r>
            <w:r w:rsidR="007C5E5C">
              <w:rPr>
                <w:noProof/>
                <w:webHidden/>
              </w:rPr>
              <w:fldChar w:fldCharType="end"/>
            </w:r>
          </w:hyperlink>
        </w:p>
        <w:p w14:paraId="437FC582" w14:textId="1D04D9F9" w:rsidR="007C5E5C" w:rsidRDefault="00DE0ADD">
          <w:pPr>
            <w:pStyle w:val="Obsah1"/>
            <w:rPr>
              <w:rFonts w:asciiTheme="minorHAnsi" w:eastAsiaTheme="minorEastAsia" w:hAnsiTheme="minorHAnsi" w:cstheme="minorBidi"/>
              <w:b w:val="0"/>
            </w:rPr>
          </w:pPr>
          <w:hyperlink w:anchor="_Toc56090027" w:history="1">
            <w:r w:rsidR="007C5E5C" w:rsidRPr="00091CB1">
              <w:rPr>
                <w:rStyle w:val="Hypertextovprepojenie"/>
              </w:rPr>
              <w:t>4.</w:t>
            </w:r>
            <w:r w:rsidR="007C5E5C">
              <w:rPr>
                <w:rFonts w:asciiTheme="minorHAnsi" w:eastAsiaTheme="minorEastAsia" w:hAnsiTheme="minorHAnsi" w:cstheme="minorBidi"/>
                <w:b w:val="0"/>
              </w:rPr>
              <w:tab/>
            </w:r>
            <w:r w:rsidR="007C5E5C" w:rsidRPr="00091CB1">
              <w:rPr>
                <w:rStyle w:val="Hypertextovprepojenie"/>
              </w:rPr>
              <w:t>PRAVIDLÁ OPRÁVNENOSTI PRE NAJČASTEJŠIE SA VYSKYTUJÚCE SKUPINY VÝDAVKOV</w:t>
            </w:r>
            <w:r w:rsidR="007C5E5C">
              <w:rPr>
                <w:webHidden/>
              </w:rPr>
              <w:tab/>
            </w:r>
            <w:r w:rsidR="007C5E5C">
              <w:rPr>
                <w:webHidden/>
              </w:rPr>
              <w:fldChar w:fldCharType="begin"/>
            </w:r>
            <w:r w:rsidR="007C5E5C">
              <w:rPr>
                <w:webHidden/>
              </w:rPr>
              <w:instrText xml:space="preserve"> PAGEREF _Toc56090027 \h </w:instrText>
            </w:r>
            <w:r w:rsidR="007C5E5C">
              <w:rPr>
                <w:webHidden/>
              </w:rPr>
            </w:r>
            <w:r w:rsidR="007C5E5C">
              <w:rPr>
                <w:webHidden/>
              </w:rPr>
              <w:fldChar w:fldCharType="separate"/>
            </w:r>
            <w:r w:rsidR="007C5E5C">
              <w:rPr>
                <w:webHidden/>
              </w:rPr>
              <w:t>22</w:t>
            </w:r>
            <w:r w:rsidR="007C5E5C">
              <w:rPr>
                <w:webHidden/>
              </w:rPr>
              <w:fldChar w:fldCharType="end"/>
            </w:r>
          </w:hyperlink>
        </w:p>
        <w:p w14:paraId="17C8EF36" w14:textId="61AC9B0B" w:rsidR="007C5E5C" w:rsidRDefault="00DE0ADD">
          <w:pPr>
            <w:pStyle w:val="Obsah2"/>
            <w:rPr>
              <w:rFonts w:asciiTheme="minorHAnsi" w:eastAsiaTheme="minorEastAsia" w:hAnsiTheme="minorHAnsi" w:cstheme="minorBidi"/>
              <w:noProof/>
            </w:rPr>
          </w:pPr>
          <w:hyperlink w:anchor="_Toc56090028" w:history="1">
            <w:r w:rsidR="007C5E5C" w:rsidRPr="00091CB1">
              <w:rPr>
                <w:rStyle w:val="Hypertextovprepojenie"/>
                <w:noProof/>
              </w:rPr>
              <w:t>4.1 Obstaranie stavebných prác</w:t>
            </w:r>
            <w:r w:rsidR="007C5E5C">
              <w:rPr>
                <w:noProof/>
                <w:webHidden/>
              </w:rPr>
              <w:tab/>
            </w:r>
            <w:r w:rsidR="007C5E5C">
              <w:rPr>
                <w:noProof/>
                <w:webHidden/>
              </w:rPr>
              <w:fldChar w:fldCharType="begin"/>
            </w:r>
            <w:r w:rsidR="007C5E5C">
              <w:rPr>
                <w:noProof/>
                <w:webHidden/>
              </w:rPr>
              <w:instrText xml:space="preserve"> PAGEREF _Toc56090028 \h </w:instrText>
            </w:r>
            <w:r w:rsidR="007C5E5C">
              <w:rPr>
                <w:noProof/>
                <w:webHidden/>
              </w:rPr>
            </w:r>
            <w:r w:rsidR="007C5E5C">
              <w:rPr>
                <w:noProof/>
                <w:webHidden/>
              </w:rPr>
              <w:fldChar w:fldCharType="separate"/>
            </w:r>
            <w:r w:rsidR="007C5E5C">
              <w:rPr>
                <w:noProof/>
                <w:webHidden/>
              </w:rPr>
              <w:t>23</w:t>
            </w:r>
            <w:r w:rsidR="007C5E5C">
              <w:rPr>
                <w:noProof/>
                <w:webHidden/>
              </w:rPr>
              <w:fldChar w:fldCharType="end"/>
            </w:r>
          </w:hyperlink>
        </w:p>
        <w:p w14:paraId="128D9C13" w14:textId="56D42142" w:rsidR="007C5E5C" w:rsidRDefault="00DE0ADD">
          <w:pPr>
            <w:pStyle w:val="Obsah2"/>
            <w:rPr>
              <w:rFonts w:asciiTheme="minorHAnsi" w:eastAsiaTheme="minorEastAsia" w:hAnsiTheme="minorHAnsi" w:cstheme="minorBidi"/>
              <w:noProof/>
            </w:rPr>
          </w:pPr>
          <w:hyperlink w:anchor="_Toc56090029" w:history="1">
            <w:r w:rsidR="007C5E5C" w:rsidRPr="00091CB1">
              <w:rPr>
                <w:rStyle w:val="Hypertextovprepojenie"/>
                <w:noProof/>
              </w:rPr>
              <w:t>4.2 Stavebný dozor</w:t>
            </w:r>
            <w:r w:rsidR="007C5E5C">
              <w:rPr>
                <w:noProof/>
                <w:webHidden/>
              </w:rPr>
              <w:tab/>
            </w:r>
            <w:r w:rsidR="007C5E5C">
              <w:rPr>
                <w:noProof/>
                <w:webHidden/>
              </w:rPr>
              <w:fldChar w:fldCharType="begin"/>
            </w:r>
            <w:r w:rsidR="007C5E5C">
              <w:rPr>
                <w:noProof/>
                <w:webHidden/>
              </w:rPr>
              <w:instrText xml:space="preserve"> PAGEREF _Toc56090029 \h </w:instrText>
            </w:r>
            <w:r w:rsidR="007C5E5C">
              <w:rPr>
                <w:noProof/>
                <w:webHidden/>
              </w:rPr>
            </w:r>
            <w:r w:rsidR="007C5E5C">
              <w:rPr>
                <w:noProof/>
                <w:webHidden/>
              </w:rPr>
              <w:fldChar w:fldCharType="separate"/>
            </w:r>
            <w:r w:rsidR="007C5E5C">
              <w:rPr>
                <w:noProof/>
                <w:webHidden/>
              </w:rPr>
              <w:t>23</w:t>
            </w:r>
            <w:r w:rsidR="007C5E5C">
              <w:rPr>
                <w:noProof/>
                <w:webHidden/>
              </w:rPr>
              <w:fldChar w:fldCharType="end"/>
            </w:r>
          </w:hyperlink>
        </w:p>
        <w:p w14:paraId="5DA933E2" w14:textId="1472A684" w:rsidR="007C5E5C" w:rsidRDefault="00DE0ADD">
          <w:pPr>
            <w:pStyle w:val="Obsah2"/>
            <w:rPr>
              <w:rFonts w:asciiTheme="minorHAnsi" w:eastAsiaTheme="minorEastAsia" w:hAnsiTheme="minorHAnsi" w:cstheme="minorBidi"/>
              <w:noProof/>
            </w:rPr>
          </w:pPr>
          <w:hyperlink w:anchor="_Toc56090030" w:history="1">
            <w:r w:rsidR="007C5E5C" w:rsidRPr="00091CB1">
              <w:rPr>
                <w:rStyle w:val="Hypertextovprepojenie"/>
                <w:noProof/>
              </w:rPr>
              <w:t>4.3 Odborný autorský dohľad</w:t>
            </w:r>
            <w:r w:rsidR="007C5E5C">
              <w:rPr>
                <w:noProof/>
                <w:webHidden/>
              </w:rPr>
              <w:tab/>
            </w:r>
            <w:r w:rsidR="007C5E5C">
              <w:rPr>
                <w:noProof/>
                <w:webHidden/>
              </w:rPr>
              <w:fldChar w:fldCharType="begin"/>
            </w:r>
            <w:r w:rsidR="007C5E5C">
              <w:rPr>
                <w:noProof/>
                <w:webHidden/>
              </w:rPr>
              <w:instrText xml:space="preserve"> PAGEREF _Toc56090030 \h </w:instrText>
            </w:r>
            <w:r w:rsidR="007C5E5C">
              <w:rPr>
                <w:noProof/>
                <w:webHidden/>
              </w:rPr>
            </w:r>
            <w:r w:rsidR="007C5E5C">
              <w:rPr>
                <w:noProof/>
                <w:webHidden/>
              </w:rPr>
              <w:fldChar w:fldCharType="separate"/>
            </w:r>
            <w:r w:rsidR="007C5E5C">
              <w:rPr>
                <w:noProof/>
                <w:webHidden/>
              </w:rPr>
              <w:t>23</w:t>
            </w:r>
            <w:r w:rsidR="007C5E5C">
              <w:rPr>
                <w:noProof/>
                <w:webHidden/>
              </w:rPr>
              <w:fldChar w:fldCharType="end"/>
            </w:r>
          </w:hyperlink>
        </w:p>
        <w:p w14:paraId="3F383AAC" w14:textId="454FA249" w:rsidR="007C5E5C" w:rsidRDefault="00DE0ADD">
          <w:pPr>
            <w:pStyle w:val="Obsah2"/>
            <w:rPr>
              <w:rFonts w:asciiTheme="minorHAnsi" w:eastAsiaTheme="minorEastAsia" w:hAnsiTheme="minorHAnsi" w:cstheme="minorBidi"/>
              <w:noProof/>
            </w:rPr>
          </w:pPr>
          <w:hyperlink w:anchor="_Toc56090031" w:history="1">
            <w:r w:rsidR="007C5E5C" w:rsidRPr="00091CB1">
              <w:rPr>
                <w:rStyle w:val="Hypertextovprepojenie"/>
                <w:noProof/>
              </w:rPr>
              <w:t>4.4 Prípravná a projektová dokumentácia</w:t>
            </w:r>
            <w:r w:rsidR="007C5E5C">
              <w:rPr>
                <w:noProof/>
                <w:webHidden/>
              </w:rPr>
              <w:tab/>
            </w:r>
            <w:r w:rsidR="007C5E5C">
              <w:rPr>
                <w:noProof/>
                <w:webHidden/>
              </w:rPr>
              <w:fldChar w:fldCharType="begin"/>
            </w:r>
            <w:r w:rsidR="007C5E5C">
              <w:rPr>
                <w:noProof/>
                <w:webHidden/>
              </w:rPr>
              <w:instrText xml:space="preserve"> PAGEREF _Toc56090031 \h </w:instrText>
            </w:r>
            <w:r w:rsidR="007C5E5C">
              <w:rPr>
                <w:noProof/>
                <w:webHidden/>
              </w:rPr>
            </w:r>
            <w:r w:rsidR="007C5E5C">
              <w:rPr>
                <w:noProof/>
                <w:webHidden/>
              </w:rPr>
              <w:fldChar w:fldCharType="separate"/>
            </w:r>
            <w:r w:rsidR="007C5E5C">
              <w:rPr>
                <w:noProof/>
                <w:webHidden/>
              </w:rPr>
              <w:t>23</w:t>
            </w:r>
            <w:r w:rsidR="007C5E5C">
              <w:rPr>
                <w:noProof/>
                <w:webHidden/>
              </w:rPr>
              <w:fldChar w:fldCharType="end"/>
            </w:r>
          </w:hyperlink>
        </w:p>
        <w:p w14:paraId="6B2F9C98" w14:textId="480E4C78" w:rsidR="007C5E5C" w:rsidRDefault="00DE0ADD">
          <w:pPr>
            <w:pStyle w:val="Obsah2"/>
            <w:rPr>
              <w:rFonts w:asciiTheme="minorHAnsi" w:eastAsiaTheme="minorEastAsia" w:hAnsiTheme="minorHAnsi" w:cstheme="minorBidi"/>
              <w:noProof/>
            </w:rPr>
          </w:pPr>
          <w:hyperlink w:anchor="_Toc56090032" w:history="1">
            <w:r w:rsidR="007C5E5C" w:rsidRPr="00091CB1">
              <w:rPr>
                <w:rStyle w:val="Hypertextovprepojenie"/>
                <w:noProof/>
              </w:rPr>
              <w:t>4.5 Nákup hmotného a nehmotného majetku (okrem nehnuteľností)</w:t>
            </w:r>
            <w:r w:rsidR="007C5E5C">
              <w:rPr>
                <w:noProof/>
                <w:webHidden/>
              </w:rPr>
              <w:tab/>
            </w:r>
            <w:r w:rsidR="007C5E5C">
              <w:rPr>
                <w:noProof/>
                <w:webHidden/>
              </w:rPr>
              <w:fldChar w:fldCharType="begin"/>
            </w:r>
            <w:r w:rsidR="007C5E5C">
              <w:rPr>
                <w:noProof/>
                <w:webHidden/>
              </w:rPr>
              <w:instrText xml:space="preserve"> PAGEREF _Toc56090032 \h </w:instrText>
            </w:r>
            <w:r w:rsidR="007C5E5C">
              <w:rPr>
                <w:noProof/>
                <w:webHidden/>
              </w:rPr>
            </w:r>
            <w:r w:rsidR="007C5E5C">
              <w:rPr>
                <w:noProof/>
                <w:webHidden/>
              </w:rPr>
              <w:fldChar w:fldCharType="separate"/>
            </w:r>
            <w:r w:rsidR="007C5E5C">
              <w:rPr>
                <w:noProof/>
                <w:webHidden/>
              </w:rPr>
              <w:t>24</w:t>
            </w:r>
            <w:r w:rsidR="007C5E5C">
              <w:rPr>
                <w:noProof/>
                <w:webHidden/>
              </w:rPr>
              <w:fldChar w:fldCharType="end"/>
            </w:r>
          </w:hyperlink>
        </w:p>
        <w:p w14:paraId="1C975155" w14:textId="56CC9351" w:rsidR="007C5E5C" w:rsidRDefault="00DE0ADD">
          <w:pPr>
            <w:pStyle w:val="Obsah2"/>
            <w:rPr>
              <w:rFonts w:asciiTheme="minorHAnsi" w:eastAsiaTheme="minorEastAsia" w:hAnsiTheme="minorHAnsi" w:cstheme="minorBidi"/>
              <w:noProof/>
            </w:rPr>
          </w:pPr>
          <w:hyperlink w:anchor="_Toc56090033" w:history="1">
            <w:r w:rsidR="007C5E5C" w:rsidRPr="00091CB1">
              <w:rPr>
                <w:rStyle w:val="Hypertextovprepojenie"/>
                <w:noProof/>
              </w:rPr>
              <w:t>4.6 Ostatné výdavky – externé služby (outsourcing)</w:t>
            </w:r>
            <w:r w:rsidR="007C5E5C">
              <w:rPr>
                <w:noProof/>
                <w:webHidden/>
              </w:rPr>
              <w:tab/>
            </w:r>
            <w:r w:rsidR="007C5E5C">
              <w:rPr>
                <w:noProof/>
                <w:webHidden/>
              </w:rPr>
              <w:fldChar w:fldCharType="begin"/>
            </w:r>
            <w:r w:rsidR="007C5E5C">
              <w:rPr>
                <w:noProof/>
                <w:webHidden/>
              </w:rPr>
              <w:instrText xml:space="preserve"> PAGEREF _Toc56090033 \h </w:instrText>
            </w:r>
            <w:r w:rsidR="007C5E5C">
              <w:rPr>
                <w:noProof/>
                <w:webHidden/>
              </w:rPr>
            </w:r>
            <w:r w:rsidR="007C5E5C">
              <w:rPr>
                <w:noProof/>
                <w:webHidden/>
              </w:rPr>
              <w:fldChar w:fldCharType="separate"/>
            </w:r>
            <w:r w:rsidR="007C5E5C">
              <w:rPr>
                <w:noProof/>
                <w:webHidden/>
              </w:rPr>
              <w:t>25</w:t>
            </w:r>
            <w:r w:rsidR="007C5E5C">
              <w:rPr>
                <w:noProof/>
                <w:webHidden/>
              </w:rPr>
              <w:fldChar w:fldCharType="end"/>
            </w:r>
          </w:hyperlink>
        </w:p>
        <w:p w14:paraId="7417E2BF" w14:textId="72A5DC0F" w:rsidR="007C5E5C" w:rsidRDefault="00DE0ADD">
          <w:pPr>
            <w:pStyle w:val="Obsah2"/>
            <w:rPr>
              <w:rFonts w:asciiTheme="minorHAnsi" w:eastAsiaTheme="minorEastAsia" w:hAnsiTheme="minorHAnsi" w:cstheme="minorBidi"/>
              <w:noProof/>
            </w:rPr>
          </w:pPr>
          <w:hyperlink w:anchor="_Toc56090034" w:history="1">
            <w:r w:rsidR="007C5E5C" w:rsidRPr="00091CB1">
              <w:rPr>
                <w:rStyle w:val="Hypertextovprepojenie"/>
                <w:noProof/>
              </w:rPr>
              <w:t>4.7 Daň z pridanej hodnoty a iné dane</w:t>
            </w:r>
            <w:r w:rsidR="007C5E5C">
              <w:rPr>
                <w:noProof/>
                <w:webHidden/>
              </w:rPr>
              <w:tab/>
            </w:r>
            <w:r w:rsidR="007C5E5C">
              <w:rPr>
                <w:noProof/>
                <w:webHidden/>
              </w:rPr>
              <w:fldChar w:fldCharType="begin"/>
            </w:r>
            <w:r w:rsidR="007C5E5C">
              <w:rPr>
                <w:noProof/>
                <w:webHidden/>
              </w:rPr>
              <w:instrText xml:space="preserve"> PAGEREF _Toc56090034 \h </w:instrText>
            </w:r>
            <w:r w:rsidR="007C5E5C">
              <w:rPr>
                <w:noProof/>
                <w:webHidden/>
              </w:rPr>
            </w:r>
            <w:r w:rsidR="007C5E5C">
              <w:rPr>
                <w:noProof/>
                <w:webHidden/>
              </w:rPr>
              <w:fldChar w:fldCharType="separate"/>
            </w:r>
            <w:r w:rsidR="007C5E5C">
              <w:rPr>
                <w:noProof/>
                <w:webHidden/>
              </w:rPr>
              <w:t>25</w:t>
            </w:r>
            <w:r w:rsidR="007C5E5C">
              <w:rPr>
                <w:noProof/>
                <w:webHidden/>
              </w:rPr>
              <w:fldChar w:fldCharType="end"/>
            </w:r>
          </w:hyperlink>
        </w:p>
        <w:p w14:paraId="5362B46B" w14:textId="0C4282B5" w:rsidR="007C5E5C" w:rsidRDefault="00DE0ADD">
          <w:pPr>
            <w:pStyle w:val="Obsah2"/>
            <w:rPr>
              <w:rFonts w:asciiTheme="minorHAnsi" w:eastAsiaTheme="minorEastAsia" w:hAnsiTheme="minorHAnsi" w:cstheme="minorBidi"/>
              <w:noProof/>
            </w:rPr>
          </w:pPr>
          <w:hyperlink w:anchor="_Toc56090035" w:history="1">
            <w:r w:rsidR="007C5E5C" w:rsidRPr="00091CB1">
              <w:rPr>
                <w:rStyle w:val="Hypertextovprepojenie"/>
                <w:noProof/>
              </w:rPr>
              <w:t>4.8 Informovanie a komunikácia</w:t>
            </w:r>
            <w:r w:rsidR="007C5E5C">
              <w:rPr>
                <w:noProof/>
                <w:webHidden/>
              </w:rPr>
              <w:tab/>
            </w:r>
            <w:r w:rsidR="007C5E5C">
              <w:rPr>
                <w:noProof/>
                <w:webHidden/>
              </w:rPr>
              <w:fldChar w:fldCharType="begin"/>
            </w:r>
            <w:r w:rsidR="007C5E5C">
              <w:rPr>
                <w:noProof/>
                <w:webHidden/>
              </w:rPr>
              <w:instrText xml:space="preserve"> PAGEREF _Toc56090035 \h </w:instrText>
            </w:r>
            <w:r w:rsidR="007C5E5C">
              <w:rPr>
                <w:noProof/>
                <w:webHidden/>
              </w:rPr>
            </w:r>
            <w:r w:rsidR="007C5E5C">
              <w:rPr>
                <w:noProof/>
                <w:webHidden/>
              </w:rPr>
              <w:fldChar w:fldCharType="separate"/>
            </w:r>
            <w:r w:rsidR="007C5E5C">
              <w:rPr>
                <w:noProof/>
                <w:webHidden/>
              </w:rPr>
              <w:t>25</w:t>
            </w:r>
            <w:r w:rsidR="007C5E5C">
              <w:rPr>
                <w:noProof/>
                <w:webHidden/>
              </w:rPr>
              <w:fldChar w:fldCharType="end"/>
            </w:r>
          </w:hyperlink>
        </w:p>
        <w:p w14:paraId="0CB0509B" w14:textId="7D915AFB" w:rsidR="007C5E5C" w:rsidRDefault="00DE0ADD">
          <w:pPr>
            <w:pStyle w:val="Obsah1"/>
            <w:rPr>
              <w:rFonts w:asciiTheme="minorHAnsi" w:eastAsiaTheme="minorEastAsia" w:hAnsiTheme="minorHAnsi" w:cstheme="minorBidi"/>
              <w:b w:val="0"/>
            </w:rPr>
          </w:pPr>
          <w:hyperlink w:anchor="_Toc56090036" w:history="1">
            <w:r w:rsidR="007C5E5C" w:rsidRPr="00091CB1">
              <w:rPr>
                <w:rStyle w:val="Hypertextovprepojenie"/>
              </w:rPr>
              <w:t>5 HOSPODÁRNOSŤ VÝDAVKOV</w:t>
            </w:r>
            <w:r w:rsidR="007C5E5C">
              <w:rPr>
                <w:webHidden/>
              </w:rPr>
              <w:tab/>
            </w:r>
            <w:r w:rsidR="007C5E5C">
              <w:rPr>
                <w:webHidden/>
              </w:rPr>
              <w:fldChar w:fldCharType="begin"/>
            </w:r>
            <w:r w:rsidR="007C5E5C">
              <w:rPr>
                <w:webHidden/>
              </w:rPr>
              <w:instrText xml:space="preserve"> PAGEREF _Toc56090036 \h </w:instrText>
            </w:r>
            <w:r w:rsidR="007C5E5C">
              <w:rPr>
                <w:webHidden/>
              </w:rPr>
            </w:r>
            <w:r w:rsidR="007C5E5C">
              <w:rPr>
                <w:webHidden/>
              </w:rPr>
              <w:fldChar w:fldCharType="separate"/>
            </w:r>
            <w:r w:rsidR="007C5E5C">
              <w:rPr>
                <w:webHidden/>
              </w:rPr>
              <w:t>27</w:t>
            </w:r>
            <w:r w:rsidR="007C5E5C">
              <w:rPr>
                <w:webHidden/>
              </w:rPr>
              <w:fldChar w:fldCharType="end"/>
            </w:r>
          </w:hyperlink>
        </w:p>
        <w:p w14:paraId="6310F4B7" w14:textId="265564F2" w:rsidR="007C5E5C" w:rsidRDefault="00DE0ADD">
          <w:pPr>
            <w:pStyle w:val="Obsah1"/>
            <w:rPr>
              <w:rFonts w:asciiTheme="minorHAnsi" w:eastAsiaTheme="minorEastAsia" w:hAnsiTheme="minorHAnsi" w:cstheme="minorBidi"/>
              <w:b w:val="0"/>
            </w:rPr>
          </w:pPr>
          <w:hyperlink w:anchor="_Toc56090037" w:history="1">
            <w:r w:rsidR="007C5E5C" w:rsidRPr="00091CB1">
              <w:rPr>
                <w:rStyle w:val="Hypertextovprepojenie"/>
                <w:caps/>
              </w:rPr>
              <w:t>6</w:t>
            </w:r>
            <w:r w:rsidR="007C5E5C">
              <w:rPr>
                <w:rFonts w:asciiTheme="minorHAnsi" w:eastAsiaTheme="minorEastAsia" w:hAnsiTheme="minorHAnsi" w:cstheme="minorBidi"/>
                <w:b w:val="0"/>
              </w:rPr>
              <w:tab/>
            </w:r>
            <w:r w:rsidR="007C5E5C" w:rsidRPr="00091CB1">
              <w:rPr>
                <w:rStyle w:val="Hypertextovprepojenie"/>
                <w:caps/>
              </w:rPr>
              <w:t>Zoznam príloh</w:t>
            </w:r>
            <w:r w:rsidR="007C5E5C">
              <w:rPr>
                <w:webHidden/>
              </w:rPr>
              <w:tab/>
            </w:r>
            <w:r w:rsidR="007C5E5C">
              <w:rPr>
                <w:webHidden/>
              </w:rPr>
              <w:fldChar w:fldCharType="begin"/>
            </w:r>
            <w:r w:rsidR="007C5E5C">
              <w:rPr>
                <w:webHidden/>
              </w:rPr>
              <w:instrText xml:space="preserve"> PAGEREF _Toc56090037 \h </w:instrText>
            </w:r>
            <w:r w:rsidR="007C5E5C">
              <w:rPr>
                <w:webHidden/>
              </w:rPr>
            </w:r>
            <w:r w:rsidR="007C5E5C">
              <w:rPr>
                <w:webHidden/>
              </w:rPr>
              <w:fldChar w:fldCharType="separate"/>
            </w:r>
            <w:r w:rsidR="007C5E5C">
              <w:rPr>
                <w:webHidden/>
              </w:rPr>
              <w:t>34</w:t>
            </w:r>
            <w:r w:rsidR="007C5E5C">
              <w:rPr>
                <w:webHidden/>
              </w:rPr>
              <w:fldChar w:fldCharType="end"/>
            </w:r>
          </w:hyperlink>
        </w:p>
        <w:p w14:paraId="46744E3E" w14:textId="142A59E5" w:rsidR="007C5E5C" w:rsidRDefault="00A824F9" w:rsidP="001B0110">
          <w:pPr>
            <w:pStyle w:val="Obsah1"/>
            <w:rPr>
              <w:b w:val="0"/>
              <w:bCs/>
            </w:rPr>
          </w:pPr>
          <w:r>
            <w:rPr>
              <w:b w:val="0"/>
              <w:bCs/>
            </w:rPr>
            <w:fldChar w:fldCharType="end"/>
          </w:r>
        </w:p>
        <w:p w14:paraId="04F2F77F" w14:textId="77777777" w:rsidR="007C5E5C" w:rsidRDefault="007C5E5C" w:rsidP="007C5E5C"/>
        <w:p w14:paraId="6767626D" w14:textId="77777777" w:rsidR="007C5E5C" w:rsidRDefault="007C5E5C" w:rsidP="007C5E5C"/>
        <w:p w14:paraId="7C417166" w14:textId="706ED828" w:rsidR="00A824F9" w:rsidRPr="007C5E5C" w:rsidRDefault="00DE0ADD" w:rsidP="007C5E5C"/>
      </w:sdtContent>
    </w:sdt>
    <w:p w14:paraId="5480C50D" w14:textId="0A018936" w:rsidR="004B7756" w:rsidRPr="00B5339F" w:rsidRDefault="004B7756" w:rsidP="001B0110">
      <w:pPr>
        <w:pStyle w:val="Nadpis1"/>
        <w:spacing w:before="120" w:after="120" w:line="240" w:lineRule="auto"/>
      </w:pPr>
      <w:bookmarkStart w:id="3" w:name="_Toc505197968"/>
      <w:bookmarkStart w:id="4" w:name="_Toc56090009"/>
      <w:r>
        <w:lastRenderedPageBreak/>
        <w:t xml:space="preserve">1 </w:t>
      </w:r>
      <w:r w:rsidRPr="00B5339F">
        <w:t>ÚVOD</w:t>
      </w:r>
      <w:bookmarkEnd w:id="2"/>
      <w:bookmarkEnd w:id="3"/>
      <w:bookmarkEnd w:id="4"/>
    </w:p>
    <w:p w14:paraId="0A97C97C" w14:textId="1221024E" w:rsidR="004B7756" w:rsidRPr="00B5339F" w:rsidRDefault="004B7756" w:rsidP="00151681">
      <w:pPr>
        <w:spacing w:before="120" w:line="240" w:lineRule="auto"/>
        <w:jc w:val="both"/>
      </w:pPr>
      <w:r w:rsidRPr="00B5339F">
        <w:t xml:space="preserve">Cieľom </w:t>
      </w:r>
      <w:r w:rsidR="00145122" w:rsidRPr="00145122">
        <w:t>p</w:t>
      </w:r>
      <w:r w:rsidRPr="00145122">
        <w:t>ravidiel</w:t>
      </w:r>
      <w:r w:rsidRPr="00B5339F">
        <w:t xml:space="preserve"> oprávnenosti výdavkov pre IROP (ďalej aj „</w:t>
      </w:r>
      <w:r w:rsidR="00A54581">
        <w:t>p</w:t>
      </w:r>
      <w:r w:rsidRPr="00B5339F">
        <w:t xml:space="preserve">ravidlá </w:t>
      </w:r>
      <w:r w:rsidR="00357779">
        <w:t xml:space="preserve">oprávnenosti výdavkov </w:t>
      </w:r>
      <w:r w:rsidR="00696081">
        <w:t>„POV</w:t>
      </w:r>
      <w:r w:rsidRPr="00B5339F">
        <w:t>“) je definovať oprávnené výdavky a pravidlá oprávnenosti výdavkov pre prioritnú os 2,</w:t>
      </w:r>
      <w:r w:rsidR="00CD2F4C">
        <w:t xml:space="preserve"> špecifický cieľ 2.1.</w:t>
      </w:r>
      <w:r w:rsidR="005B6256">
        <w:t>4</w:t>
      </w:r>
      <w:r w:rsidR="00E31EB4">
        <w:t xml:space="preserve"> </w:t>
      </w:r>
      <w:r w:rsidR="003730A4" w:rsidRPr="003730A4">
        <w:t>Posilnenie kapacít v zdravotníckom systéme ako reakcia na pandémiu COVID-19</w:t>
      </w:r>
      <w:r w:rsidR="003730A4">
        <w:t xml:space="preserve"> </w:t>
      </w:r>
      <w:r w:rsidR="00CD2F4C">
        <w:t>(ďalej len „</w:t>
      </w:r>
      <w:r w:rsidRPr="00B5339F">
        <w:t xml:space="preserve">ŠC </w:t>
      </w:r>
      <w:r w:rsidR="00461D6B">
        <w:t>2.1.</w:t>
      </w:r>
      <w:r w:rsidR="005B6256">
        <w:t>4</w:t>
      </w:r>
      <w:r w:rsidR="00CD2F4C">
        <w:t>“)</w:t>
      </w:r>
      <w:r w:rsidRPr="00B5339F">
        <w:t xml:space="preserve"> Integrovaného regionálneho operačného programu (</w:t>
      </w:r>
      <w:r w:rsidR="00CD2F4C">
        <w:t>ďalej len „</w:t>
      </w:r>
      <w:r w:rsidRPr="00B5339F">
        <w:t>IROP</w:t>
      </w:r>
      <w:r w:rsidR="00CD2F4C">
        <w:t>“</w:t>
      </w:r>
      <w:r w:rsidRPr="00B5339F">
        <w:t>) a poskytnutie informácií potrebných pre zaradenie výdavku do správnej skupiny výdavkov.</w:t>
      </w:r>
    </w:p>
    <w:p w14:paraId="7C19473A" w14:textId="77777777" w:rsidR="004B7756" w:rsidRPr="00B5339F" w:rsidRDefault="004B7756" w:rsidP="00151681">
      <w:pPr>
        <w:spacing w:before="120" w:line="240" w:lineRule="auto"/>
        <w:jc w:val="both"/>
      </w:pPr>
      <w:r w:rsidRPr="00B5339F">
        <w:t xml:space="preserve">Ustanovenia týchto </w:t>
      </w:r>
      <w:r w:rsidR="00A54581">
        <w:t>p</w:t>
      </w:r>
      <w:r w:rsidRPr="00B5339F">
        <w:t>ravidiel OV sú pre žiadateľa</w:t>
      </w:r>
      <w:r w:rsidR="00A54581">
        <w:t xml:space="preserve"> a </w:t>
      </w:r>
      <w:r w:rsidRPr="00B5339F">
        <w:t>prijímateľa záväzné, pokiaľ príslušná výzva, resp. príslušné dokumenty neustanovujú inak. Pravidlá OV nenahrádzajú žiadne ustanovenia dohodnuté medzi SO</w:t>
      </w:r>
      <w:r w:rsidR="00A54581">
        <w:t xml:space="preserve"> pre IROP a prijímateľom v z</w:t>
      </w:r>
      <w:r w:rsidRPr="00B5339F">
        <w:t>mluve o poskytnutí NFP, len ich dopĺňajú, prípadne vysvetľujú. Zároveň nenahrádzajú iné záväzné dokumenty súvisiace s prípravou a</w:t>
      </w:r>
      <w:r w:rsidR="00391AA9">
        <w:t> </w:t>
      </w:r>
      <w:r w:rsidRPr="00B5339F">
        <w:t>realizáci</w:t>
      </w:r>
      <w:r w:rsidR="00A54581">
        <w:t>ou projektov IROP ako je napr. príručka pre žiadateľa, p</w:t>
      </w:r>
      <w:r w:rsidRPr="00B5339F">
        <w:t xml:space="preserve">ríručka pre prijímateľa, </w:t>
      </w:r>
      <w:r w:rsidR="00A54581">
        <w:t xml:space="preserve">príručka k procesu verejného obstarávania, </w:t>
      </w:r>
      <w:r w:rsidRPr="00B5339F">
        <w:t>Systém riadenia európskych štrukturálnych a investičných fondov (</w:t>
      </w:r>
      <w:r w:rsidR="00E60C23">
        <w:t>ďalej len „</w:t>
      </w:r>
      <w:r w:rsidRPr="00B5339F">
        <w:t>SR EŠIF</w:t>
      </w:r>
      <w:r w:rsidR="00E60C23">
        <w:t>“</w:t>
      </w:r>
      <w:r w:rsidRPr="00B5339F">
        <w:t>) a Systém finančného riadenia štrukturálnych fondov, Kohézneho fondu a Európskeho námorného a rybného fondu na programové obdobie 2014 – 2020</w:t>
      </w:r>
      <w:r w:rsidR="00E60C23">
        <w:t xml:space="preserve"> (ďalej len „SFR“)</w:t>
      </w:r>
      <w:r w:rsidRPr="00B5339F">
        <w:t>.</w:t>
      </w:r>
    </w:p>
    <w:p w14:paraId="70CE6A36" w14:textId="77777777" w:rsidR="004B7756" w:rsidRPr="00B5339F" w:rsidRDefault="00A54581" w:rsidP="00151681">
      <w:pPr>
        <w:spacing w:before="120" w:line="240" w:lineRule="auto"/>
        <w:jc w:val="both"/>
      </w:pPr>
      <w:r>
        <w:t>V p</w:t>
      </w:r>
      <w:r w:rsidR="004B7756" w:rsidRPr="00B5339F">
        <w:t xml:space="preserve">ravidlách OV sú uvádzané odkazy na legislatívu SR a EÚ. Zoznam legislatívnych predpisov EÚ a SR, ktoré sa vzťahujú k ustanoveniam týchto </w:t>
      </w:r>
      <w:r>
        <w:t>p</w:t>
      </w:r>
      <w:r w:rsidR="004B7756" w:rsidRPr="00B5339F">
        <w:t xml:space="preserve">ravidiel OV je uvedený v kapitole 1.1 </w:t>
      </w:r>
      <w:r w:rsidR="0068187E">
        <w:t>SR</w:t>
      </w:r>
      <w:r w:rsidR="004B7756" w:rsidRPr="00B5339F">
        <w:t xml:space="preserve"> EŠIF. Skratky legislatívnych predpisov uvádzané v SR EŠIF sú použité aj v tomto dokumente.</w:t>
      </w:r>
    </w:p>
    <w:p w14:paraId="39CD9A6B" w14:textId="77777777" w:rsidR="00514CD3" w:rsidRPr="00514CD3" w:rsidRDefault="00514CD3" w:rsidP="00151681">
      <w:pPr>
        <w:spacing w:before="120" w:line="240" w:lineRule="auto"/>
        <w:rPr>
          <w:b/>
        </w:rPr>
      </w:pPr>
      <w:r w:rsidRPr="00514CD3">
        <w:rPr>
          <w:b/>
        </w:rPr>
        <w:t xml:space="preserve">Platnosť </w:t>
      </w:r>
      <w:r w:rsidR="0068187E">
        <w:rPr>
          <w:b/>
        </w:rPr>
        <w:t>pravidiel OV</w:t>
      </w:r>
    </w:p>
    <w:p w14:paraId="1FA9DE01" w14:textId="77777777" w:rsidR="00514CD3" w:rsidRDefault="00514CD3" w:rsidP="00151681">
      <w:pPr>
        <w:spacing w:before="120" w:line="240" w:lineRule="auto"/>
        <w:jc w:val="both"/>
      </w:pPr>
      <w:r>
        <w:t xml:space="preserve">Platnosť </w:t>
      </w:r>
      <w:r w:rsidR="0068187E">
        <w:t xml:space="preserve">pravidiel </w:t>
      </w:r>
      <w:r>
        <w:t>OV a </w:t>
      </w:r>
      <w:r w:rsidR="0068187E">
        <w:t xml:space="preserve">ich </w:t>
      </w:r>
      <w:r>
        <w:t xml:space="preserve">aktuálna verzia sú uvedené na prvej strane tohto dokumentu. </w:t>
      </w:r>
      <w:r w:rsidR="0068187E">
        <w:t xml:space="preserve">Pravidlá </w:t>
      </w:r>
      <w:r>
        <w:t xml:space="preserve">OV </w:t>
      </w:r>
      <w:r w:rsidR="0068187E">
        <w:t>sú</w:t>
      </w:r>
      <w:r>
        <w:t xml:space="preserve"> účinn</w:t>
      </w:r>
      <w:r w:rsidR="0068187E">
        <w:t>é</w:t>
      </w:r>
      <w:r>
        <w:t xml:space="preserve"> dňom zverejnenia na webovom sídle RO</w:t>
      </w:r>
      <w:r w:rsidR="00145122">
        <w:t xml:space="preserve"> pre IROP</w:t>
      </w:r>
      <w:r>
        <w:t xml:space="preserve"> </w:t>
      </w:r>
      <w:hyperlink r:id="rId8" w:history="1">
        <w:r w:rsidRPr="002B09B4">
          <w:rPr>
            <w:rStyle w:val="Hypertextovprepojenie"/>
          </w:rPr>
          <w:t>www.mpsr.sk</w:t>
        </w:r>
      </w:hyperlink>
      <w:r>
        <w:t xml:space="preserve"> formou webového linku </w:t>
      </w:r>
      <w:hyperlink r:id="rId9" w:history="1">
        <w:r w:rsidRPr="002B09B4">
          <w:rPr>
            <w:rStyle w:val="Hypertextovprepojenie"/>
          </w:rPr>
          <w:t>http://www.mpsr.sk/sk/index/.php?navID=373</w:t>
        </w:r>
      </w:hyperlink>
      <w:r w:rsidR="00A13922">
        <w:t>.</w:t>
      </w:r>
    </w:p>
    <w:p w14:paraId="52B68BC0" w14:textId="77777777" w:rsidR="00514CD3" w:rsidRDefault="00514CD3" w:rsidP="00151681">
      <w:pPr>
        <w:spacing w:before="120" w:line="240" w:lineRule="auto"/>
        <w:jc w:val="both"/>
      </w:pPr>
      <w:r>
        <w:t xml:space="preserve">Žiadateľ je povinný pri vypracovaní </w:t>
      </w:r>
      <w:r w:rsidR="00957E76">
        <w:t>rozpočtu v </w:t>
      </w:r>
      <w:r>
        <w:t>ŽoNF</w:t>
      </w:r>
      <w:r w:rsidR="00957E76">
        <w:t>P</w:t>
      </w:r>
      <w:r>
        <w:t xml:space="preserve"> postupovať podľa tej verzie </w:t>
      </w:r>
      <w:r w:rsidR="0068187E">
        <w:t xml:space="preserve">pravidiel </w:t>
      </w:r>
      <w:r>
        <w:t xml:space="preserve">OV, ktorá je súčasťou výzvy </w:t>
      </w:r>
      <w:r w:rsidR="00957E76">
        <w:t>na predkladanie ŽoNFP</w:t>
      </w:r>
      <w:r w:rsidR="0068187E">
        <w:t>,</w:t>
      </w:r>
      <w:r>
        <w:t xml:space="preserve"> resp. </w:t>
      </w:r>
      <w:r w:rsidR="0068187E">
        <w:t xml:space="preserve">ich </w:t>
      </w:r>
      <w:r>
        <w:t>neskorších aktualizácii, ak</w:t>
      </w:r>
      <w:r w:rsidR="00A13922">
        <w:t xml:space="preserve"> nie je vo výzve uvedené inak. </w:t>
      </w:r>
    </w:p>
    <w:p w14:paraId="401C3837" w14:textId="77777777" w:rsidR="00514CD3" w:rsidRDefault="00514CD3" w:rsidP="00151681">
      <w:pPr>
        <w:spacing w:before="120" w:line="240" w:lineRule="auto"/>
        <w:jc w:val="both"/>
      </w:pPr>
      <w:r>
        <w:t>Pravidlá OV sa vzťahujú na celé obdobie realizácie projektu</w:t>
      </w:r>
      <w:r w:rsidR="00471A96">
        <w:t xml:space="preserve"> až do ukončenia zmluvného vzťahu a vysporiadania finančných záväzkov</w:t>
      </w:r>
      <w:r>
        <w:t xml:space="preserve">. </w:t>
      </w:r>
      <w:r w:rsidRPr="00A13922">
        <w:t>SO pre IRO</w:t>
      </w:r>
      <w:r w:rsidR="00957E76" w:rsidRPr="00A13922">
        <w:t>P</w:t>
      </w:r>
      <w:r w:rsidRPr="00A13922">
        <w:t xml:space="preserve"> si vyhradzuje právo</w:t>
      </w:r>
      <w:r w:rsidR="00957E76" w:rsidRPr="00A13922">
        <w:t>,</w:t>
      </w:r>
      <w:r w:rsidRPr="00A13922">
        <w:t xml:space="preserve"> v prípade potreby</w:t>
      </w:r>
      <w:r w:rsidR="00957E76" w:rsidRPr="00A13922">
        <w:t>,</w:t>
      </w:r>
      <w:r w:rsidRPr="00A13922">
        <w:t xml:space="preserve"> informácie v </w:t>
      </w:r>
      <w:r w:rsidR="0068187E" w:rsidRPr="00A13922">
        <w:t xml:space="preserve">týchto pravidlách OV </w:t>
      </w:r>
      <w:r w:rsidRPr="00A13922">
        <w:t>upraviť, doplniť alebo aktualizovať, a to najmä z dôvodu aktualizácie riadiacej dokumentácie, v nadväznosti na auditné  a kontrolné zistenia, legislatívne zmeny</w:t>
      </w:r>
      <w:r w:rsidR="00957E76" w:rsidRPr="00A13922">
        <w:t xml:space="preserve"> </w:t>
      </w:r>
      <w:r w:rsidRPr="00A13922">
        <w:t xml:space="preserve">alebo z vlastného </w:t>
      </w:r>
      <w:r w:rsidR="00957E76" w:rsidRPr="00A13922">
        <w:t xml:space="preserve">podnetu. </w:t>
      </w:r>
    </w:p>
    <w:p w14:paraId="15A56C4D" w14:textId="77777777" w:rsidR="004B7756" w:rsidRDefault="004B7756" w:rsidP="00151681">
      <w:pPr>
        <w:pStyle w:val="Nadpis1"/>
        <w:spacing w:before="120" w:after="120" w:line="240" w:lineRule="auto"/>
      </w:pPr>
      <w:r>
        <w:br w:type="page"/>
      </w:r>
      <w:bookmarkStart w:id="5" w:name="page3"/>
      <w:bookmarkStart w:id="6" w:name="_Toc476655609"/>
      <w:bookmarkStart w:id="7" w:name="_Toc505197969"/>
      <w:bookmarkStart w:id="8" w:name="_Toc56090010"/>
      <w:bookmarkEnd w:id="5"/>
      <w:r w:rsidRPr="00B5339F">
        <w:lastRenderedPageBreak/>
        <w:t>2  OPRÁVNENOSŤ VÝDAVKOV REALIZÁCIE PROJEKTU</w:t>
      </w:r>
      <w:bookmarkEnd w:id="6"/>
      <w:bookmarkEnd w:id="7"/>
      <w:bookmarkEnd w:id="8"/>
    </w:p>
    <w:p w14:paraId="0638830B" w14:textId="77777777" w:rsidR="00020882" w:rsidRPr="00020882" w:rsidRDefault="00020882" w:rsidP="00020882">
      <w:pPr>
        <w:jc w:val="both"/>
      </w:pPr>
      <w:r w:rsidRPr="00020882">
        <w:t xml:space="preserve">Podpora v boji proti pandémii COVID-19 je cielená na subjekty v zdravotníckom systéme, čím bude pomoc smerovaná nielen na subjekty zdravotnej starostlivosti ale aj na zložky verejného zdravotníctva, čo je nosná zložka pri riešení a eliminácii epidémií a pandémií infekčných ochorení. V rámci systému zdravotnej starostlivosti bude pomoc orientovaná na činnosť v boji proti pandémii COVID-19 v zariadeniach ústavnej zdravotnej starostlivosti, doliečovanie a na podporu vybraných subjektov ambulantnej zdravotnej starostlivosti s dôrazom na vybavenie novovznikajúcich epidemiologických ambulancií a mobilných odberných miest. </w:t>
      </w:r>
    </w:p>
    <w:p w14:paraId="4107F1E5" w14:textId="77777777" w:rsidR="00020882" w:rsidRPr="00020882" w:rsidRDefault="00020882" w:rsidP="00020882">
      <w:pPr>
        <w:jc w:val="both"/>
      </w:pPr>
      <w:r w:rsidRPr="00020882">
        <w:t xml:space="preserve">Podpora bude realizovaná prostredníctvom nákupu potrebného vybavenia v zdravotníckom systéme vrátane ochranného materiálu pre jeho zamestnancov. </w:t>
      </w:r>
    </w:p>
    <w:p w14:paraId="68D7C12B" w14:textId="49968123" w:rsidR="00020882" w:rsidRDefault="00020882" w:rsidP="00020882">
      <w:pPr>
        <w:jc w:val="both"/>
      </w:pPr>
      <w:r w:rsidRPr="00020882">
        <w:t>Oprávnené výdavky budú zamerané na nákup kapitálových výdavkov a primerane na nákup bežných výdavkov. Podiel bežných výdavkov na rozpočte celého projektu bude vo výzve/vyzvaní percentuálne obmedzený.</w:t>
      </w:r>
    </w:p>
    <w:p w14:paraId="381A8CCD" w14:textId="24B7BB33" w:rsidR="00020882" w:rsidRDefault="00020882" w:rsidP="00020882">
      <w:pPr>
        <w:jc w:val="both"/>
      </w:pPr>
      <w:r w:rsidRPr="00020882">
        <w:t xml:space="preserve">V rámci investičných (kapitálových) výdavkov pôjde najmä o obstaranie strojového, prístrojového, technického vybavenia a zdravotníckej techniky, resp. na výdavky spojené s vynútenou úpravou priestorov pre zabezpečenie verejného zdravia a elimináciu šírenia koronavírusu vyvolávajúceho ochorenie COVID-19 (vybudovanie červených zón, odberných miest, oddelených lôžkových častí, nákup mobilných RTG, dezinfekčných brán, termokamier, sterilizátorov a pod.). Rámcový zoznam oprávnených výdavkov je uvedený v prílohe toho </w:t>
      </w:r>
      <w:r w:rsidR="00AD50E1">
        <w:t>dokumentu</w:t>
      </w:r>
      <w:r w:rsidRPr="00020882">
        <w:t xml:space="preserve">. </w:t>
      </w:r>
    </w:p>
    <w:p w14:paraId="6D9869D0" w14:textId="4C2B4A41" w:rsidR="00020882" w:rsidRPr="00020882" w:rsidRDefault="00020882" w:rsidP="00020882">
      <w:pPr>
        <w:jc w:val="both"/>
      </w:pPr>
      <w:r w:rsidRPr="00020882">
        <w:t xml:space="preserve">V rámci bežných výdavkov to budú výdavky spojené s ochrannými pomôckami, výdavky na dezinfekciu a ochranu zdravia personálu v zdravotníckom systéme. </w:t>
      </w:r>
      <w:r w:rsidR="00F62E30">
        <w:t>Rámcový z</w:t>
      </w:r>
      <w:r w:rsidRPr="00020882">
        <w:t xml:space="preserve">oznam </w:t>
      </w:r>
      <w:r w:rsidR="00F62E30">
        <w:t xml:space="preserve">oprávnených </w:t>
      </w:r>
      <w:r w:rsidRPr="00020882">
        <w:t xml:space="preserve">výdavkov je v prílohe tohto dokumentu. </w:t>
      </w:r>
    </w:p>
    <w:p w14:paraId="0B204C7F" w14:textId="77777777" w:rsidR="00020882" w:rsidRPr="00020882" w:rsidRDefault="00020882" w:rsidP="00604CFB">
      <w:pPr>
        <w:jc w:val="both"/>
      </w:pPr>
      <w:r w:rsidRPr="00020882">
        <w:t xml:space="preserve">Za investičný výdavok môžu byť považované aj výdavky v nižšej hodnote ako 1 700 eur, ak doba jeho používania je dlhšia ako 1 rok a zároveň je táto možnosť uvedená vo vnútornej smernici o účtovníctve užívateľa. </w:t>
      </w:r>
    </w:p>
    <w:p w14:paraId="71236865" w14:textId="77777777" w:rsidR="004B7756" w:rsidRPr="005C05CC" w:rsidRDefault="004B7756" w:rsidP="00151681">
      <w:pPr>
        <w:pStyle w:val="Nadpis2"/>
        <w:spacing w:after="120" w:line="240" w:lineRule="auto"/>
        <w:rPr>
          <w:rFonts w:asciiTheme="minorHAnsi" w:hAnsiTheme="minorHAnsi"/>
        </w:rPr>
      </w:pPr>
      <w:bookmarkStart w:id="9" w:name="_Toc476655610"/>
      <w:bookmarkStart w:id="10" w:name="_Toc505197970"/>
      <w:bookmarkStart w:id="11" w:name="_Toc56090011"/>
      <w:r w:rsidRPr="005C05CC">
        <w:rPr>
          <w:rFonts w:asciiTheme="minorHAnsi" w:hAnsiTheme="minorHAnsi"/>
        </w:rPr>
        <w:t>2.1  Všeobecné pravidlá oprávnenosti výdavkov</w:t>
      </w:r>
      <w:bookmarkEnd w:id="9"/>
      <w:bookmarkEnd w:id="10"/>
      <w:bookmarkEnd w:id="11"/>
    </w:p>
    <w:p w14:paraId="7668D6BC" w14:textId="77777777" w:rsidR="004B7756" w:rsidRPr="00B5339F" w:rsidRDefault="004B7756" w:rsidP="00151681">
      <w:pPr>
        <w:spacing w:before="120" w:line="240" w:lineRule="auto"/>
        <w:jc w:val="both"/>
      </w:pPr>
      <w:r w:rsidRPr="00B5339F">
        <w:t>Pravidlá oprávnenosti výdavkov sú stanovené na vnútroštátnej úrovni v súlade s čl. 65 ods. 1 všeobecného nariadenia s ohľadom na platnú národnú legislatívu, najmä zákon o rozpočtových pravidlách, zákon o účtovníctve a zákon o rozpočtových pravidlách územnej samosprávy, okrem prípadov, keď sú stanovené osobitné pravidlá vo všeobecnom nariadení alebo pravidiel pre jednotlivé fondy.</w:t>
      </w:r>
    </w:p>
    <w:p w14:paraId="2F02E7CE" w14:textId="77777777" w:rsidR="004B7756" w:rsidRPr="00B5339F" w:rsidRDefault="004B7756" w:rsidP="00151681">
      <w:pPr>
        <w:spacing w:after="60" w:line="240" w:lineRule="auto"/>
        <w:jc w:val="both"/>
      </w:pPr>
      <w:r w:rsidRPr="00FC4D6E">
        <w:rPr>
          <w:u w:val="single"/>
        </w:rPr>
        <w:t>Oprávnenosť výdavkov usmerňuje</w:t>
      </w:r>
      <w:r w:rsidRPr="00B5339F">
        <w:t xml:space="preserve"> okrem príslušnej legislatívy SR a EÚ najmä:</w:t>
      </w:r>
    </w:p>
    <w:p w14:paraId="1D8386E8" w14:textId="4DF9870E" w:rsidR="004B7756" w:rsidRDefault="0068187E" w:rsidP="00151681">
      <w:pPr>
        <w:numPr>
          <w:ilvl w:val="0"/>
          <w:numId w:val="1"/>
        </w:numPr>
        <w:spacing w:after="60" w:line="240" w:lineRule="auto"/>
        <w:jc w:val="both"/>
      </w:pPr>
      <w:r>
        <w:t>S</w:t>
      </w:r>
      <w:r w:rsidR="00357779">
        <w:t>ystém riadenia európskych štrukturálnych a investičných fondov</w:t>
      </w:r>
      <w:r w:rsidR="004B7756">
        <w:t xml:space="preserve">; </w:t>
      </w:r>
    </w:p>
    <w:p w14:paraId="59DB272E" w14:textId="5E80C358" w:rsidR="004B7756" w:rsidRDefault="00357779" w:rsidP="00151681">
      <w:pPr>
        <w:numPr>
          <w:ilvl w:val="0"/>
          <w:numId w:val="1"/>
        </w:numPr>
        <w:spacing w:after="60" w:line="240" w:lineRule="auto"/>
        <w:jc w:val="both"/>
      </w:pPr>
      <w:r>
        <w:t>Systém finančného riadenia európskych štrukturálnych a investičných fondov, ,,,,,,,</w:t>
      </w:r>
    </w:p>
    <w:p w14:paraId="477AF2B1" w14:textId="77777777" w:rsidR="004B7756" w:rsidRDefault="0068187E" w:rsidP="00151681">
      <w:pPr>
        <w:numPr>
          <w:ilvl w:val="0"/>
          <w:numId w:val="1"/>
        </w:numPr>
        <w:spacing w:after="60" w:line="240" w:lineRule="auto"/>
        <w:jc w:val="both"/>
      </w:pPr>
      <w:r>
        <w:t>m</w:t>
      </w:r>
      <w:r w:rsidR="004B7756" w:rsidRPr="00B5339F">
        <w:t xml:space="preserve">etodický pokyn CKO č. 4 k číselníku oprávnených výdavkov; </w:t>
      </w:r>
    </w:p>
    <w:p w14:paraId="52BD481E" w14:textId="77777777" w:rsidR="004B7756" w:rsidRDefault="0068187E" w:rsidP="00151681">
      <w:pPr>
        <w:numPr>
          <w:ilvl w:val="0"/>
          <w:numId w:val="1"/>
        </w:numPr>
        <w:spacing w:after="60" w:line="240" w:lineRule="auto"/>
        <w:jc w:val="both"/>
      </w:pPr>
      <w:r>
        <w:t>m</w:t>
      </w:r>
      <w:r w:rsidR="004B7756" w:rsidRPr="00B5339F">
        <w:t>etodický pokyn CKO č. 6 k pravidlám oprávnenosti pre najčastejšie s</w:t>
      </w:r>
      <w:r w:rsidR="004B7756">
        <w:t>a vyskytujúce skupiny výdavkov</w:t>
      </w:r>
      <w:r>
        <w:t xml:space="preserve"> (ďalej len „metodický pokyn CKO č. 6“)</w:t>
      </w:r>
      <w:r w:rsidR="004B7756">
        <w:t>;</w:t>
      </w:r>
    </w:p>
    <w:p w14:paraId="42847C3E" w14:textId="48BEB08E" w:rsidR="00EF6AC0" w:rsidRDefault="0068187E" w:rsidP="008623A4">
      <w:pPr>
        <w:numPr>
          <w:ilvl w:val="0"/>
          <w:numId w:val="1"/>
        </w:numPr>
        <w:spacing w:line="240" w:lineRule="auto"/>
        <w:jc w:val="both"/>
      </w:pPr>
      <w:r>
        <w:t>m</w:t>
      </w:r>
      <w:r w:rsidR="004B7756" w:rsidRPr="00B5339F">
        <w:t>etodický pokyn CKO č. 18 k overovaniu hospodárnosti výdavkov</w:t>
      </w:r>
      <w:r>
        <w:t xml:space="preserve"> (ďalej len „metodický pokyn CKO č. 18“)</w:t>
      </w:r>
      <w:r w:rsidR="00020882">
        <w:t xml:space="preserve"> aplikovaný primerane k situácii v rámci vyhlásenej mimoriadnej situácii a mimoriadne naliehavého stavu</w:t>
      </w:r>
      <w:r w:rsidR="00FC42BE">
        <w:t>;</w:t>
      </w:r>
    </w:p>
    <w:p w14:paraId="3239637E" w14:textId="5688122C" w:rsidR="00BA0BAE" w:rsidRDefault="00357779" w:rsidP="00EF6AC0">
      <w:pPr>
        <w:numPr>
          <w:ilvl w:val="0"/>
          <w:numId w:val="1"/>
        </w:numPr>
        <w:spacing w:line="240" w:lineRule="auto"/>
        <w:jc w:val="both"/>
      </w:pPr>
      <w:r>
        <w:t>oznámenie Komisie – usmernenie EK k využívaniu rámca pre verejné obstarávanie počas núdzovej situácie súvisiacej s krízou spôsobenou ochorením COVID-19 (2020/C 108 I/01) zo dňa 1. 4. 2020 zverejnenom v Úradnom vestníku EÚ</w:t>
      </w:r>
      <w:r w:rsidR="00FC42BE">
        <w:t>;</w:t>
      </w:r>
    </w:p>
    <w:p w14:paraId="4B7ECF7E" w14:textId="3D2E12FA" w:rsidR="00AF081E" w:rsidRDefault="00FC42BE" w:rsidP="00BA0BAE">
      <w:pPr>
        <w:numPr>
          <w:ilvl w:val="0"/>
          <w:numId w:val="1"/>
        </w:numPr>
        <w:spacing w:line="240" w:lineRule="auto"/>
        <w:jc w:val="both"/>
      </w:pPr>
      <w:r>
        <w:lastRenderedPageBreak/>
        <w:t>z</w:t>
      </w:r>
      <w:r w:rsidRPr="00EF6AC0">
        <w:t xml:space="preserve">hrnutie </w:t>
      </w:r>
      <w:r w:rsidR="00EF6AC0" w:rsidRPr="00EF6AC0">
        <w:t>usmernení pre prijímateľov a</w:t>
      </w:r>
      <w:r w:rsidR="00EF6AC0">
        <w:t> riadiaci orgán</w:t>
      </w:r>
      <w:r w:rsidR="00EF6AC0" w:rsidRPr="00EF6AC0">
        <w:t xml:space="preserve"> v súvislosti s mimoriadnou situáciou spôsobenou šírením koronavírusu</w:t>
      </w:r>
      <w:r w:rsidR="00AF081E">
        <w:t xml:space="preserve"> vrátane výnimky CKO udelenej MZ SR k zjednodušenému postupy verejného obstarávania zákaziek s nízkymi hodnotami</w:t>
      </w:r>
      <w:r w:rsidR="004B7756" w:rsidRPr="00B5339F">
        <w:t xml:space="preserve">. </w:t>
      </w:r>
    </w:p>
    <w:p w14:paraId="593B9B33" w14:textId="1420DB03" w:rsidR="004B7756" w:rsidRPr="00B5339F" w:rsidRDefault="004B7756" w:rsidP="00151681">
      <w:pPr>
        <w:spacing w:before="120" w:line="240" w:lineRule="auto"/>
        <w:jc w:val="both"/>
      </w:pPr>
      <w:r w:rsidRPr="00B5339F">
        <w:t>Pravidlá OV sa odvolávajú v texte na zákony, systémové dokumenty, metodické pokyny a pod. v</w:t>
      </w:r>
      <w:r w:rsidR="00391AA9">
        <w:t> </w:t>
      </w:r>
      <w:r w:rsidRPr="00B5339F">
        <w:t>aktuálne platnom znení</w:t>
      </w:r>
      <w:r w:rsidR="0068187E">
        <w:t>,</w:t>
      </w:r>
      <w:r w:rsidRPr="00B5339F">
        <w:t xml:space="preserve"> resp. na zákony v znení neskorších predpisov.</w:t>
      </w:r>
    </w:p>
    <w:p w14:paraId="5EBDD9BA" w14:textId="77777777" w:rsidR="00957E76" w:rsidRDefault="004B7756" w:rsidP="00151681">
      <w:pPr>
        <w:spacing w:before="120" w:line="240" w:lineRule="auto"/>
        <w:jc w:val="both"/>
      </w:pPr>
      <w:r w:rsidRPr="00B5339F">
        <w:t xml:space="preserve">SO </w:t>
      </w:r>
      <w:r>
        <w:t xml:space="preserve">pre IROP </w:t>
      </w:r>
      <w:r w:rsidRPr="00B5339F">
        <w:t xml:space="preserve">rozhoduje o oprávnenosti, resp. neoprávnenosti výdavkov projektu v procese schvaľovania ŽoNFP, finančnej kontroly, príp. finančnej kontroly na mieste. </w:t>
      </w:r>
    </w:p>
    <w:p w14:paraId="3456AB7C" w14:textId="1D43D4D1" w:rsidR="00957E76" w:rsidRDefault="004B7756" w:rsidP="00151681">
      <w:pPr>
        <w:spacing w:before="120" w:line="240" w:lineRule="auto"/>
        <w:jc w:val="both"/>
        <w:rPr>
          <w:b/>
        </w:rPr>
      </w:pPr>
      <w:r w:rsidRPr="00D418C4">
        <w:rPr>
          <w:b/>
        </w:rPr>
        <w:t>Za interpretáciu oprávnenosti</w:t>
      </w:r>
      <w:r w:rsidR="00A54581">
        <w:rPr>
          <w:b/>
        </w:rPr>
        <w:t xml:space="preserve"> a</w:t>
      </w:r>
      <w:r w:rsidRPr="00D418C4">
        <w:rPr>
          <w:b/>
        </w:rPr>
        <w:t xml:space="preserve"> neoprávneno</w:t>
      </w:r>
      <w:r w:rsidR="00A54581">
        <w:rPr>
          <w:b/>
        </w:rPr>
        <w:t>sti výdavkov v súlade s týmito pravidlami OV zodpovedá SO</w:t>
      </w:r>
      <w:r w:rsidR="0068187E">
        <w:rPr>
          <w:b/>
        </w:rPr>
        <w:t xml:space="preserve"> pre IROP</w:t>
      </w:r>
      <w:r w:rsidR="00A54581">
        <w:rPr>
          <w:b/>
        </w:rPr>
        <w:t xml:space="preserve">. </w:t>
      </w:r>
    </w:p>
    <w:p w14:paraId="51405CAB" w14:textId="4E46C178" w:rsidR="00DB2DAC" w:rsidRDefault="00DB2DAC" w:rsidP="00151681">
      <w:pPr>
        <w:spacing w:before="120" w:line="240" w:lineRule="auto"/>
        <w:jc w:val="both"/>
        <w:rPr>
          <w:b/>
        </w:rPr>
      </w:pPr>
    </w:p>
    <w:p w14:paraId="7BFD71A2" w14:textId="32C3AEAB" w:rsidR="004B7756" w:rsidRPr="0028341A" w:rsidRDefault="004B7756" w:rsidP="00151681">
      <w:pPr>
        <w:spacing w:before="120" w:line="240" w:lineRule="auto"/>
        <w:jc w:val="both"/>
        <w:rPr>
          <w:b/>
        </w:rPr>
      </w:pPr>
      <w:r w:rsidRPr="0028341A">
        <w:rPr>
          <w:b/>
        </w:rPr>
        <w:t>Výdavky projektu podľa vzťahu k aktivitám projektu</w:t>
      </w:r>
    </w:p>
    <w:p w14:paraId="44FD5FE4" w14:textId="1F2D4277" w:rsidR="004B7756" w:rsidRDefault="004B7756" w:rsidP="00151681">
      <w:pPr>
        <w:spacing w:before="120" w:line="240" w:lineRule="auto"/>
        <w:jc w:val="both"/>
      </w:pPr>
      <w:r w:rsidRPr="00B5339F">
        <w:t>Výdavky projektu ŠC 2.1.</w:t>
      </w:r>
      <w:r w:rsidR="005B6256">
        <w:t>4</w:t>
      </w:r>
      <w:r w:rsidR="0036242B" w:rsidRPr="00B5339F">
        <w:t xml:space="preserve"> </w:t>
      </w:r>
      <w:r w:rsidRPr="00B5339F">
        <w:t>sa podľa vzťahu k hlavným aktivitám projektu delia na</w:t>
      </w:r>
      <w:r w:rsidR="00461D6B">
        <w:t> </w:t>
      </w:r>
      <w:r w:rsidRPr="00D9011E">
        <w:rPr>
          <w:u w:val="single"/>
        </w:rPr>
        <w:t>priame</w:t>
      </w:r>
      <w:r w:rsidR="0068187E">
        <w:rPr>
          <w:u w:val="single"/>
        </w:rPr>
        <w:t xml:space="preserve"> výdavky</w:t>
      </w:r>
      <w:r w:rsidRPr="00B5339F">
        <w:t xml:space="preserve"> a </w:t>
      </w:r>
      <w:r w:rsidRPr="00D9011E">
        <w:rPr>
          <w:u w:val="single"/>
        </w:rPr>
        <w:t>nepriame výdavky</w:t>
      </w:r>
      <w:r w:rsidRPr="00B5339F">
        <w:t xml:space="preserve">. </w:t>
      </w:r>
      <w:r w:rsidR="00AF081E">
        <w:t xml:space="preserve">Nepriame výdavky sú oprávnené iba v prípade, ak to umožňuje výzva/vyzvanie na predkladanie žiadosti o NFP. </w:t>
      </w:r>
      <w:r w:rsidRPr="00B5339F">
        <w:t>Vecné vymedzenie kategórie nepriamych výdavkov upravuje metodický pokyn CKO č. 6. Výdavky projektu môžu mať charakter bežných výdavkov a kapitálových výdavkov.</w:t>
      </w:r>
      <w:r w:rsidRPr="00D418C4">
        <w:rPr>
          <w:vertAlign w:val="superscript"/>
        </w:rPr>
        <w:footnoteReference w:id="1"/>
      </w:r>
    </w:p>
    <w:p w14:paraId="47549A66" w14:textId="77777777" w:rsidR="0024569B" w:rsidRPr="00B5339F" w:rsidRDefault="0024569B" w:rsidP="00151681">
      <w:pPr>
        <w:spacing w:before="120" w:line="240" w:lineRule="auto"/>
        <w:jc w:val="both"/>
      </w:pPr>
      <w:r w:rsidRPr="00D418C4">
        <w:rPr>
          <w:b/>
        </w:rPr>
        <w:t>Priame výdavky</w:t>
      </w:r>
      <w:r w:rsidRPr="00B5339F">
        <w:t xml:space="preserve"> sú výdavky na uskutočnenie činností preukázateľne priamo súvisiacich s hlavnými aktivitami projektu. Tieto výdavky zahŕňajú priame </w:t>
      </w:r>
      <w:r w:rsidRPr="00D418C4">
        <w:rPr>
          <w:u w:val="single"/>
        </w:rPr>
        <w:t>bežné výdavky</w:t>
      </w:r>
      <w:r w:rsidRPr="00B5339F">
        <w:t xml:space="preserve"> (napr. mzdy, cestovné výdavky a</w:t>
      </w:r>
      <w:r w:rsidR="00391AA9">
        <w:t> </w:t>
      </w:r>
      <w:r w:rsidRPr="00B5339F">
        <w:t>režijné výdavky, ktoré</w:t>
      </w:r>
      <w:bookmarkStart w:id="12" w:name="page4"/>
      <w:bookmarkEnd w:id="12"/>
      <w:r w:rsidRPr="00B5339F">
        <w:t xml:space="preserve"> sú priradené iba danému druhu výkonu a ktorých podiel na jednotku rovnakého druhu výkonu sa dá zistiť pomocou jednoduchého delenia) a </w:t>
      </w:r>
      <w:r w:rsidRPr="00D418C4">
        <w:rPr>
          <w:u w:val="single"/>
        </w:rPr>
        <w:t>kapitálové výdavky</w:t>
      </w:r>
      <w:r w:rsidRPr="00B5339F">
        <w:t>. Priamymi výdavkami sa nefinancujú podporné aktivity projektu.</w:t>
      </w:r>
    </w:p>
    <w:p w14:paraId="51EA063D" w14:textId="55A956CF" w:rsidR="00A137D1" w:rsidRDefault="00A137D1" w:rsidP="00151681">
      <w:pPr>
        <w:spacing w:before="120" w:line="240" w:lineRule="auto"/>
        <w:jc w:val="both"/>
      </w:pPr>
      <w:r>
        <w:t xml:space="preserve">Pre účely ŠC 2.1.4 sú priamymi výdavkami napr. nákup osobných ochranných pracovných prostriedkov, nákup zdravotníckej techniky. </w:t>
      </w:r>
      <w:r w:rsidR="00841C16">
        <w:t xml:space="preserve">Kapitálovým výdavkom je napr. nákup zdravotníckej techniky. </w:t>
      </w:r>
    </w:p>
    <w:p w14:paraId="5348CCA1" w14:textId="4907FBC2" w:rsidR="0024569B" w:rsidRDefault="0076412B" w:rsidP="00151681">
      <w:pPr>
        <w:spacing w:before="120" w:line="240" w:lineRule="auto"/>
        <w:jc w:val="both"/>
      </w:pPr>
      <w:r>
        <w:rPr>
          <w:noProof/>
        </w:rPr>
        <w:drawing>
          <wp:anchor distT="0" distB="0" distL="114300" distR="114300" simplePos="0" relativeHeight="251659264" behindDoc="1" locked="0" layoutInCell="0" allowOverlap="1" wp14:anchorId="7A11A396" wp14:editId="49EEAF5B">
            <wp:simplePos x="0" y="0"/>
            <wp:positionH relativeFrom="margin">
              <wp:align>center</wp:align>
            </wp:positionH>
            <wp:positionV relativeFrom="paragraph">
              <wp:posOffset>1247315</wp:posOffset>
            </wp:positionV>
            <wp:extent cx="5630400" cy="3056400"/>
            <wp:effectExtent l="0" t="0" r="8890" b="0"/>
            <wp:wrapNone/>
            <wp:docPr id="52"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0400" cy="3056400"/>
                    </a:xfrm>
                    <a:prstGeom prst="rect">
                      <a:avLst/>
                    </a:prstGeom>
                    <a:noFill/>
                  </pic:spPr>
                </pic:pic>
              </a:graphicData>
            </a:graphic>
            <wp14:sizeRelH relativeFrom="page">
              <wp14:pctWidth>0</wp14:pctWidth>
            </wp14:sizeRelH>
            <wp14:sizeRelV relativeFrom="page">
              <wp14:pctHeight>0</wp14:pctHeight>
            </wp14:sizeRelV>
          </wp:anchor>
        </w:drawing>
      </w:r>
      <w:r w:rsidR="0024569B" w:rsidRPr="00D418C4">
        <w:rPr>
          <w:b/>
        </w:rPr>
        <w:t>Nepriame výdavky</w:t>
      </w:r>
      <w:r w:rsidR="0024569B" w:rsidRPr="00B5339F">
        <w:t xml:space="preserve"> </w:t>
      </w:r>
      <w:r w:rsidR="0024569B" w:rsidRPr="00D418C4">
        <w:rPr>
          <w:u w:val="single"/>
        </w:rPr>
        <w:t>majú charakter bežných výdavkov</w:t>
      </w:r>
      <w:r w:rsidR="0024569B" w:rsidRPr="00B5339F">
        <w:t xml:space="preserve"> (prevádzková réžia</w:t>
      </w:r>
      <w:r w:rsidR="00AF081E">
        <w:t xml:space="preserve"> na zabezpečenie riadenia projektu</w:t>
      </w:r>
      <w:r w:rsidR="0024569B" w:rsidRPr="00B5339F">
        <w:t>) a slúžia na financovanie podporných aktivít projektu. Nepriame výdavky (režijné výdavky) sú také výdavky, ktoré nie sú, resp. nemôžu byť priamo priradené k niektorej z hlavných aktivít projektu. Nepriame výdavky sú oprávnenými v prípade, že vychádzajú zo skutočne vzniknutých oprávnených výdavkov súvisiacich s</w:t>
      </w:r>
      <w:r w:rsidR="00391AA9">
        <w:t> </w:t>
      </w:r>
      <w:r w:rsidR="0024569B" w:rsidRPr="00B5339F">
        <w:t>projektom. Nepriamymi výdavkami sú najmä výdavky na informovanie a komunikáci</w:t>
      </w:r>
      <w:r w:rsidR="0024569B">
        <w:t>u</w:t>
      </w:r>
      <w:r w:rsidR="0024569B" w:rsidRPr="00B5339F">
        <w:t xml:space="preserve"> spojenú s</w:t>
      </w:r>
      <w:r w:rsidR="00391AA9">
        <w:t> </w:t>
      </w:r>
      <w:r w:rsidR="0024569B" w:rsidRPr="00B5339F">
        <w:t>realizáciou projektu</w:t>
      </w:r>
      <w:r w:rsidR="00AF081E">
        <w:t xml:space="preserve">, mzdové výdavky manažérov </w:t>
      </w:r>
      <w:r w:rsidR="00841C16" w:rsidRPr="00B5339F">
        <w:t xml:space="preserve">Kategórie oprávnených nepriamych výdavkov pre </w:t>
      </w:r>
      <w:r w:rsidR="0015370C">
        <w:t xml:space="preserve">vybrané </w:t>
      </w:r>
      <w:r w:rsidR="00841C16" w:rsidRPr="00B5339F">
        <w:t xml:space="preserve">projekty </w:t>
      </w:r>
      <w:r w:rsidR="0015370C">
        <w:t xml:space="preserve">tohto ŠC 2.1.4 </w:t>
      </w:r>
      <w:r w:rsidR="00841C16" w:rsidRPr="00B5339F">
        <w:t>IROP sú stanovené v</w:t>
      </w:r>
      <w:r w:rsidR="00841C16">
        <w:t xml:space="preserve"> </w:t>
      </w:r>
      <w:hyperlink w:anchor="page9" w:history="1">
        <w:r w:rsidR="00841C16" w:rsidRPr="00B5339F">
          <w:rPr>
            <w:rStyle w:val="Hypertextovprepojenie"/>
          </w:rPr>
          <w:t>kapitole 2.9</w:t>
        </w:r>
      </w:hyperlink>
      <w:r w:rsidR="00841C16">
        <w:t xml:space="preserve"> týchto pravidiel. </w:t>
      </w:r>
    </w:p>
    <w:p w14:paraId="554EAD94" w14:textId="4A9F1D4E" w:rsidR="003E2ACD" w:rsidRDefault="003E2ACD" w:rsidP="00151681">
      <w:pPr>
        <w:spacing w:before="120" w:line="240" w:lineRule="auto"/>
        <w:jc w:val="both"/>
      </w:pPr>
    </w:p>
    <w:p w14:paraId="2E5D9FA9" w14:textId="277D207A" w:rsidR="003E2ACD" w:rsidRDefault="003E2ACD" w:rsidP="00151681">
      <w:pPr>
        <w:spacing w:before="120" w:line="240" w:lineRule="auto"/>
        <w:jc w:val="both"/>
      </w:pPr>
    </w:p>
    <w:p w14:paraId="0653A76A" w14:textId="1D2C090B" w:rsidR="003E2ACD" w:rsidRDefault="003E2ACD" w:rsidP="00151681">
      <w:pPr>
        <w:spacing w:before="120" w:line="240" w:lineRule="auto"/>
        <w:jc w:val="both"/>
      </w:pPr>
    </w:p>
    <w:p w14:paraId="3B712B95" w14:textId="460DD348" w:rsidR="003E2ACD" w:rsidRDefault="003E2ACD" w:rsidP="00151681">
      <w:pPr>
        <w:spacing w:before="120" w:line="240" w:lineRule="auto"/>
        <w:jc w:val="both"/>
      </w:pPr>
    </w:p>
    <w:p w14:paraId="1DEFD0D4" w14:textId="3569297D" w:rsidR="003E2ACD" w:rsidRDefault="003E2ACD" w:rsidP="00151681">
      <w:pPr>
        <w:spacing w:before="120" w:line="240" w:lineRule="auto"/>
        <w:jc w:val="both"/>
      </w:pPr>
    </w:p>
    <w:p w14:paraId="1E696D84" w14:textId="4A122454" w:rsidR="003E2ACD" w:rsidRDefault="003E2ACD" w:rsidP="00151681">
      <w:pPr>
        <w:spacing w:before="120" w:line="240" w:lineRule="auto"/>
        <w:jc w:val="both"/>
      </w:pPr>
    </w:p>
    <w:p w14:paraId="159CECAF" w14:textId="1E6FFB4A" w:rsidR="003E2ACD" w:rsidRDefault="003E2ACD" w:rsidP="00151681">
      <w:pPr>
        <w:spacing w:before="120" w:line="240" w:lineRule="auto"/>
        <w:jc w:val="both"/>
      </w:pPr>
    </w:p>
    <w:p w14:paraId="641B012E" w14:textId="5A8CE57E" w:rsidR="003E2ACD" w:rsidRDefault="003E2ACD" w:rsidP="00151681">
      <w:pPr>
        <w:spacing w:before="120" w:line="240" w:lineRule="auto"/>
        <w:jc w:val="both"/>
      </w:pPr>
    </w:p>
    <w:p w14:paraId="09AEB34F" w14:textId="4ABCC377" w:rsidR="004B7756" w:rsidRPr="00B5339F" w:rsidRDefault="004B7756" w:rsidP="00151681">
      <w:pPr>
        <w:spacing w:before="120" w:line="240" w:lineRule="auto"/>
        <w:jc w:val="both"/>
      </w:pPr>
    </w:p>
    <w:p w14:paraId="0E2187F6" w14:textId="77777777" w:rsidR="004B7756" w:rsidRPr="00B5339F" w:rsidRDefault="004B7756" w:rsidP="00151681">
      <w:pPr>
        <w:spacing w:before="120" w:line="240" w:lineRule="auto"/>
        <w:jc w:val="both"/>
      </w:pPr>
    </w:p>
    <w:p w14:paraId="3769ACED" w14:textId="485508E4" w:rsidR="004B7756" w:rsidRPr="00B5339F" w:rsidRDefault="004B7756" w:rsidP="00151681">
      <w:pPr>
        <w:spacing w:before="120" w:line="240" w:lineRule="auto"/>
        <w:jc w:val="both"/>
      </w:pPr>
    </w:p>
    <w:p w14:paraId="614877F6" w14:textId="1678F1BA" w:rsidR="004B7756" w:rsidRPr="0028341A" w:rsidRDefault="004B7756" w:rsidP="00151681">
      <w:pPr>
        <w:spacing w:before="120" w:line="240" w:lineRule="auto"/>
        <w:jc w:val="both"/>
        <w:rPr>
          <w:b/>
        </w:rPr>
      </w:pPr>
      <w:r w:rsidRPr="0028341A">
        <w:rPr>
          <w:b/>
        </w:rPr>
        <w:t>Výdavky projektu podľa ekonomickej klasifikácie</w:t>
      </w:r>
    </w:p>
    <w:p w14:paraId="7A0A80D9" w14:textId="77777777" w:rsidR="00841C16" w:rsidRDefault="004B7756" w:rsidP="00557987">
      <w:pPr>
        <w:spacing w:before="120" w:after="0" w:line="240" w:lineRule="auto"/>
        <w:jc w:val="both"/>
      </w:pPr>
      <w:r w:rsidRPr="00D418C4">
        <w:rPr>
          <w:b/>
        </w:rPr>
        <w:lastRenderedPageBreak/>
        <w:t>Bežné výdavky</w:t>
      </w:r>
      <w:r w:rsidRPr="00B5339F">
        <w:t xml:space="preserve"> sú všeobecne najmä výdavky na mzdy, platy, poistné, tovary a služby, napr. cestovné náhrady, energie, materiál určený na spotrebu, dopravné, údržbu a opravy, nájomné</w:t>
      </w:r>
      <w:r w:rsidR="00841C16">
        <w:t>.</w:t>
      </w:r>
    </w:p>
    <w:p w14:paraId="29ECB9A1" w14:textId="6EF23FEA" w:rsidR="00841C16" w:rsidRDefault="00841C16" w:rsidP="003A348E">
      <w:pPr>
        <w:spacing w:before="120" w:line="240" w:lineRule="auto"/>
        <w:jc w:val="both"/>
      </w:pPr>
      <w:r>
        <w:t>P</w:t>
      </w:r>
      <w:r w:rsidR="00DB2DAC">
        <w:t>re ŠC</w:t>
      </w:r>
      <w:r>
        <w:t xml:space="preserve"> 2.1.4 bežnými výdavkami sú napr. výdavky na nákup osobných ochranných pracovných prostriedkov</w:t>
      </w:r>
      <w:r w:rsidR="00DB2DAC">
        <w:t xml:space="preserve">, dezinfekčné prostriedky, testy vrátane testovacích boxov. </w:t>
      </w:r>
    </w:p>
    <w:p w14:paraId="085689B2" w14:textId="5B1A6A6F" w:rsidR="004B7756" w:rsidRDefault="004B7756" w:rsidP="00557987">
      <w:pPr>
        <w:spacing w:after="0" w:line="240" w:lineRule="auto"/>
        <w:jc w:val="both"/>
      </w:pPr>
      <w:r w:rsidRPr="00D418C4">
        <w:rPr>
          <w:b/>
        </w:rPr>
        <w:t>Kapitálové výdavky</w:t>
      </w:r>
      <w:r w:rsidRPr="00B5339F">
        <w:t xml:space="preserve"> sú najmä výdavky na obstaranie a zhodnotenie</w:t>
      </w:r>
      <w:r>
        <w:t xml:space="preserve"> hmotného a nehmotného majetku.</w:t>
      </w:r>
    </w:p>
    <w:p w14:paraId="70A60DBE" w14:textId="77777777" w:rsidR="004F050B" w:rsidRDefault="004F050B" w:rsidP="004F050B">
      <w:pPr>
        <w:spacing w:after="0" w:line="240" w:lineRule="auto"/>
        <w:jc w:val="both"/>
      </w:pPr>
      <w:r>
        <w:t xml:space="preserve">Za kapitálové výdavky môžu byť považované aj bežné výdavky uvedené v účtovnej triede 112-Zásoby v hodnote do 1 700 eur, ktoré majú dlhšiu dobu využiteľnosti dlhšiu ako jeden rok, ak je táto možnosť upravená vo vnútornej smernici o účtovníctve prijímateľa/užívateľa v súlade s § 22 zákona č. 595/2003 Z. z. o dani z príjmov. </w:t>
      </w:r>
    </w:p>
    <w:p w14:paraId="787433B4" w14:textId="185FB72E" w:rsidR="004B7756" w:rsidRPr="0028341A" w:rsidRDefault="004B7756" w:rsidP="00151681">
      <w:pPr>
        <w:spacing w:before="120" w:line="240" w:lineRule="auto"/>
        <w:jc w:val="both"/>
        <w:rPr>
          <w:b/>
        </w:rPr>
      </w:pPr>
      <w:r w:rsidRPr="0028341A">
        <w:rPr>
          <w:b/>
        </w:rPr>
        <w:t>Pravidlá oprávnenosti výdavkov vyplývajúce z osobitných predpisov</w:t>
      </w:r>
    </w:p>
    <w:p w14:paraId="1CF06745" w14:textId="49BB0CAD" w:rsidR="004B7756" w:rsidRPr="00B5339F" w:rsidRDefault="004B7756" w:rsidP="00151681">
      <w:pPr>
        <w:spacing w:before="120" w:line="240" w:lineRule="auto"/>
        <w:jc w:val="both"/>
      </w:pPr>
      <w:r w:rsidRPr="00D418C4">
        <w:rPr>
          <w:b/>
        </w:rPr>
        <w:t>Štátna pomoc</w:t>
      </w:r>
      <w:r w:rsidR="005E52E9">
        <w:rPr>
          <w:b/>
        </w:rPr>
        <w:t xml:space="preserve"> </w:t>
      </w:r>
      <w:r w:rsidRPr="00B5339F">
        <w:t>– pravidlá oprávnenosti výdavkov upravené v tejto príručke sa vzťahujú aj na poskytovanie príspevku v rámci pravidiel štátnej pomoci, pričom osobitné pravidlá oprávnenosti výdavkov sú zároveň upravené aj v príslušnej schéme štátnej pomoci</w:t>
      </w:r>
      <w:r w:rsidR="00557987">
        <w:t xml:space="preserve">. </w:t>
      </w:r>
      <w:r w:rsidRPr="00B5339F">
        <w:t>Preto, aby bol výdavok považovaný za oprávnený, musí okrem pravidiel definovaných v</w:t>
      </w:r>
      <w:r w:rsidR="005A1B17">
        <w:t> týchto pravidlách</w:t>
      </w:r>
      <w:r w:rsidR="00A13922">
        <w:t xml:space="preserve"> OV</w:t>
      </w:r>
      <w:r w:rsidRPr="00B5339F">
        <w:t>, spĺňať zároveň podmienky oprávnenosti stanovené v</w:t>
      </w:r>
      <w:r w:rsidR="00391AA9">
        <w:t> </w:t>
      </w:r>
      <w:r w:rsidRPr="00B5339F">
        <w:t>príslušnej schéme (ak relevantné).</w:t>
      </w:r>
    </w:p>
    <w:p w14:paraId="5150A9BC" w14:textId="243788FC" w:rsidR="0036380F" w:rsidRDefault="004B7756" w:rsidP="00151681">
      <w:pPr>
        <w:spacing w:before="120" w:line="240" w:lineRule="auto"/>
        <w:jc w:val="both"/>
      </w:pPr>
      <w:r w:rsidRPr="00D418C4">
        <w:rPr>
          <w:b/>
        </w:rPr>
        <w:t>Verejné obstarávanie</w:t>
      </w:r>
      <w:r w:rsidRPr="00B5339F">
        <w:t xml:space="preserve"> – predpokladom oprávnenosti výdavkov </w:t>
      </w:r>
      <w:r w:rsidR="00957E76">
        <w:t xml:space="preserve">projektov IROP je, aby žiadateľ a </w:t>
      </w:r>
      <w:r w:rsidRPr="00B5339F">
        <w:t>prijímateľ v závislosti od charakteru obstarávaných služieb, tovarov a stavebných prác postupoval pri zadávaní zákaziek na dodanie tovarov, uskutočnenie stavebných prác a poskytnutie služieb potrebných pre realizáciu aktivít projektu v súlade so zákonom č.</w:t>
      </w:r>
      <w:r w:rsidR="00391AA9">
        <w:t> </w:t>
      </w:r>
      <w:r w:rsidRPr="00B5339F">
        <w:t>343/2015</w:t>
      </w:r>
      <w:r w:rsidR="005A1B17">
        <w:t xml:space="preserve"> Z. z.</w:t>
      </w:r>
      <w:r w:rsidRPr="00B5339F">
        <w:t xml:space="preserve"> o verejnom obstarávaní a o zmene a doplnení niektorých zákonov v znení neskorších predpisov </w:t>
      </w:r>
      <w:r w:rsidR="005A1B17">
        <w:t>(</w:t>
      </w:r>
      <w:r w:rsidRPr="00B5339F">
        <w:t xml:space="preserve">ďalej </w:t>
      </w:r>
      <w:r w:rsidR="005A1B17">
        <w:t>len</w:t>
      </w:r>
      <w:r w:rsidRPr="00B5339F">
        <w:t xml:space="preserve"> </w:t>
      </w:r>
      <w:r w:rsidR="005A1B17">
        <w:t>„</w:t>
      </w:r>
      <w:r w:rsidRPr="00B5339F">
        <w:t>ZVO”)</w:t>
      </w:r>
      <w:r w:rsidR="005A1B17">
        <w:t>,</w:t>
      </w:r>
      <w:r w:rsidRPr="00B5339F">
        <w:t xml:space="preserve"> resp. v zmysle metodického pokynu CKO č. 12 k zadávaniu zákaziek nespadajúcich pod ZVO. Žiadateľ je taktiež povinný postupovať podľa metodického pokynu CKO č. 14 k zadávaniu zákaziek </w:t>
      </w:r>
      <w:r w:rsidR="0036380F">
        <w:t xml:space="preserve">s nízkou hodnotou </w:t>
      </w:r>
      <w:r w:rsidRPr="00B5339F">
        <w:t>nad</w:t>
      </w:r>
      <w:r>
        <w:t xml:space="preserve"> </w:t>
      </w:r>
      <w:r w:rsidR="0036380F">
        <w:t>30</w:t>
      </w:r>
      <w:r w:rsidRPr="00B5339F">
        <w:t xml:space="preserve"> 000 </w:t>
      </w:r>
      <w:r w:rsidR="005A1B17">
        <w:t>eur</w:t>
      </w:r>
      <w:r w:rsidR="0036380F">
        <w:t xml:space="preserve">. </w:t>
      </w:r>
    </w:p>
    <w:p w14:paraId="6E0CCD0B" w14:textId="6B49494B" w:rsidR="004B7756" w:rsidRPr="00B5339F" w:rsidRDefault="00036D4B" w:rsidP="00151681">
      <w:pPr>
        <w:spacing w:before="120" w:line="240" w:lineRule="auto"/>
        <w:jc w:val="both"/>
      </w:pPr>
      <w:r>
        <w:t xml:space="preserve"> </w:t>
      </w:r>
      <w:r w:rsidR="004B7756" w:rsidRPr="00B5339F">
        <w:t xml:space="preserve">Žiadateľ môže zrealizovať </w:t>
      </w:r>
      <w:r w:rsidR="005A1B17">
        <w:t>verejné obstarávanie (ďalej len „</w:t>
      </w:r>
      <w:r w:rsidR="004B7756" w:rsidRPr="00B5339F">
        <w:t>VO</w:t>
      </w:r>
      <w:r w:rsidR="005A1B17">
        <w:t>“)</w:t>
      </w:r>
      <w:r w:rsidR="004B7756" w:rsidRPr="00B5339F">
        <w:t xml:space="preserve"> aj pred podaním žiadosti o NFP, resp. počas procesu konania o žiadosti o NFP s</w:t>
      </w:r>
      <w:r w:rsidR="00D82E7F">
        <w:t xml:space="preserve"> prihliadnutím na časovú </w:t>
      </w:r>
      <w:r w:rsidR="004B7756" w:rsidRPr="00B5339F">
        <w:t>oprávnenosti výdavku</w:t>
      </w:r>
      <w:r w:rsidR="00D82E7F">
        <w:t xml:space="preserve"> definovanú vo výzve na predkladanie ŽoNF</w:t>
      </w:r>
      <w:r w:rsidR="003D3170">
        <w:t>P</w:t>
      </w:r>
      <w:r w:rsidR="00D82E7F">
        <w:t xml:space="preserve">. </w:t>
      </w:r>
      <w:r w:rsidR="004B7756" w:rsidRPr="00B5339F">
        <w:t>Dokumentácia z VO bude potom predmeto</w:t>
      </w:r>
      <w:r w:rsidR="00957E76">
        <w:t>m kontroly VO až po uzatvorení z</w:t>
      </w:r>
      <w:r w:rsidR="00D82E7F">
        <w:t>mluvy o</w:t>
      </w:r>
      <w:r w:rsidR="003E1D3D">
        <w:t xml:space="preserve"> poskytnutí</w:t>
      </w:r>
      <w:r w:rsidR="00D82E7F">
        <w:t> NFP</w:t>
      </w:r>
      <w:r w:rsidR="003E1D3D">
        <w:t>,</w:t>
      </w:r>
      <w:r w:rsidR="00D82E7F">
        <w:t xml:space="preserve"> resp. podľa postupu upraveného v príslušnej výzve. </w:t>
      </w:r>
    </w:p>
    <w:p w14:paraId="7C2303EC" w14:textId="1D3DA26E" w:rsidR="004B7756" w:rsidRDefault="004B7756" w:rsidP="00151681">
      <w:pPr>
        <w:spacing w:before="120" w:line="240" w:lineRule="auto"/>
        <w:jc w:val="both"/>
      </w:pPr>
      <w:r w:rsidRPr="00B5339F">
        <w:t xml:space="preserve">Pri predkladaní dokumentácie z </w:t>
      </w:r>
      <w:r w:rsidR="003E1D3D">
        <w:t>VO</w:t>
      </w:r>
      <w:r w:rsidRPr="00B5339F">
        <w:t xml:space="preserve"> na finančnú kontrolu na SO </w:t>
      </w:r>
      <w:r>
        <w:t xml:space="preserve">pre IROP </w:t>
      </w:r>
      <w:r w:rsidRPr="00B5339F">
        <w:t>postupuje prijímateľ spôsobom uvedeným v</w:t>
      </w:r>
      <w:r w:rsidR="00D82E7F">
        <w:t> </w:t>
      </w:r>
      <w:r w:rsidR="00D82E7F">
        <w:rPr>
          <w:b/>
        </w:rPr>
        <w:t>príručke k procesu verejného obstarávania</w:t>
      </w:r>
      <w:r w:rsidR="00D82E7F">
        <w:t xml:space="preserve"> v platnom znení, ktorú vydáva </w:t>
      </w:r>
      <w:r w:rsidR="0015370C">
        <w:t xml:space="preserve">SO </w:t>
      </w:r>
      <w:r w:rsidR="00D82E7F">
        <w:t xml:space="preserve"> </w:t>
      </w:r>
      <w:r w:rsidR="003E1D3D">
        <w:t xml:space="preserve">pre </w:t>
      </w:r>
      <w:r w:rsidR="00D82E7F">
        <w:t xml:space="preserve">IROP a je </w:t>
      </w:r>
      <w:r w:rsidRPr="00B5339F">
        <w:t>zverejnená na webovom sídle RO pre</w:t>
      </w:r>
      <w:r>
        <w:t xml:space="preserve"> </w:t>
      </w:r>
      <w:r w:rsidRPr="00B5339F">
        <w:t xml:space="preserve">IROP </w:t>
      </w:r>
      <w:hyperlink r:id="rId11" w:history="1">
        <w:r w:rsidRPr="005B2EC2">
          <w:rPr>
            <w:rStyle w:val="Hypertextovprepojenie"/>
          </w:rPr>
          <w:t>www.mpsr.sk</w:t>
        </w:r>
      </w:hyperlink>
      <w:r w:rsidRPr="00B5339F">
        <w:t xml:space="preserve"> formou webového linku </w:t>
      </w:r>
      <w:hyperlink r:id="rId12" w:history="1">
        <w:r w:rsidRPr="00B5339F">
          <w:rPr>
            <w:rStyle w:val="Hypertextovprepojenie"/>
          </w:rPr>
          <w:t>http://www.mpsr.sk/sk/index.php?navID=373</w:t>
        </w:r>
      </w:hyperlink>
      <w:r w:rsidR="0015370C">
        <w:t xml:space="preserve"> v časti „Riadiace dokumenty“. </w:t>
      </w:r>
    </w:p>
    <w:p w14:paraId="632D8CE9" w14:textId="31995FCE" w:rsidR="00371586" w:rsidRDefault="00371586" w:rsidP="00151681">
      <w:pPr>
        <w:spacing w:before="120" w:line="240" w:lineRule="auto"/>
        <w:jc w:val="both"/>
      </w:pPr>
      <w:r>
        <w:t>Centrálny koordinačný orgán Úradu podpredsedníčky vlády pre investície a informati</w:t>
      </w:r>
      <w:r w:rsidR="00490228">
        <w:t>záciu</w:t>
      </w:r>
      <w:r>
        <w:t xml:space="preserve"> SR zverejnil dokument „</w:t>
      </w:r>
      <w:r w:rsidRPr="00371586">
        <w:t>Zhrnutie usmernení pre prijímateľov a</w:t>
      </w:r>
      <w:r>
        <w:t xml:space="preserve"> </w:t>
      </w:r>
      <w:r w:rsidRPr="00371586">
        <w:t>RO v</w:t>
      </w:r>
      <w:r>
        <w:t xml:space="preserve"> </w:t>
      </w:r>
      <w:r w:rsidRPr="00371586">
        <w:t>súvislosti s</w:t>
      </w:r>
      <w:r>
        <w:t xml:space="preserve"> </w:t>
      </w:r>
      <w:r w:rsidRPr="00371586">
        <w:t>mimoriadnou situáciou spôsobenou šírením koronavírusu</w:t>
      </w:r>
      <w:r>
        <w:t>“</w:t>
      </w:r>
      <w:r w:rsidR="00CC4EB0">
        <w:t xml:space="preserve"> (ďalej ako „zhrnutie usmernení“)</w:t>
      </w:r>
      <w:r w:rsidR="00420F15">
        <w:t xml:space="preserve"> </w:t>
      </w:r>
      <w:r w:rsidR="00CC4EB0">
        <w:t xml:space="preserve">uvedené na stránke </w:t>
      </w:r>
      <w:hyperlink r:id="rId13" w:history="1">
        <w:r w:rsidRPr="00490228">
          <w:t>https://www.partnerskadohoda.gov.sk/zakladne-dokumenty/</w:t>
        </w:r>
      </w:hyperlink>
      <w:r>
        <w:t xml:space="preserve">. V ňom sa nachádzajú </w:t>
      </w:r>
      <w:r w:rsidRPr="00371586">
        <w:t xml:space="preserve">opatrenia a možnosti, ktoré majú prijímatelia </w:t>
      </w:r>
      <w:r>
        <w:t>ako verejní obstarávatelia</w:t>
      </w:r>
      <w:r w:rsidRPr="00371586">
        <w:t>, ktorí nak</w:t>
      </w:r>
      <w:r w:rsidR="00490228">
        <w:t>upujú</w:t>
      </w:r>
      <w:r w:rsidRPr="00371586">
        <w:t xml:space="preserve"> tovary alebo služby, ktoré bezprostredne súvisia s bojom so šíriacou sa epidémiou.</w:t>
      </w:r>
      <w:r>
        <w:t xml:space="preserve"> </w:t>
      </w:r>
      <w:r w:rsidRPr="00371586">
        <w:t>Zhrnutie vychádza z</w:t>
      </w:r>
      <w:r w:rsidR="00490228">
        <w:t> </w:t>
      </w:r>
      <w:r w:rsidRPr="00371586">
        <w:t>usmernení</w:t>
      </w:r>
      <w:r w:rsidR="00490228">
        <w:t xml:space="preserve"> vydaných </w:t>
      </w:r>
      <w:r w:rsidRPr="00371586">
        <w:t>Európsk</w:t>
      </w:r>
      <w:r w:rsidR="00490228">
        <w:t>ou</w:t>
      </w:r>
      <w:r w:rsidRPr="00371586">
        <w:t xml:space="preserve"> komisi</w:t>
      </w:r>
      <w:r w:rsidR="00490228">
        <w:t>ou</w:t>
      </w:r>
      <w:r w:rsidRPr="00371586">
        <w:t>, Úrad</w:t>
      </w:r>
      <w:r w:rsidR="00490228">
        <w:t>om</w:t>
      </w:r>
      <w:r w:rsidRPr="00371586">
        <w:t xml:space="preserve"> pre verejné obstarávanie a</w:t>
      </w:r>
      <w:r w:rsidR="00490228">
        <w:t xml:space="preserve"> </w:t>
      </w:r>
      <w:r w:rsidRPr="00371586">
        <w:t>Úrad</w:t>
      </w:r>
      <w:r w:rsidR="003A188D">
        <w:t>om</w:t>
      </w:r>
      <w:r w:rsidRPr="00371586">
        <w:t xml:space="preserve"> podpredsedu vlády SR pre investície a</w:t>
      </w:r>
      <w:r w:rsidR="00490228">
        <w:t xml:space="preserve"> </w:t>
      </w:r>
      <w:r w:rsidRPr="00371586">
        <w:t>informatizáciu ako Centrálny</w:t>
      </w:r>
      <w:r w:rsidR="003A188D">
        <w:t>m</w:t>
      </w:r>
      <w:r w:rsidRPr="00371586">
        <w:t xml:space="preserve"> koordinačný</w:t>
      </w:r>
      <w:r w:rsidR="003A188D">
        <w:t>m</w:t>
      </w:r>
      <w:r w:rsidRPr="00371586">
        <w:t xml:space="preserve"> orgán</w:t>
      </w:r>
      <w:r w:rsidR="003A188D">
        <w:t>om</w:t>
      </w:r>
      <w:r w:rsidRPr="00371586">
        <w:t>.</w:t>
      </w:r>
      <w:r w:rsidR="00490228">
        <w:t xml:space="preserve"> Ide o nasledovné dokumenty:</w:t>
      </w:r>
    </w:p>
    <w:p w14:paraId="1E5D21E0" w14:textId="7ECAF783" w:rsidR="00490228" w:rsidRDefault="003A188D" w:rsidP="00151681">
      <w:pPr>
        <w:spacing w:before="120" w:line="240" w:lineRule="auto"/>
        <w:jc w:val="both"/>
      </w:pPr>
      <w:r>
        <w:t xml:space="preserve">1. </w:t>
      </w:r>
      <w:r w:rsidR="00490228">
        <w:t>oznámenie Komisie – usmernenie Európskej komisie k využívaniu v rámci pre verejné obstarávania počas núdzovej situácie súvisiacej s krízou spôsobenou ochorením COVID-19 (2020/C 108 I/01) publikovaného dňa 1. 4. 2020 v Úradom vestníku Európskej únie.</w:t>
      </w:r>
    </w:p>
    <w:p w14:paraId="01FD76D5" w14:textId="231409E5" w:rsidR="00371586" w:rsidRDefault="003A188D" w:rsidP="00151681">
      <w:pPr>
        <w:spacing w:before="120" w:line="240" w:lineRule="auto"/>
        <w:jc w:val="both"/>
      </w:pPr>
      <w:r>
        <w:t xml:space="preserve">2. </w:t>
      </w:r>
      <w:r w:rsidR="00490228">
        <w:t>„Usmernenie pre verejných obstarávateľov ako nakupovať v čase mimoriadnej udalosti“, publikovaného Úradom pre verejné obstarávanie</w:t>
      </w:r>
      <w:r>
        <w:t xml:space="preserve"> </w:t>
      </w:r>
      <w:r w:rsidR="00490228">
        <w:t>zo dňa 24. 3. 2020 (</w:t>
      </w:r>
      <w:hyperlink r:id="rId14" w:history="1">
        <w:r w:rsidR="00490228" w:rsidRPr="00490228">
          <w:t>https://www.uvo.gov.sk/legislativametodika-dohlad/metodika-zadavania-zakaziek-5ae.html</w:t>
        </w:r>
      </w:hyperlink>
      <w:r w:rsidR="00490228">
        <w:t>).</w:t>
      </w:r>
      <w:r w:rsidR="003D3170">
        <w:t xml:space="preserve"> </w:t>
      </w:r>
    </w:p>
    <w:p w14:paraId="5EB43FC2" w14:textId="495353E3" w:rsidR="00CC4EB0" w:rsidRDefault="00CC4EB0" w:rsidP="00CC4EB0">
      <w:pPr>
        <w:jc w:val="both"/>
        <w:rPr>
          <w:b/>
        </w:rPr>
      </w:pPr>
    </w:p>
    <w:p w14:paraId="1CC60070" w14:textId="64488FB2" w:rsidR="00CC4EB0" w:rsidRDefault="00CC4EB0" w:rsidP="00CC4EB0">
      <w:pPr>
        <w:jc w:val="both"/>
        <w:rPr>
          <w:b/>
        </w:rPr>
      </w:pPr>
      <w:r>
        <w:rPr>
          <w:b/>
        </w:rPr>
        <w:lastRenderedPageBreak/>
        <w:t>Uplatnenie výnimky pri obstarávaní podľa § 117 zákona o VO</w:t>
      </w:r>
      <w:r w:rsidR="00743514">
        <w:rPr>
          <w:rStyle w:val="Odkaznapoznmkupodiarou"/>
          <w:b/>
        </w:rPr>
        <w:footnoteReference w:id="2"/>
      </w:r>
    </w:p>
    <w:p w14:paraId="55C29308" w14:textId="71C6B854" w:rsidR="00CC4EB0" w:rsidRDefault="00CC4EB0" w:rsidP="00CC4EB0">
      <w:pPr>
        <w:jc w:val="both"/>
      </w:pPr>
      <w:r>
        <w:t>V</w:t>
      </w:r>
      <w:r w:rsidRPr="008623A4">
        <w:t> prípade realizácie zákaziek podľa § 117 zákona o verejnom obstarávaní, ktoré súvisia s mimoriadnou situáciou spôsobenou šírením ochorenia COVID-19 (so zmierňovaním, resp. odstraňovaním jej následkov), t. j. týkajú sa napr. neodkladných nákupov zdravotníckych pomôcok, príp. osobných ochranných pomôcok akými sú rúška, respirátory, pľúcne ventilátory, či dezinfekcie</w:t>
      </w:r>
      <w:r>
        <w:t>:</w:t>
      </w:r>
    </w:p>
    <w:p w14:paraId="248F6E21" w14:textId="77777777" w:rsidR="00CC4EB0" w:rsidRPr="008623A4" w:rsidRDefault="00CC4EB0" w:rsidP="00CC4EB0">
      <w:pPr>
        <w:jc w:val="both"/>
      </w:pPr>
      <w:r w:rsidRPr="008623A4">
        <w:rPr>
          <w:u w:val="single"/>
        </w:rPr>
        <w:t>obstarávateľ je povinný:</w:t>
      </w:r>
    </w:p>
    <w:p w14:paraId="2D80A1C2" w14:textId="77777777" w:rsidR="00CC4EB0" w:rsidRPr="008623A4" w:rsidRDefault="00CC4EB0" w:rsidP="008858BA">
      <w:pPr>
        <w:pStyle w:val="Odsekzoznamu"/>
        <w:numPr>
          <w:ilvl w:val="0"/>
          <w:numId w:val="32"/>
        </w:numPr>
        <w:spacing w:after="0" w:line="240" w:lineRule="auto"/>
        <w:contextualSpacing/>
        <w:jc w:val="both"/>
      </w:pPr>
      <w:r w:rsidRPr="008623A4">
        <w:t>postupovať podľa § 117 zákona o verejnom obstarávaní,</w:t>
      </w:r>
    </w:p>
    <w:p w14:paraId="3ACA6B0A" w14:textId="092CFBCF" w:rsidR="00CC4EB0" w:rsidRPr="008623A4" w:rsidRDefault="00CC4EB0" w:rsidP="008858BA">
      <w:pPr>
        <w:pStyle w:val="Odsekzoznamu"/>
        <w:numPr>
          <w:ilvl w:val="0"/>
          <w:numId w:val="32"/>
        </w:numPr>
        <w:spacing w:line="240" w:lineRule="auto"/>
        <w:ind w:left="714" w:hanging="357"/>
        <w:jc w:val="both"/>
      </w:pPr>
      <w:r w:rsidRPr="008623A4">
        <w:t>dodržiavať svoje interné pravidlá a postupy stanovené pre zákazky s nízkymi hodnotami.</w:t>
      </w:r>
    </w:p>
    <w:p w14:paraId="7F448DF4" w14:textId="77777777" w:rsidR="00CC4EB0" w:rsidRPr="008623A4" w:rsidRDefault="00CC4EB0" w:rsidP="00CC4EB0">
      <w:pPr>
        <w:spacing w:after="0" w:line="20" w:lineRule="atLeast"/>
        <w:rPr>
          <w:u w:val="single"/>
        </w:rPr>
      </w:pPr>
      <w:r w:rsidRPr="008623A4">
        <w:rPr>
          <w:u w:val="single"/>
        </w:rPr>
        <w:t>obstarávateľ nie je povinný:</w:t>
      </w:r>
    </w:p>
    <w:p w14:paraId="0406C6DA" w14:textId="77777777" w:rsidR="00CC4EB0" w:rsidRPr="008623A4" w:rsidRDefault="00CC4EB0" w:rsidP="008858BA">
      <w:pPr>
        <w:pStyle w:val="Odsekzoznamu"/>
        <w:numPr>
          <w:ilvl w:val="0"/>
          <w:numId w:val="31"/>
        </w:numPr>
        <w:spacing w:after="0" w:line="20" w:lineRule="atLeast"/>
        <w:contextualSpacing/>
        <w:jc w:val="both"/>
      </w:pPr>
      <w:r w:rsidRPr="008623A4">
        <w:t>zverejňovať výzvu na predkladanie ponúk na svojom webovom sídle alebo inom vhodnom webovom sídle,</w:t>
      </w:r>
    </w:p>
    <w:p w14:paraId="13075152" w14:textId="77777777" w:rsidR="00CC4EB0" w:rsidRDefault="00CC4EB0" w:rsidP="008858BA">
      <w:pPr>
        <w:pStyle w:val="Odsekzoznamu"/>
        <w:numPr>
          <w:ilvl w:val="0"/>
          <w:numId w:val="31"/>
        </w:numPr>
        <w:spacing w:before="120" w:after="0" w:line="240" w:lineRule="auto"/>
        <w:contextualSpacing/>
        <w:jc w:val="both"/>
      </w:pPr>
      <w:r w:rsidRPr="008623A4">
        <w:t xml:space="preserve">zasielať informáciu o takomto zverejnení na osobitný e-mailový kontakt </w:t>
      </w:r>
      <w:hyperlink r:id="rId15" w:history="1">
        <w:r w:rsidRPr="008623A4">
          <w:t>zákazkycko@vlada.gov.sk</w:t>
        </w:r>
      </w:hyperlink>
      <w:r>
        <w:t xml:space="preserve">, </w:t>
      </w:r>
    </w:p>
    <w:p w14:paraId="63165DEE" w14:textId="0BD9B6B2" w:rsidR="00CC4EB0" w:rsidRDefault="00CC4EB0" w:rsidP="008858BA">
      <w:pPr>
        <w:pStyle w:val="Odsekzoznamu"/>
        <w:numPr>
          <w:ilvl w:val="0"/>
          <w:numId w:val="31"/>
        </w:numPr>
        <w:spacing w:before="120" w:after="0" w:line="240" w:lineRule="auto"/>
        <w:contextualSpacing/>
        <w:jc w:val="both"/>
      </w:pPr>
      <w:r w:rsidRPr="008623A4">
        <w:t>identifikovať minimálne troch vybraných záujemcov (napr. cez webové rozhranie).“</w:t>
      </w:r>
    </w:p>
    <w:p w14:paraId="665A6859" w14:textId="178BDB70" w:rsidR="004B7756" w:rsidRPr="00B5339F" w:rsidRDefault="004B7756" w:rsidP="00151681">
      <w:pPr>
        <w:spacing w:before="120" w:line="240" w:lineRule="auto"/>
        <w:jc w:val="both"/>
      </w:pPr>
      <w:r w:rsidRPr="00D418C4">
        <w:rPr>
          <w:b/>
        </w:rPr>
        <w:t>Hotovostné platby</w:t>
      </w:r>
      <w:r w:rsidRPr="00B5339F">
        <w:t xml:space="preserve"> </w:t>
      </w:r>
      <w:r>
        <w:t>–</w:t>
      </w:r>
      <w:r w:rsidRPr="00B5339F">
        <w:t xml:space="preserve"> v</w:t>
      </w:r>
      <w:r>
        <w:t xml:space="preserve"> </w:t>
      </w:r>
      <w:r w:rsidRPr="00B5339F">
        <w:t>zmysle § 2 zákona č. 394/2012 Z. z. o obmedzení platieb v hotovosti sa platbou v hotovosti rozumie odovzdanie bankoviek alebo mincí v hotovosti v mene euro alebo bankoviek alebo mincí v hotovosti v inej mene odovzdávajúcim a prijatie tejto hotovosti príjemcom</w:t>
      </w:r>
      <w:r w:rsidRPr="00D418C4">
        <w:rPr>
          <w:vertAlign w:val="superscript"/>
        </w:rPr>
        <w:footnoteReference w:id="3"/>
      </w:r>
      <w:r w:rsidRPr="00B5339F">
        <w:t>.</w:t>
      </w:r>
      <w:r w:rsidR="00D82E7F">
        <w:t xml:space="preserve"> </w:t>
      </w:r>
    </w:p>
    <w:p w14:paraId="356202A9" w14:textId="77777777" w:rsidR="004B7756" w:rsidRPr="00B5339F" w:rsidRDefault="004B7756" w:rsidP="00151681">
      <w:pPr>
        <w:spacing w:before="120" w:line="240" w:lineRule="auto"/>
        <w:jc w:val="both"/>
      </w:pPr>
      <w:r w:rsidRPr="00742933">
        <w:t>Hotovostné platby</w:t>
      </w:r>
      <w:r w:rsidRPr="00B5339F">
        <w:t xml:space="preserve"> zahŕňajúce výdavky na obstaranie dlhodobého hmotného a nehmotného majetku, vrátane výdavkov súvisiacich s obstaraním tohto majetku, nie sú oprávnené. V prípade úhrad spotrebného materiálu sú </w:t>
      </w:r>
      <w:bookmarkStart w:id="13" w:name="page5"/>
      <w:bookmarkEnd w:id="13"/>
      <w:r w:rsidRPr="00B5339F">
        <w:t xml:space="preserve">výdavky uhrádzané v hotovosti oprávnené, ak hotovostné platby jednotlivo neprekročia </w:t>
      </w:r>
      <w:r w:rsidRPr="004F050B">
        <w:t xml:space="preserve">sumu </w:t>
      </w:r>
      <w:r w:rsidR="00D82E7F" w:rsidRPr="004F050B">
        <w:rPr>
          <w:b/>
        </w:rPr>
        <w:t>500 eur,</w:t>
      </w:r>
      <w:r w:rsidRPr="004F050B">
        <w:t xml:space="preserve"> pričom maximálna hodnota realizovaných úhrad v hotovosti v jednom mesiaci nepresiahne </w:t>
      </w:r>
      <w:r w:rsidR="00D82E7F" w:rsidRPr="004F050B">
        <w:rPr>
          <w:b/>
        </w:rPr>
        <w:t>1 500 eur</w:t>
      </w:r>
      <w:r w:rsidRPr="004F050B">
        <w:t>.</w:t>
      </w:r>
    </w:p>
    <w:p w14:paraId="0C0CEF8E" w14:textId="77777777" w:rsidR="004B7756" w:rsidRPr="00B5339F" w:rsidRDefault="004B7756" w:rsidP="00151681">
      <w:pPr>
        <w:spacing w:before="120" w:line="240" w:lineRule="auto"/>
        <w:jc w:val="both"/>
      </w:pPr>
      <w:r w:rsidRPr="00B5339F">
        <w:t xml:space="preserve">Podľa § 4 zákona o obmedzení platieb v hotovosti pri právnických osobách a fyzických osobách - podnikateľoch sa zakazuje platba v hotovosti, ktorej hodnota prevyšuje 5 000 </w:t>
      </w:r>
      <w:r w:rsidR="00D3305F">
        <w:t>eur</w:t>
      </w:r>
      <w:r w:rsidRPr="00B5339F">
        <w:t>.</w:t>
      </w:r>
    </w:p>
    <w:p w14:paraId="674ECC1D" w14:textId="77777777" w:rsidR="004B7756" w:rsidRPr="00B5339F" w:rsidRDefault="004B7756" w:rsidP="00151681">
      <w:pPr>
        <w:spacing w:before="120" w:line="240" w:lineRule="auto"/>
        <w:jc w:val="both"/>
      </w:pPr>
      <w:r w:rsidRPr="00B5339F">
        <w:t>Platba platobnou kartou vydanou k účtu prijímateľa nie je hotovostnou platbou.</w:t>
      </w:r>
    </w:p>
    <w:p w14:paraId="54F950D9" w14:textId="77777777" w:rsidR="004B7756" w:rsidRPr="005C05CC" w:rsidRDefault="004B7756" w:rsidP="00151681">
      <w:pPr>
        <w:pStyle w:val="Nadpis2"/>
        <w:spacing w:after="120" w:line="240" w:lineRule="auto"/>
        <w:rPr>
          <w:rFonts w:asciiTheme="minorHAnsi" w:hAnsiTheme="minorHAnsi"/>
        </w:rPr>
      </w:pPr>
      <w:bookmarkStart w:id="14" w:name="_Toc476655611"/>
      <w:bookmarkStart w:id="15" w:name="_Toc505197971"/>
      <w:bookmarkStart w:id="16" w:name="_Toc56090012"/>
      <w:r w:rsidRPr="005C05CC">
        <w:rPr>
          <w:rFonts w:asciiTheme="minorHAnsi" w:hAnsiTheme="minorHAnsi"/>
        </w:rPr>
        <w:t>2.2  Vecná oprávnenosť výdavku</w:t>
      </w:r>
      <w:bookmarkEnd w:id="14"/>
      <w:bookmarkEnd w:id="15"/>
      <w:bookmarkEnd w:id="16"/>
    </w:p>
    <w:p w14:paraId="7B9F6647" w14:textId="77777777" w:rsidR="004B7756" w:rsidRPr="00CA258E" w:rsidRDefault="004B7756" w:rsidP="00151681">
      <w:pPr>
        <w:spacing w:before="120" w:line="240" w:lineRule="auto"/>
        <w:jc w:val="both"/>
        <w:rPr>
          <w:u w:val="single"/>
        </w:rPr>
      </w:pPr>
      <w:r w:rsidRPr="00CA258E">
        <w:rPr>
          <w:u w:val="single"/>
        </w:rPr>
        <w:t>Z vecného hľadiska musí výdavok spĺňať nasledujúce podmienky:</w:t>
      </w:r>
    </w:p>
    <w:p w14:paraId="2D239CA4" w14:textId="77777777" w:rsidR="004B7756" w:rsidRDefault="004B7756" w:rsidP="00151681">
      <w:pPr>
        <w:numPr>
          <w:ilvl w:val="0"/>
          <w:numId w:val="2"/>
        </w:numPr>
        <w:spacing w:before="120" w:line="240" w:lineRule="auto"/>
        <w:ind w:left="714" w:hanging="357"/>
        <w:jc w:val="both"/>
      </w:pPr>
      <w:r w:rsidRPr="00B5339F">
        <w:t>výdavok je v súlade s platnými všeobecne záväznými právnymi predpismi (napr. zákon o</w:t>
      </w:r>
      <w:r w:rsidR="00391AA9">
        <w:t> </w:t>
      </w:r>
      <w:r w:rsidRPr="00B5339F">
        <w:t>rozpočtových pravidlách, ZVO</w:t>
      </w:r>
      <w:r>
        <w:rPr>
          <w:rStyle w:val="Odkaznapoznmkupodiarou"/>
        </w:rPr>
        <w:footnoteReference w:id="4"/>
      </w:r>
      <w:r w:rsidRPr="00B5339F">
        <w:t>, zákon o štátnej pomoci, zákonník práce</w:t>
      </w:r>
      <w:r>
        <w:rPr>
          <w:rStyle w:val="Odkaznapoznmkupodiarou"/>
        </w:rPr>
        <w:footnoteReference w:id="5"/>
      </w:r>
      <w:r w:rsidRPr="00B5339F">
        <w:t>, zákon o</w:t>
      </w:r>
      <w:r w:rsidR="00391AA9">
        <w:t> </w:t>
      </w:r>
      <w:r w:rsidRPr="00B5339F">
        <w:t>účtovníctve, zákon o štátnej službe</w:t>
      </w:r>
      <w:r>
        <w:rPr>
          <w:rStyle w:val="Odkaznapoznmkupodiarou"/>
        </w:rPr>
        <w:footnoteReference w:id="6"/>
      </w:r>
      <w:r w:rsidRPr="00B5339F">
        <w:t>, zákon o výkone práce vo verejnom záujme</w:t>
      </w:r>
      <w:r>
        <w:rPr>
          <w:rStyle w:val="Odkaznapoznmkupodiarou"/>
        </w:rPr>
        <w:footnoteReference w:id="7"/>
      </w:r>
      <w:r w:rsidRPr="00B5339F">
        <w:t>, zákon o</w:t>
      </w:r>
      <w:r w:rsidR="00391AA9">
        <w:t> </w:t>
      </w:r>
      <w:r w:rsidRPr="00B5339F">
        <w:t>Štátnej pokladnici</w:t>
      </w:r>
      <w:r>
        <w:rPr>
          <w:rStyle w:val="Odkaznapoznmkupodiarou"/>
        </w:rPr>
        <w:footnoteReference w:id="8"/>
      </w:r>
      <w:r w:rsidRPr="00B5339F">
        <w:t>, zákon o dani z pridanej hodnoty</w:t>
      </w:r>
      <w:r>
        <w:rPr>
          <w:rStyle w:val="Odkaznapoznmkupodiarou"/>
        </w:rPr>
        <w:footnoteReference w:id="9"/>
      </w:r>
      <w:r w:rsidRPr="00B5339F">
        <w:t>, zákon o dani z príjmov</w:t>
      </w:r>
      <w:r>
        <w:rPr>
          <w:rStyle w:val="Odkaznapoznmkupodiarou"/>
        </w:rPr>
        <w:footnoteReference w:id="10"/>
      </w:r>
      <w:r w:rsidRPr="00B5339F">
        <w:t>, zákon o</w:t>
      </w:r>
      <w:r w:rsidR="00391AA9">
        <w:t> </w:t>
      </w:r>
      <w:r w:rsidRPr="00B5339F">
        <w:t>finančnej kontrole a audite</w:t>
      </w:r>
      <w:r>
        <w:rPr>
          <w:rStyle w:val="Odkaznapoznmkupodiarou"/>
        </w:rPr>
        <w:footnoteReference w:id="11"/>
      </w:r>
      <w:r w:rsidRPr="00B5339F">
        <w:t>, zákon o správe majetku štátu</w:t>
      </w:r>
      <w:r>
        <w:rPr>
          <w:rStyle w:val="Odkaznapoznmkupodiarou"/>
        </w:rPr>
        <w:footnoteReference w:id="12"/>
      </w:r>
      <w:r w:rsidRPr="00B5339F">
        <w:t xml:space="preserve">); </w:t>
      </w:r>
    </w:p>
    <w:p w14:paraId="4A3D1A51" w14:textId="77777777" w:rsidR="004B7756" w:rsidRDefault="004B7756" w:rsidP="00151681">
      <w:pPr>
        <w:numPr>
          <w:ilvl w:val="0"/>
          <w:numId w:val="2"/>
        </w:numPr>
        <w:spacing w:before="120" w:line="240" w:lineRule="auto"/>
        <w:ind w:left="714" w:hanging="357"/>
        <w:jc w:val="both"/>
      </w:pPr>
      <w:r w:rsidRPr="00B5339F">
        <w:t>výdavok je vynaložený na projekt (existencia priameho spojenia s projektom) schválený SO</w:t>
      </w:r>
      <w:r w:rsidR="0024569B">
        <w:t xml:space="preserve"> pre IROP</w:t>
      </w:r>
      <w:r w:rsidRPr="00B5339F">
        <w:t xml:space="preserve"> a realizovaný v zmysle podmienok výzvy, podmienok schémy štátnej pomoci, ktoré tvoria neoddeliteľnú súčasť výzvy (ak relevantné), podmienok zmluvy o</w:t>
      </w:r>
      <w:r w:rsidR="003E1D3D">
        <w:t xml:space="preserve"> poskytnutí </w:t>
      </w:r>
      <w:r w:rsidRPr="00B5339F">
        <w:t xml:space="preserve">NFP; </w:t>
      </w:r>
    </w:p>
    <w:p w14:paraId="25276DFE" w14:textId="77777777" w:rsidR="004B7756" w:rsidRDefault="004B7756" w:rsidP="00151681">
      <w:pPr>
        <w:numPr>
          <w:ilvl w:val="0"/>
          <w:numId w:val="2"/>
        </w:numPr>
        <w:spacing w:before="120" w:line="240" w:lineRule="auto"/>
        <w:ind w:left="714" w:hanging="357"/>
        <w:jc w:val="both"/>
      </w:pPr>
      <w:r w:rsidRPr="00B5339F">
        <w:lastRenderedPageBreak/>
        <w:t>výdavky sú vynaložené v súlade s pravidlami IROP na oprávnené aktivity, v súlade s</w:t>
      </w:r>
      <w:r w:rsidR="0024569B">
        <w:t> </w:t>
      </w:r>
      <w:r w:rsidRPr="00B5339F">
        <w:t>obsahovou stránkou projektu, zodpovedajú časovej následnosti aktivít projektu, sú plne v</w:t>
      </w:r>
      <w:r w:rsidR="0024569B">
        <w:t> </w:t>
      </w:r>
      <w:r w:rsidRPr="00B5339F">
        <w:t xml:space="preserve">súlade s cieľmi projektu a prispievajú k dosiahnutiu plánovaných cieľov projektu; </w:t>
      </w:r>
    </w:p>
    <w:p w14:paraId="74B37792" w14:textId="77777777" w:rsidR="004B7756" w:rsidRDefault="004B7756" w:rsidP="00151681">
      <w:pPr>
        <w:numPr>
          <w:ilvl w:val="0"/>
          <w:numId w:val="2"/>
        </w:numPr>
        <w:spacing w:before="120" w:line="240" w:lineRule="auto"/>
        <w:ind w:left="714" w:hanging="357"/>
        <w:jc w:val="both"/>
      </w:pPr>
      <w:r w:rsidRPr="00B5339F">
        <w:t>výdavok je primeraný</w:t>
      </w:r>
      <w:r>
        <w:rPr>
          <w:rStyle w:val="Odkaznapoznmkupodiarou"/>
        </w:rPr>
        <w:footnoteReference w:id="13"/>
      </w:r>
      <w:r w:rsidRPr="00B5339F">
        <w:t xml:space="preserve">, t. j. zodpovedá obvyklým cenám v danom mieste a čase a zodpovedá potrebám projektu; </w:t>
      </w:r>
    </w:p>
    <w:p w14:paraId="23FF1520" w14:textId="6AC870BE" w:rsidR="004B7756" w:rsidRDefault="004B7756" w:rsidP="00151681">
      <w:pPr>
        <w:numPr>
          <w:ilvl w:val="0"/>
          <w:numId w:val="2"/>
        </w:numPr>
        <w:spacing w:before="120" w:line="240" w:lineRule="auto"/>
        <w:ind w:left="714" w:hanging="357"/>
        <w:jc w:val="both"/>
      </w:pPr>
      <w:r w:rsidRPr="00B5339F">
        <w:t xml:space="preserve">výdavok spĺňa zásady hospodárnosti, efektívnosti, účelnosti a účinnosti, vrátane zásady riadneho finančného hospodárenia podľa čl. </w:t>
      </w:r>
      <w:r w:rsidR="005A2B5D">
        <w:t>33</w:t>
      </w:r>
      <w:r w:rsidR="005A2B5D" w:rsidRPr="00B5339F">
        <w:t xml:space="preserve"> </w:t>
      </w:r>
      <w:r w:rsidRPr="00B5339F">
        <w:t xml:space="preserve">nariadenia </w:t>
      </w:r>
      <w:r w:rsidR="005A2B5D">
        <w:t>č.</w:t>
      </w:r>
      <w:r w:rsidR="00FD45A9">
        <w:t xml:space="preserve"> </w:t>
      </w:r>
      <w:r w:rsidR="005A2B5D">
        <w:t>2018/1046</w:t>
      </w:r>
      <w:r w:rsidRPr="00B5339F">
        <w:t xml:space="preserve">; </w:t>
      </w:r>
    </w:p>
    <w:p w14:paraId="0BDA347C" w14:textId="77777777" w:rsidR="004B7756" w:rsidRDefault="004B7756" w:rsidP="00151681">
      <w:pPr>
        <w:numPr>
          <w:ilvl w:val="0"/>
          <w:numId w:val="2"/>
        </w:numPr>
        <w:spacing w:before="120" w:line="240" w:lineRule="auto"/>
        <w:ind w:left="714" w:hanging="357"/>
        <w:jc w:val="both"/>
      </w:pPr>
      <w:r w:rsidRPr="00B5339F">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predpismi a zmluvou o</w:t>
      </w:r>
      <w:r w:rsidR="003E1D3D">
        <w:t xml:space="preserve"> poskytnutí </w:t>
      </w:r>
      <w:r w:rsidRPr="00B5339F">
        <w:t>NFP. Preukázanie výdavkov faktúrami alebo účtovnými dokladmi rovnocennej preukaznej hodnoty sa nevzťahuje na výdavky vykazované zjednodušeným spôsobom vykazovania a na úhradu preddavkových platieb. Výdavky musia byť uhradené prijímateľom a ich uhradenie musí byť doložené najneskôr pred ich predložením na SO</w:t>
      </w:r>
      <w:r>
        <w:t xml:space="preserve"> pre IROP</w:t>
      </w:r>
      <w:r>
        <w:rPr>
          <w:rStyle w:val="Odkaznapoznmkupodiarou"/>
        </w:rPr>
        <w:footnoteReference w:id="14"/>
      </w:r>
      <w:r w:rsidRPr="00B5339F">
        <w:t xml:space="preserve"> (s výnimkou odpisov a vecných príspevkov); </w:t>
      </w:r>
    </w:p>
    <w:p w14:paraId="4D1C33F1" w14:textId="00B31678" w:rsidR="004B7756" w:rsidRDefault="004B7756" w:rsidP="00151681">
      <w:pPr>
        <w:numPr>
          <w:ilvl w:val="0"/>
          <w:numId w:val="2"/>
        </w:numPr>
        <w:spacing w:before="120" w:line="240" w:lineRule="auto"/>
        <w:jc w:val="both"/>
      </w:pPr>
      <w:r w:rsidRPr="00B5339F">
        <w:t>výdavky súvisiace s preddavkovou platbou spĺňajú podmienky uvedené v písm. a) - e) tohto odseku vrátane časovej a územnej oprávnenosti výdavku, ako aj pravidlá oprávnenosti v</w:t>
      </w:r>
      <w:r w:rsidR="00C42023">
        <w:t> </w:t>
      </w:r>
      <w:r w:rsidRPr="00B5339F">
        <w:t xml:space="preserve">súvislosti s preddavkovými platbami uvedenými v </w:t>
      </w:r>
      <w:r w:rsidR="00446D77">
        <w:t>SR</w:t>
      </w:r>
      <w:r w:rsidRPr="00B5339F">
        <w:t xml:space="preserve"> EŠIF. Preddavkovou platbou sa rozumie úhrada finančných prostriedkov zo strany prijímateľa v prospech dodávateľa vopred, t. j. pred dodaním dohodnutých tovarov/poskytnutím služieb alebo vykonaním stavebných prác; v bežnej obchodnej praxi sa používa aj pojem ,,záloha alebo preddavok“ a pre doklad, na základe ktorého sa úhrada realizuje sa používa aj pojem </w:t>
      </w:r>
      <w:bookmarkStart w:id="17" w:name="page6"/>
      <w:bookmarkEnd w:id="17"/>
      <w:r w:rsidRPr="00B5339F">
        <w:t>„zálohová faktúra alebo preddavková faktúra</w:t>
      </w:r>
      <w:r w:rsidR="00446D77">
        <w:t>“</w:t>
      </w:r>
      <w:r w:rsidRPr="00B5339F">
        <w:t xml:space="preserve">. Preddavková platba sa vzťahuje na obchodné vzťahy medzi prijímateľom a dodávateľom, pričom samotný systém platieb na úrovni SO </w:t>
      </w:r>
      <w:r w:rsidR="00EA6F28">
        <w:t>pre IROP</w:t>
      </w:r>
      <w:r>
        <w:t xml:space="preserve"> </w:t>
      </w:r>
      <w:r w:rsidRPr="00B5339F">
        <w:t>– prijímateľ, t. j. predfinancovanie, refundácia</w:t>
      </w:r>
      <w:r w:rsidR="00ED5197">
        <w:t>, zálohová žiadosť o platbu</w:t>
      </w:r>
      <w:r w:rsidRPr="00B5339F">
        <w:t xml:space="preserve"> týmto nie je dotknutý a preddavkové platby je možné využiť v rámci každého systému financovania. Preddavkovou platbou sa nefinancujú podporné aktivity projektu.</w:t>
      </w:r>
    </w:p>
    <w:p w14:paraId="7171B143" w14:textId="480F6FC6" w:rsidR="003D3CC2" w:rsidRPr="00B5339F" w:rsidRDefault="003D3CC2" w:rsidP="003D3CC2">
      <w:pPr>
        <w:numPr>
          <w:ilvl w:val="0"/>
          <w:numId w:val="2"/>
        </w:numPr>
        <w:spacing w:before="120" w:line="240" w:lineRule="auto"/>
        <w:jc w:val="both"/>
      </w:pPr>
      <w:r>
        <w:t xml:space="preserve">Oprávneným výdavkom je aj výdavok za nákup tovaru, ktorý prijímateľ poskytne tretej osobe vykonávajúcej činnosti na úseku hospodárskej mobilizácie a civilnej ochrany obyvateľstva pri poskytovaní zdravotnej starostlivosti a zároveň spĺňa tieto podmienky. Zmluva o NFP/rozhodnutie o poskytnutí príspevku obsahuje súhlas poskytovateľa prijímateľovi poskytnúť predmet výdavku (tovar)  tretej osobe spolu s odkazom na konkrétny tovar, typ alebo jeho špecifikáciu, účel použitia a sankciu za nedodržanie účelu použitia tovaru poskytnutého tretej osobe. Prevod z prijímateľa na tretiu osobu je realizovaný na základe písomného právneho aktu (napr. darovacia zmluva, zmluva o prevode majetku štátu do správy) s uvedením ustanovenia o  povinnosti tretej osoby uchovávať všetku dokumentáciu k výdavku a do uplynutia uvedených lehôt strpieť výkon kontroly/auditu súvisiaceho s dodávaným tovarom do uplynutia uvedených lehôt, a to oprávnenými osobami na výkon tejto kontroly/auditu a poskytnúť im všetku potrebnú súčinnosť. Písomný právny akt obsahuje aj ustanovenie, že poskytnutý tovar (predmetu darovania, prevodu) v čase realizácie projektu môže byť použitý na účel definovaný v schválenej žiadosti o NFP a na dosiahnutie cieľa projektu, čím prispieva k napĺňaniu merateľných ukazovateľov projektu. Stanovuje sankčný mechanizmus za nedodržanie účelu použitia tovaru poskytnutého tretej osobe  vrátane zákazu predaja/prenájmu ďalšej osobe a informáciu, že výdavok je hradený z európskych štrukturálnych a investičných fondov.  </w:t>
      </w:r>
    </w:p>
    <w:p w14:paraId="4E01758C" w14:textId="77777777" w:rsidR="004B7756" w:rsidRPr="00B5339F" w:rsidRDefault="004B7756" w:rsidP="00151681">
      <w:pPr>
        <w:spacing w:before="120" w:line="240" w:lineRule="auto"/>
        <w:jc w:val="both"/>
      </w:pPr>
      <w:r w:rsidRPr="00B5339F">
        <w:lastRenderedPageBreak/>
        <w:t xml:space="preserve">V zmysle čl. 65 ods. 11 všeobecného nariadenia na jeden projekt možno udeliť príspevok z jedného alebo viacerých EŠIF alebo z jedného alebo viacerých </w:t>
      </w:r>
      <w:r w:rsidR="003F14D0">
        <w:t>operačných programov (ďalej len „</w:t>
      </w:r>
      <w:r w:rsidRPr="00B5339F">
        <w:t>OP</w:t>
      </w:r>
      <w:r w:rsidR="003F14D0">
        <w:t>“)</w:t>
      </w:r>
      <w:r w:rsidRPr="00B5339F">
        <w:t xml:space="preserve"> a z iných nástrojov EÚ v prípade, </w:t>
      </w:r>
      <w:r w:rsidR="00EB5163" w:rsidRPr="00E63F3C">
        <w:rPr>
          <w:color w:val="000000"/>
          <w:lang w:eastAsia="en-US"/>
        </w:rPr>
        <w:t>ke</w:t>
      </w:r>
      <w:r w:rsidR="00EB5163" w:rsidRPr="00E63F3C">
        <w:rPr>
          <w:rFonts w:hint="eastAsia"/>
          <w:color w:val="000000"/>
          <w:lang w:eastAsia="en-US"/>
        </w:rPr>
        <w:t>ď</w:t>
      </w:r>
      <w:r w:rsidR="00EB5163" w:rsidRPr="00E63F3C">
        <w:rPr>
          <w:color w:val="000000"/>
          <w:lang w:eastAsia="en-US"/>
        </w:rPr>
        <w:t xml:space="preserve"> v</w:t>
      </w:r>
      <w:r w:rsidR="00EB5163" w:rsidRPr="00E63F3C">
        <w:rPr>
          <w:rFonts w:hint="eastAsia"/>
          <w:color w:val="000000"/>
          <w:lang w:eastAsia="en-US"/>
        </w:rPr>
        <w:t>ý</w:t>
      </w:r>
      <w:r w:rsidR="00EB5163" w:rsidRPr="00E63F3C">
        <w:rPr>
          <w:color w:val="000000"/>
          <w:lang w:eastAsia="en-US"/>
        </w:rPr>
        <w:t>davky vyk</w:t>
      </w:r>
      <w:r w:rsidR="00EB5163" w:rsidRPr="00E63F3C">
        <w:rPr>
          <w:rFonts w:hint="eastAsia"/>
          <w:color w:val="000000"/>
          <w:lang w:eastAsia="en-US"/>
        </w:rPr>
        <w:t>á</w:t>
      </w:r>
      <w:r w:rsidR="00EB5163" w:rsidRPr="00E63F3C">
        <w:rPr>
          <w:color w:val="000000"/>
          <w:lang w:eastAsia="en-US"/>
        </w:rPr>
        <w:t>zan</w:t>
      </w:r>
      <w:r w:rsidR="00EB5163" w:rsidRPr="00E63F3C">
        <w:rPr>
          <w:rFonts w:hint="eastAsia"/>
          <w:color w:val="000000"/>
          <w:lang w:eastAsia="en-US"/>
        </w:rPr>
        <w:t>é</w:t>
      </w:r>
      <w:r w:rsidR="00EB5163" w:rsidRPr="00E63F3C">
        <w:rPr>
          <w:color w:val="000000"/>
          <w:lang w:eastAsia="en-US"/>
        </w:rPr>
        <w:t xml:space="preserve"> v</w:t>
      </w:r>
      <w:r w:rsidR="00EB5163" w:rsidRPr="00E63F3C">
        <w:rPr>
          <w:rFonts w:hint="eastAsia"/>
          <w:color w:val="000000"/>
          <w:lang w:eastAsia="en-US"/>
        </w:rPr>
        <w:t> ž</w:t>
      </w:r>
      <w:r w:rsidR="00EB5163" w:rsidRPr="00E63F3C">
        <w:rPr>
          <w:color w:val="000000"/>
          <w:lang w:eastAsia="en-US"/>
        </w:rPr>
        <w:t>iadosti o</w:t>
      </w:r>
      <w:r w:rsidR="00EB5163" w:rsidRPr="00E63F3C">
        <w:rPr>
          <w:rFonts w:hint="eastAsia"/>
          <w:color w:val="000000"/>
          <w:lang w:eastAsia="en-US"/>
        </w:rPr>
        <w:t> </w:t>
      </w:r>
      <w:r w:rsidR="00EB5163" w:rsidRPr="00E63F3C">
        <w:rPr>
          <w:color w:val="000000"/>
          <w:lang w:eastAsia="en-US"/>
        </w:rPr>
        <w:t>platbu z</w:t>
      </w:r>
      <w:r w:rsidR="00EB5163" w:rsidRPr="00E63F3C">
        <w:rPr>
          <w:rFonts w:hint="eastAsia"/>
          <w:color w:val="000000"/>
          <w:lang w:eastAsia="en-US"/>
        </w:rPr>
        <w:t> </w:t>
      </w:r>
      <w:r w:rsidR="00EB5163" w:rsidRPr="00E63F3C">
        <w:rPr>
          <w:color w:val="000000"/>
          <w:lang w:eastAsia="en-US"/>
        </w:rPr>
        <w:t>jedn</w:t>
      </w:r>
      <w:r w:rsidR="00EB5163" w:rsidRPr="00E63F3C">
        <w:rPr>
          <w:rFonts w:hint="eastAsia"/>
          <w:color w:val="000000"/>
          <w:lang w:eastAsia="en-US"/>
        </w:rPr>
        <w:t>é</w:t>
      </w:r>
      <w:r w:rsidR="00EB5163" w:rsidRPr="00E63F3C">
        <w:rPr>
          <w:color w:val="000000"/>
          <w:lang w:eastAsia="en-US"/>
        </w:rPr>
        <w:t>ho z</w:t>
      </w:r>
      <w:r w:rsidR="00EB5163" w:rsidRPr="00E63F3C">
        <w:rPr>
          <w:rFonts w:hint="eastAsia"/>
          <w:color w:val="000000"/>
          <w:lang w:eastAsia="en-US"/>
        </w:rPr>
        <w:t> </w:t>
      </w:r>
      <w:r w:rsidR="00EB5163" w:rsidRPr="00E63F3C">
        <w:rPr>
          <w:color w:val="000000"/>
          <w:lang w:eastAsia="en-US"/>
        </w:rPr>
        <w:t>E</w:t>
      </w:r>
      <w:r w:rsidR="00EB5163" w:rsidRPr="00E63F3C">
        <w:rPr>
          <w:rFonts w:hint="eastAsia"/>
          <w:color w:val="000000"/>
          <w:lang w:eastAsia="en-US"/>
        </w:rPr>
        <w:t>Š</w:t>
      </w:r>
      <w:r w:rsidR="00EB5163" w:rsidRPr="00E63F3C">
        <w:rPr>
          <w:color w:val="000000"/>
          <w:lang w:eastAsia="en-US"/>
        </w:rPr>
        <w:t>IF nie s</w:t>
      </w:r>
      <w:r w:rsidR="00EB5163" w:rsidRPr="00E63F3C">
        <w:rPr>
          <w:rFonts w:hint="eastAsia"/>
          <w:color w:val="000000"/>
          <w:lang w:eastAsia="en-US"/>
        </w:rPr>
        <w:t>ú</w:t>
      </w:r>
      <w:r w:rsidR="00EB5163" w:rsidRPr="00E63F3C">
        <w:rPr>
          <w:color w:val="000000"/>
          <w:lang w:eastAsia="en-US"/>
        </w:rPr>
        <w:t xml:space="preserve"> vyk</w:t>
      </w:r>
      <w:r w:rsidR="00EB5163" w:rsidRPr="00E63F3C">
        <w:rPr>
          <w:rFonts w:hint="eastAsia"/>
          <w:color w:val="000000"/>
          <w:lang w:eastAsia="en-US"/>
        </w:rPr>
        <w:t>á</w:t>
      </w:r>
      <w:r w:rsidR="00EB5163" w:rsidRPr="00E63F3C">
        <w:rPr>
          <w:color w:val="000000"/>
          <w:lang w:eastAsia="en-US"/>
        </w:rPr>
        <w:t>zan</w:t>
      </w:r>
      <w:r w:rsidR="00EB5163" w:rsidRPr="00E63F3C">
        <w:rPr>
          <w:rFonts w:hint="eastAsia"/>
          <w:color w:val="000000"/>
          <w:lang w:eastAsia="en-US"/>
        </w:rPr>
        <w:t>é</w:t>
      </w:r>
      <w:r w:rsidR="00EB5163" w:rsidRPr="00E63F3C">
        <w:rPr>
          <w:color w:val="000000"/>
          <w:lang w:eastAsia="en-US"/>
        </w:rPr>
        <w:t xml:space="preserve"> v</w:t>
      </w:r>
      <w:r w:rsidR="00EB5163" w:rsidRPr="00E63F3C">
        <w:rPr>
          <w:rFonts w:hint="eastAsia"/>
          <w:color w:val="000000"/>
          <w:lang w:eastAsia="en-US"/>
        </w:rPr>
        <w:t> </w:t>
      </w:r>
      <w:r w:rsidR="00EB5163" w:rsidRPr="00E63F3C">
        <w:rPr>
          <w:color w:val="000000"/>
          <w:lang w:eastAsia="en-US"/>
        </w:rPr>
        <w:t>r</w:t>
      </w:r>
      <w:r w:rsidR="00EB5163" w:rsidRPr="00E63F3C">
        <w:rPr>
          <w:rFonts w:hint="eastAsia"/>
          <w:color w:val="000000"/>
          <w:lang w:eastAsia="en-US"/>
        </w:rPr>
        <w:t>á</w:t>
      </w:r>
      <w:r w:rsidR="00EB5163" w:rsidRPr="00E63F3C">
        <w:rPr>
          <w:color w:val="000000"/>
          <w:lang w:eastAsia="en-US"/>
        </w:rPr>
        <w:t>mci podpory z</w:t>
      </w:r>
      <w:r w:rsidR="00EB5163" w:rsidRPr="00E63F3C">
        <w:rPr>
          <w:rFonts w:hint="eastAsia"/>
          <w:color w:val="000000"/>
          <w:lang w:eastAsia="en-US"/>
        </w:rPr>
        <w:t> </w:t>
      </w:r>
      <w:r w:rsidR="00EB5163" w:rsidRPr="00E63F3C">
        <w:rPr>
          <w:color w:val="000000"/>
          <w:lang w:eastAsia="en-US"/>
        </w:rPr>
        <w:t>in</w:t>
      </w:r>
      <w:r w:rsidR="00EB5163" w:rsidRPr="00E63F3C">
        <w:rPr>
          <w:rFonts w:hint="eastAsia"/>
          <w:color w:val="000000"/>
          <w:lang w:eastAsia="en-US"/>
        </w:rPr>
        <w:t>é</w:t>
      </w:r>
      <w:r w:rsidR="00EB5163" w:rsidRPr="00E63F3C">
        <w:rPr>
          <w:color w:val="000000"/>
          <w:lang w:eastAsia="en-US"/>
        </w:rPr>
        <w:t>ho fondu alebo n</w:t>
      </w:r>
      <w:r w:rsidR="00EB5163" w:rsidRPr="00E63F3C">
        <w:rPr>
          <w:rFonts w:hint="eastAsia"/>
          <w:color w:val="000000"/>
          <w:lang w:eastAsia="en-US"/>
        </w:rPr>
        <w:t>á</w:t>
      </w:r>
      <w:r w:rsidR="00EB5163" w:rsidRPr="00E63F3C">
        <w:rPr>
          <w:color w:val="000000"/>
          <w:lang w:eastAsia="en-US"/>
        </w:rPr>
        <w:t xml:space="preserve">stroja </w:t>
      </w:r>
      <w:r w:rsidR="00EB5163">
        <w:rPr>
          <w:color w:val="000000"/>
          <w:lang w:eastAsia="en-US"/>
        </w:rPr>
        <w:t>E</w:t>
      </w:r>
      <w:r w:rsidR="00EB5163" w:rsidRPr="00E63F3C">
        <w:rPr>
          <w:rFonts w:hint="eastAsia"/>
          <w:color w:val="000000"/>
          <w:lang w:eastAsia="en-US"/>
        </w:rPr>
        <w:t>Ú</w:t>
      </w:r>
      <w:r w:rsidR="00EB5163" w:rsidRPr="00E63F3C">
        <w:rPr>
          <w:color w:val="000000"/>
          <w:lang w:eastAsia="en-US"/>
        </w:rPr>
        <w:t>, ani podpory z</w:t>
      </w:r>
      <w:r w:rsidR="00EB5163" w:rsidRPr="00E63F3C">
        <w:rPr>
          <w:rFonts w:hint="eastAsia"/>
          <w:color w:val="000000"/>
          <w:lang w:eastAsia="en-US"/>
        </w:rPr>
        <w:t> </w:t>
      </w:r>
      <w:r w:rsidR="00EB5163" w:rsidRPr="00E63F3C">
        <w:rPr>
          <w:color w:val="000000"/>
          <w:lang w:eastAsia="en-US"/>
        </w:rPr>
        <w:t>rovnak</w:t>
      </w:r>
      <w:r w:rsidR="00EB5163" w:rsidRPr="00E63F3C">
        <w:rPr>
          <w:rFonts w:hint="eastAsia"/>
          <w:color w:val="000000"/>
          <w:lang w:eastAsia="en-US"/>
        </w:rPr>
        <w:t>é</w:t>
      </w:r>
      <w:r w:rsidR="00EB5163" w:rsidRPr="00E63F3C">
        <w:rPr>
          <w:color w:val="000000"/>
          <w:lang w:eastAsia="en-US"/>
        </w:rPr>
        <w:t>ho fondu v</w:t>
      </w:r>
      <w:r w:rsidR="00EB5163" w:rsidRPr="00E63F3C">
        <w:rPr>
          <w:rFonts w:hint="eastAsia"/>
          <w:color w:val="000000"/>
          <w:lang w:eastAsia="en-US"/>
        </w:rPr>
        <w:t> </w:t>
      </w:r>
      <w:r w:rsidR="00EB5163" w:rsidRPr="00E63F3C">
        <w:rPr>
          <w:color w:val="000000"/>
          <w:lang w:eastAsia="en-US"/>
        </w:rPr>
        <w:t>r</w:t>
      </w:r>
      <w:r w:rsidR="00EB5163" w:rsidRPr="00E63F3C">
        <w:rPr>
          <w:rFonts w:hint="eastAsia"/>
          <w:color w:val="000000"/>
          <w:lang w:eastAsia="en-US"/>
        </w:rPr>
        <w:t>á</w:t>
      </w:r>
      <w:r w:rsidR="00EB5163" w:rsidRPr="00E63F3C">
        <w:rPr>
          <w:color w:val="000000"/>
          <w:lang w:eastAsia="en-US"/>
        </w:rPr>
        <w:t>mci in</w:t>
      </w:r>
      <w:r w:rsidR="00EB5163" w:rsidRPr="00E63F3C">
        <w:rPr>
          <w:rFonts w:hint="eastAsia"/>
          <w:color w:val="000000"/>
          <w:lang w:eastAsia="en-US"/>
        </w:rPr>
        <w:t>é</w:t>
      </w:r>
      <w:r w:rsidR="00EB5163" w:rsidRPr="00E63F3C">
        <w:rPr>
          <w:color w:val="000000"/>
          <w:lang w:eastAsia="en-US"/>
        </w:rPr>
        <w:t xml:space="preserve">ho </w:t>
      </w:r>
      <w:r w:rsidR="00EB5163">
        <w:rPr>
          <w:color w:val="000000"/>
          <w:lang w:eastAsia="en-US"/>
        </w:rPr>
        <w:t>OP</w:t>
      </w:r>
      <w:r w:rsidR="00EB5163" w:rsidRPr="00E63F3C">
        <w:rPr>
          <w:color w:val="000000"/>
          <w:lang w:eastAsia="en-US"/>
        </w:rPr>
        <w:t>. Suma v</w:t>
      </w:r>
      <w:r w:rsidR="00EB5163" w:rsidRPr="00E63F3C">
        <w:rPr>
          <w:rFonts w:hint="eastAsia"/>
          <w:color w:val="000000"/>
          <w:lang w:eastAsia="en-US"/>
        </w:rPr>
        <w:t>ý</w:t>
      </w:r>
      <w:r w:rsidR="00EB5163" w:rsidRPr="00E63F3C">
        <w:rPr>
          <w:color w:val="000000"/>
          <w:lang w:eastAsia="en-US"/>
        </w:rPr>
        <w:t>davkov, ktor</w:t>
      </w:r>
      <w:r w:rsidR="00EB5163" w:rsidRPr="00E63F3C">
        <w:rPr>
          <w:rFonts w:hint="eastAsia"/>
          <w:color w:val="000000"/>
          <w:lang w:eastAsia="en-US"/>
        </w:rPr>
        <w:t>á</w:t>
      </w:r>
      <w:r w:rsidR="00EB5163" w:rsidRPr="00E63F3C">
        <w:rPr>
          <w:color w:val="000000"/>
          <w:lang w:eastAsia="en-US"/>
        </w:rPr>
        <w:t xml:space="preserve"> sa m</w:t>
      </w:r>
      <w:r w:rsidR="00EB5163" w:rsidRPr="00E63F3C">
        <w:rPr>
          <w:rFonts w:hint="eastAsia"/>
          <w:color w:val="000000"/>
          <w:lang w:eastAsia="en-US"/>
        </w:rPr>
        <w:t>á</w:t>
      </w:r>
      <w:r w:rsidR="00EB5163" w:rsidRPr="00E63F3C">
        <w:rPr>
          <w:color w:val="000000"/>
          <w:lang w:eastAsia="en-US"/>
        </w:rPr>
        <w:t xml:space="preserve"> zahrn</w:t>
      </w:r>
      <w:r w:rsidR="00EB5163" w:rsidRPr="00E63F3C">
        <w:rPr>
          <w:rFonts w:hint="eastAsia"/>
          <w:color w:val="000000"/>
          <w:lang w:eastAsia="en-US"/>
        </w:rPr>
        <w:t>úť</w:t>
      </w:r>
      <w:r w:rsidR="00EB5163" w:rsidRPr="00E63F3C">
        <w:rPr>
          <w:color w:val="000000"/>
          <w:lang w:eastAsia="en-US"/>
        </w:rPr>
        <w:t xml:space="preserve"> do </w:t>
      </w:r>
      <w:r w:rsidR="00EB5163" w:rsidRPr="00E63F3C">
        <w:rPr>
          <w:rFonts w:hint="eastAsia"/>
          <w:color w:val="000000"/>
          <w:lang w:eastAsia="en-US"/>
        </w:rPr>
        <w:t>ž</w:t>
      </w:r>
      <w:r w:rsidR="00EB5163" w:rsidRPr="00E63F3C">
        <w:rPr>
          <w:color w:val="000000"/>
          <w:lang w:eastAsia="en-US"/>
        </w:rPr>
        <w:t>iadosti o</w:t>
      </w:r>
      <w:r w:rsidR="00EB5163" w:rsidRPr="00E63F3C">
        <w:rPr>
          <w:rFonts w:hint="eastAsia"/>
          <w:color w:val="000000"/>
          <w:lang w:eastAsia="en-US"/>
        </w:rPr>
        <w:t> </w:t>
      </w:r>
      <w:r w:rsidR="00EB5163" w:rsidRPr="00E63F3C">
        <w:rPr>
          <w:color w:val="000000"/>
          <w:lang w:eastAsia="en-US"/>
        </w:rPr>
        <w:t>platbu z</w:t>
      </w:r>
      <w:r w:rsidR="00EB5163" w:rsidRPr="00E63F3C">
        <w:rPr>
          <w:rFonts w:hint="eastAsia"/>
          <w:color w:val="000000"/>
          <w:lang w:eastAsia="en-US"/>
        </w:rPr>
        <w:t> </w:t>
      </w:r>
      <w:r w:rsidR="00EB5163" w:rsidRPr="00E63F3C">
        <w:rPr>
          <w:color w:val="000000"/>
          <w:lang w:eastAsia="en-US"/>
        </w:rPr>
        <w:t>E</w:t>
      </w:r>
      <w:r w:rsidR="00EB5163" w:rsidRPr="00E63F3C">
        <w:rPr>
          <w:rFonts w:hint="eastAsia"/>
          <w:color w:val="000000"/>
          <w:lang w:eastAsia="en-US"/>
        </w:rPr>
        <w:t>Š</w:t>
      </w:r>
      <w:r w:rsidR="00EB5163" w:rsidRPr="00E63F3C">
        <w:rPr>
          <w:color w:val="000000"/>
          <w:lang w:eastAsia="en-US"/>
        </w:rPr>
        <w:t>IF, sa m</w:t>
      </w:r>
      <w:r w:rsidR="00EB5163" w:rsidRPr="00E63F3C">
        <w:rPr>
          <w:rFonts w:hint="eastAsia"/>
          <w:color w:val="000000"/>
          <w:lang w:eastAsia="en-US"/>
        </w:rPr>
        <w:t>ôž</w:t>
      </w:r>
      <w:r w:rsidR="00EB5163" w:rsidRPr="00E63F3C">
        <w:rPr>
          <w:color w:val="000000"/>
          <w:lang w:eastAsia="en-US"/>
        </w:rPr>
        <w:t>e vypo</w:t>
      </w:r>
      <w:r w:rsidR="00EB5163" w:rsidRPr="00E63F3C">
        <w:rPr>
          <w:rFonts w:hint="eastAsia"/>
          <w:color w:val="000000"/>
          <w:lang w:eastAsia="en-US"/>
        </w:rPr>
        <w:t>čí</w:t>
      </w:r>
      <w:r w:rsidR="00EB5163" w:rsidRPr="00E63F3C">
        <w:rPr>
          <w:color w:val="000000"/>
          <w:lang w:eastAsia="en-US"/>
        </w:rPr>
        <w:t>ta</w:t>
      </w:r>
      <w:r w:rsidR="00EB5163" w:rsidRPr="00E63F3C">
        <w:rPr>
          <w:rFonts w:hint="eastAsia"/>
          <w:color w:val="000000"/>
          <w:lang w:eastAsia="en-US"/>
        </w:rPr>
        <w:t>ť</w:t>
      </w:r>
      <w:r w:rsidR="00EB5163" w:rsidRPr="00E63F3C">
        <w:rPr>
          <w:color w:val="000000"/>
          <w:lang w:eastAsia="en-US"/>
        </w:rPr>
        <w:t xml:space="preserve"> pre ka</w:t>
      </w:r>
      <w:r w:rsidR="00EB5163" w:rsidRPr="00E63F3C">
        <w:rPr>
          <w:rFonts w:hint="eastAsia"/>
          <w:color w:val="000000"/>
          <w:lang w:eastAsia="en-US"/>
        </w:rPr>
        <w:t>ž</w:t>
      </w:r>
      <w:r w:rsidR="00EB5163" w:rsidRPr="00E63F3C">
        <w:rPr>
          <w:color w:val="000000"/>
          <w:lang w:eastAsia="en-US"/>
        </w:rPr>
        <w:t>d</w:t>
      </w:r>
      <w:r w:rsidR="00EB5163" w:rsidRPr="00E63F3C">
        <w:rPr>
          <w:rFonts w:hint="eastAsia"/>
          <w:color w:val="000000"/>
          <w:lang w:eastAsia="en-US"/>
        </w:rPr>
        <w:t>ý</w:t>
      </w:r>
      <w:r w:rsidR="00EB5163" w:rsidRPr="00E63F3C">
        <w:rPr>
          <w:color w:val="000000"/>
          <w:lang w:eastAsia="en-US"/>
        </w:rPr>
        <w:t xml:space="preserve"> E</w:t>
      </w:r>
      <w:r w:rsidR="00EB5163" w:rsidRPr="00E63F3C">
        <w:rPr>
          <w:rFonts w:hint="eastAsia"/>
          <w:color w:val="000000"/>
          <w:lang w:eastAsia="en-US"/>
        </w:rPr>
        <w:t>Š</w:t>
      </w:r>
      <w:r w:rsidR="00EB5163" w:rsidRPr="00E63F3C">
        <w:rPr>
          <w:color w:val="000000"/>
          <w:lang w:eastAsia="en-US"/>
        </w:rPr>
        <w:t>IF a</w:t>
      </w:r>
      <w:r w:rsidR="00EB5163" w:rsidRPr="00E63F3C">
        <w:rPr>
          <w:rFonts w:hint="eastAsia"/>
          <w:color w:val="000000"/>
          <w:lang w:eastAsia="en-US"/>
        </w:rPr>
        <w:t> </w:t>
      </w:r>
      <w:r w:rsidR="00EB5163" w:rsidRPr="00E63F3C">
        <w:rPr>
          <w:color w:val="000000"/>
          <w:lang w:eastAsia="en-US"/>
        </w:rPr>
        <w:t>pre dotknut</w:t>
      </w:r>
      <w:r w:rsidR="00EB5163" w:rsidRPr="00E63F3C">
        <w:rPr>
          <w:rFonts w:hint="eastAsia"/>
          <w:color w:val="000000"/>
          <w:lang w:eastAsia="en-US"/>
        </w:rPr>
        <w:t>ý</w:t>
      </w:r>
      <w:r w:rsidR="00EB5163" w:rsidRPr="00E63F3C">
        <w:rPr>
          <w:color w:val="000000"/>
          <w:lang w:eastAsia="en-US"/>
        </w:rPr>
        <w:t xml:space="preserve"> </w:t>
      </w:r>
      <w:r w:rsidR="00EB5163">
        <w:rPr>
          <w:color w:val="000000"/>
          <w:lang w:eastAsia="en-US"/>
        </w:rPr>
        <w:t xml:space="preserve">operačný </w:t>
      </w:r>
      <w:r w:rsidR="00EB5163" w:rsidRPr="00E63F3C">
        <w:rPr>
          <w:color w:val="000000"/>
          <w:lang w:eastAsia="en-US"/>
        </w:rPr>
        <w:t>program alebo</w:t>
      </w:r>
      <w:r w:rsidR="00EB5163">
        <w:rPr>
          <w:color w:val="000000"/>
          <w:lang w:eastAsia="en-US"/>
        </w:rPr>
        <w:t xml:space="preserve"> operačné</w:t>
      </w:r>
      <w:r w:rsidR="00EB5163" w:rsidRPr="00E63F3C">
        <w:rPr>
          <w:color w:val="000000"/>
          <w:lang w:eastAsia="en-US"/>
        </w:rPr>
        <w:t xml:space="preserve"> programy na pomernom z</w:t>
      </w:r>
      <w:r w:rsidR="00EB5163" w:rsidRPr="00E63F3C">
        <w:rPr>
          <w:rFonts w:hint="eastAsia"/>
          <w:color w:val="000000"/>
          <w:lang w:eastAsia="en-US"/>
        </w:rPr>
        <w:t>á</w:t>
      </w:r>
      <w:r w:rsidR="00EB5163" w:rsidRPr="00E63F3C">
        <w:rPr>
          <w:color w:val="000000"/>
          <w:lang w:eastAsia="en-US"/>
        </w:rPr>
        <w:t>klade v</w:t>
      </w:r>
      <w:r w:rsidR="00EB5163" w:rsidRPr="00E63F3C">
        <w:rPr>
          <w:rFonts w:hint="eastAsia"/>
          <w:color w:val="000000"/>
          <w:lang w:eastAsia="en-US"/>
        </w:rPr>
        <w:t> </w:t>
      </w:r>
      <w:r w:rsidR="00EB5163" w:rsidRPr="00E63F3C">
        <w:rPr>
          <w:color w:val="000000"/>
          <w:lang w:eastAsia="en-US"/>
        </w:rPr>
        <w:t>s</w:t>
      </w:r>
      <w:r w:rsidR="00EB5163" w:rsidRPr="00E63F3C">
        <w:rPr>
          <w:rFonts w:hint="eastAsia"/>
          <w:color w:val="000000"/>
          <w:lang w:eastAsia="en-US"/>
        </w:rPr>
        <w:t>ú</w:t>
      </w:r>
      <w:r w:rsidR="00EB5163" w:rsidRPr="00E63F3C">
        <w:rPr>
          <w:color w:val="000000"/>
          <w:lang w:eastAsia="en-US"/>
        </w:rPr>
        <w:t>lade s</w:t>
      </w:r>
      <w:r w:rsidR="00EB5163" w:rsidRPr="00E63F3C">
        <w:rPr>
          <w:rFonts w:hint="eastAsia"/>
          <w:color w:val="000000"/>
          <w:lang w:eastAsia="en-US"/>
        </w:rPr>
        <w:t> </w:t>
      </w:r>
      <w:r w:rsidR="00EB5163" w:rsidRPr="00E63F3C">
        <w:rPr>
          <w:color w:val="000000"/>
          <w:lang w:eastAsia="en-US"/>
        </w:rPr>
        <w:t>dokumentom, v</w:t>
      </w:r>
      <w:r w:rsidR="00EB5163" w:rsidRPr="00E63F3C">
        <w:rPr>
          <w:rFonts w:hint="eastAsia"/>
          <w:color w:val="000000"/>
          <w:lang w:eastAsia="en-US"/>
        </w:rPr>
        <w:t> </w:t>
      </w:r>
      <w:r w:rsidR="00EB5163" w:rsidRPr="00E63F3C">
        <w:rPr>
          <w:color w:val="000000"/>
          <w:lang w:eastAsia="en-US"/>
        </w:rPr>
        <w:t>ktorom sa stanovuj</w:t>
      </w:r>
      <w:r w:rsidR="00EB5163" w:rsidRPr="00E63F3C">
        <w:rPr>
          <w:rFonts w:hint="eastAsia"/>
          <w:color w:val="000000"/>
          <w:lang w:eastAsia="en-US"/>
        </w:rPr>
        <w:t>ú</w:t>
      </w:r>
      <w:r w:rsidR="00EB5163" w:rsidRPr="00E63F3C">
        <w:rPr>
          <w:color w:val="000000"/>
          <w:lang w:eastAsia="en-US"/>
        </w:rPr>
        <w:t xml:space="preserve"> podmienky podpory</w:t>
      </w:r>
      <w:r>
        <w:t>.</w:t>
      </w:r>
    </w:p>
    <w:p w14:paraId="29076343" w14:textId="77777777" w:rsidR="004B7756" w:rsidRPr="005C05CC" w:rsidRDefault="004B7756" w:rsidP="00151681">
      <w:pPr>
        <w:pStyle w:val="Nadpis2"/>
        <w:spacing w:after="120" w:line="240" w:lineRule="auto"/>
        <w:rPr>
          <w:rFonts w:asciiTheme="minorHAnsi" w:hAnsiTheme="minorHAnsi"/>
        </w:rPr>
      </w:pPr>
      <w:bookmarkStart w:id="18" w:name="_Toc476655612"/>
      <w:bookmarkStart w:id="19" w:name="_Toc505197972"/>
      <w:bookmarkStart w:id="20" w:name="_Toc56090013"/>
      <w:r w:rsidRPr="005C05CC">
        <w:rPr>
          <w:rFonts w:asciiTheme="minorHAnsi" w:hAnsiTheme="minorHAnsi"/>
        </w:rPr>
        <w:t>2.3  Časová oprávnenosť výdavku</w:t>
      </w:r>
      <w:bookmarkEnd w:id="18"/>
      <w:bookmarkEnd w:id="19"/>
      <w:bookmarkEnd w:id="20"/>
    </w:p>
    <w:p w14:paraId="757CA96C" w14:textId="2ADAD114" w:rsidR="00557987" w:rsidRDefault="00557987" w:rsidP="00151681">
      <w:pPr>
        <w:spacing w:before="120" w:line="240" w:lineRule="auto"/>
        <w:jc w:val="both"/>
      </w:pPr>
      <w:r>
        <w:t xml:space="preserve">Pre </w:t>
      </w:r>
      <w:r w:rsidR="001C2C68">
        <w:t xml:space="preserve">programové obdobie 2014 – 2020 </w:t>
      </w:r>
      <w:r>
        <w:t xml:space="preserve"> z časového hľadiska oprávnený výdavkov musí skutočne vzniknúť a byť uhradený prijímateľom medzi 1. januárom 2014 a 31 decembrom 2023. </w:t>
      </w:r>
    </w:p>
    <w:p w14:paraId="248E92D2" w14:textId="3C8D632C" w:rsidR="00B419E2" w:rsidRDefault="004B7756" w:rsidP="00151681">
      <w:pPr>
        <w:spacing w:before="120" w:line="240" w:lineRule="auto"/>
        <w:jc w:val="both"/>
      </w:pPr>
      <w:r w:rsidRPr="00B5339F">
        <w:t>Výdav</w:t>
      </w:r>
      <w:r w:rsidR="00956FD1">
        <w:t>ky na projekt</w:t>
      </w:r>
      <w:r w:rsidR="00FD45A9">
        <w:t xml:space="preserve"> realizovaný v rámci ŠC 2.1.4 </w:t>
      </w:r>
      <w:r w:rsidR="00B419E2">
        <w:t>zameraný na podporu kapacít reakcie na krízu v kontexte epidé</w:t>
      </w:r>
      <w:r w:rsidR="00B419E2" w:rsidRPr="00FA0A4A">
        <w:t xml:space="preserve">mie COVID-19 sú oprávnené </w:t>
      </w:r>
      <w:r w:rsidR="00FC42BE" w:rsidRPr="00FA0A4A">
        <w:t>od</w:t>
      </w:r>
      <w:r w:rsidR="00B419E2" w:rsidRPr="00FA0A4A">
        <w:t xml:space="preserve"> 1. februára 2020 </w:t>
      </w:r>
      <w:r w:rsidR="00420F15" w:rsidRPr="00FA0A4A">
        <w:t>.</w:t>
      </w:r>
      <w:r w:rsidR="00FC42BE" w:rsidRPr="00FA0A4A">
        <w:t xml:space="preserve"> </w:t>
      </w:r>
    </w:p>
    <w:p w14:paraId="65C51DDD" w14:textId="2EDD957D" w:rsidR="00B047CA" w:rsidRDefault="003A188D" w:rsidP="00151681">
      <w:pPr>
        <w:spacing w:before="120" w:line="240" w:lineRule="auto"/>
        <w:jc w:val="both"/>
      </w:pPr>
      <w:r>
        <w:t xml:space="preserve">Odlišne od všeobecného pravidla podľa ktorého sa podpora z EŠIF neudelí na projekty, ktoré boli fyzicky ukončené alebo sa plne realizovali ešte pred predložením ŽoNFP bez ohľadu na to, či prijímateľ uhradil všetky súvisiace platby, v </w:t>
      </w:r>
      <w:r w:rsidR="00B419E2">
        <w:t> súlade s Investičnou iniciatívou v reakcii na koronavírus</w:t>
      </w:r>
      <w:r w:rsidR="006A5795">
        <w:t xml:space="preserve"> EK, </w:t>
      </w:r>
      <w:r w:rsidR="00B419E2">
        <w:t xml:space="preserve"> je </w:t>
      </w:r>
      <w:r>
        <w:t xml:space="preserve">v rámci ŠC 2.1.4 </w:t>
      </w:r>
      <w:r w:rsidR="00B419E2">
        <w:t xml:space="preserve">povolená oprávnenosť výdavkov </w:t>
      </w:r>
      <w:r w:rsidR="00B047CA">
        <w:t xml:space="preserve">aj </w:t>
      </w:r>
      <w:r w:rsidR="00B419E2">
        <w:t>už ukončených alebo plne implementovaných projektov v rámci tohto špecifického cieľa</w:t>
      </w:r>
      <w:r>
        <w:t xml:space="preserve"> ešte pred predložením a schválením žiadosti o NFP.</w:t>
      </w:r>
      <w:r w:rsidR="00B419E2">
        <w:t xml:space="preserve"> </w:t>
      </w:r>
    </w:p>
    <w:p w14:paraId="25F3D9FC" w14:textId="2C78035B" w:rsidR="00B419E2" w:rsidRPr="00D82E7F" w:rsidRDefault="00FA0A4A" w:rsidP="00151681">
      <w:pPr>
        <w:spacing w:before="120" w:line="240" w:lineRule="auto"/>
        <w:jc w:val="both"/>
      </w:pPr>
      <w:r>
        <w:t>Bližšia špecifikácia č</w:t>
      </w:r>
      <w:r w:rsidR="00B047CA">
        <w:t>asov</w:t>
      </w:r>
      <w:r>
        <w:t>ej</w:t>
      </w:r>
      <w:r w:rsidR="00B047CA">
        <w:t xml:space="preserve"> oprávnenos</w:t>
      </w:r>
      <w:r>
        <w:t>ti</w:t>
      </w:r>
      <w:r w:rsidR="00B047CA">
        <w:t xml:space="preserve"> výdavk</w:t>
      </w:r>
      <w:r>
        <w:t>ov</w:t>
      </w:r>
      <w:r w:rsidR="00B047CA">
        <w:t xml:space="preserve"> je vymedzená vo výzve na predkladanie ŽoNFP.</w:t>
      </w:r>
    </w:p>
    <w:p w14:paraId="1A6490A0" w14:textId="77777777" w:rsidR="004B7756" w:rsidRPr="005C05CC" w:rsidRDefault="004B7756" w:rsidP="00151681">
      <w:pPr>
        <w:pStyle w:val="Nadpis2"/>
        <w:spacing w:after="120" w:line="240" w:lineRule="auto"/>
        <w:rPr>
          <w:rFonts w:asciiTheme="minorHAnsi" w:hAnsiTheme="minorHAnsi"/>
        </w:rPr>
      </w:pPr>
      <w:bookmarkStart w:id="21" w:name="_Toc476655613"/>
      <w:bookmarkStart w:id="22" w:name="_Toc505197973"/>
      <w:bookmarkStart w:id="23" w:name="_Toc56090014"/>
      <w:r w:rsidRPr="005C05CC">
        <w:rPr>
          <w:rFonts w:asciiTheme="minorHAnsi" w:hAnsiTheme="minorHAnsi"/>
        </w:rPr>
        <w:t>2.4  Územná oprávnenosť výdavkov</w:t>
      </w:r>
      <w:bookmarkEnd w:id="21"/>
      <w:bookmarkEnd w:id="22"/>
      <w:bookmarkEnd w:id="23"/>
    </w:p>
    <w:p w14:paraId="1F0D0DCA" w14:textId="236FD4A8" w:rsidR="004B7756" w:rsidRPr="00B5339F" w:rsidRDefault="004B7756" w:rsidP="00151681">
      <w:pPr>
        <w:spacing w:before="120" w:line="240" w:lineRule="auto"/>
        <w:jc w:val="both"/>
      </w:pPr>
      <w:r w:rsidRPr="00B5339F">
        <w:t>Oprávnenosť miesta realizácie projektu je uvedená v</w:t>
      </w:r>
      <w:r w:rsidR="00C04242">
        <w:t>o výzve</w:t>
      </w:r>
      <w:r w:rsidR="00F62E30">
        <w:t>/vyzvaní</w:t>
      </w:r>
      <w:r w:rsidR="00C04242">
        <w:t xml:space="preserve">. </w:t>
      </w:r>
    </w:p>
    <w:p w14:paraId="52D6B2AF" w14:textId="77777777" w:rsidR="004B7756" w:rsidRPr="005C05CC" w:rsidRDefault="004B7756" w:rsidP="00151681">
      <w:pPr>
        <w:pStyle w:val="Nadpis2"/>
        <w:spacing w:after="120" w:line="240" w:lineRule="auto"/>
        <w:rPr>
          <w:rFonts w:asciiTheme="minorHAnsi" w:hAnsiTheme="minorHAnsi"/>
        </w:rPr>
      </w:pPr>
      <w:bookmarkStart w:id="24" w:name="_Toc476655614"/>
      <w:bookmarkStart w:id="25" w:name="_Toc505197974"/>
      <w:bookmarkStart w:id="26" w:name="_Toc56090015"/>
      <w:r w:rsidRPr="005C05CC">
        <w:rPr>
          <w:rFonts w:asciiTheme="minorHAnsi" w:hAnsiTheme="minorHAnsi"/>
        </w:rPr>
        <w:t>2.5  Neoprávnené výdavky</w:t>
      </w:r>
      <w:bookmarkEnd w:id="24"/>
      <w:bookmarkEnd w:id="25"/>
      <w:bookmarkEnd w:id="26"/>
    </w:p>
    <w:p w14:paraId="1191B52D" w14:textId="77777777" w:rsidR="004B7756" w:rsidRPr="00417FE6" w:rsidRDefault="004B7756" w:rsidP="00151681">
      <w:pPr>
        <w:spacing w:before="120" w:line="240" w:lineRule="auto"/>
        <w:jc w:val="both"/>
        <w:rPr>
          <w:u w:val="single"/>
        </w:rPr>
      </w:pPr>
      <w:r w:rsidRPr="00417FE6">
        <w:rPr>
          <w:u w:val="single"/>
        </w:rPr>
        <w:t xml:space="preserve">Na príspevok z </w:t>
      </w:r>
      <w:r w:rsidRPr="00417FE6">
        <w:rPr>
          <w:b/>
          <w:u w:val="single"/>
        </w:rPr>
        <w:t>EŠIF</w:t>
      </w:r>
      <w:r w:rsidRPr="00417FE6">
        <w:rPr>
          <w:u w:val="single"/>
        </w:rPr>
        <w:t xml:space="preserve"> nie sú vo všeobecnosti oprávnené tieto výdavky:</w:t>
      </w:r>
    </w:p>
    <w:p w14:paraId="1DE02B68" w14:textId="77777777" w:rsidR="004B7756" w:rsidRDefault="004B7756" w:rsidP="00151681">
      <w:pPr>
        <w:numPr>
          <w:ilvl w:val="0"/>
          <w:numId w:val="3"/>
        </w:numPr>
        <w:spacing w:before="120" w:line="240" w:lineRule="auto"/>
        <w:ind w:left="714" w:hanging="357"/>
        <w:jc w:val="both"/>
      </w:pPr>
      <w:r w:rsidRPr="00B5339F">
        <w:t xml:space="preserve">úroky z dlžných súm okrem grantov poskytnutých vo forme úrokových dotácií alebo dotácií záručných poplatkov; </w:t>
      </w:r>
    </w:p>
    <w:p w14:paraId="3BEE0721" w14:textId="77777777" w:rsidR="004B7756" w:rsidRDefault="004B7756" w:rsidP="00151681">
      <w:pPr>
        <w:numPr>
          <w:ilvl w:val="0"/>
          <w:numId w:val="3"/>
        </w:numPr>
        <w:spacing w:before="120" w:line="240" w:lineRule="auto"/>
        <w:ind w:left="714" w:hanging="357"/>
        <w:jc w:val="both"/>
      </w:pPr>
      <w:r w:rsidRPr="00B5339F">
        <w:t>kúpa nezastavaného a zastavaného pozemku vo výške presahujúcej 10% celkových oprávnených výdavkov na príslušný projekt. V prípade plôch, ktoré sa v minulosti používali na priemyselné účely a ktorých súčasťou sú budovy, obmedzenie zvyšuje na 15 %</w:t>
      </w:r>
      <w:r w:rsidR="00A13922">
        <w:t xml:space="preserve">. </w:t>
      </w:r>
      <w:r w:rsidR="00A13922" w:rsidRPr="00A13922">
        <w:rPr>
          <w:b/>
        </w:rPr>
        <w:t>V</w:t>
      </w:r>
      <w:r w:rsidRPr="00A13922">
        <w:rPr>
          <w:b/>
        </w:rPr>
        <w:t xml:space="preserve"> prípade ŠC </w:t>
      </w:r>
      <w:r w:rsidR="00461D6B" w:rsidRPr="00A13922">
        <w:rPr>
          <w:b/>
        </w:rPr>
        <w:t>2.1.</w:t>
      </w:r>
      <w:r w:rsidR="005E52E9">
        <w:rPr>
          <w:b/>
        </w:rPr>
        <w:t>4</w:t>
      </w:r>
      <w:r w:rsidR="002A0D1D" w:rsidRPr="00A13922">
        <w:rPr>
          <w:b/>
        </w:rPr>
        <w:t xml:space="preserve"> </w:t>
      </w:r>
      <w:r w:rsidRPr="00A13922">
        <w:rPr>
          <w:b/>
        </w:rPr>
        <w:t>sú výdavky na kúpu nezastavaného/zastavaného pozemku neoprávnené</w:t>
      </w:r>
      <w:r w:rsidRPr="00B5339F">
        <w:t xml:space="preserve">; </w:t>
      </w:r>
    </w:p>
    <w:p w14:paraId="3594485E" w14:textId="77777777" w:rsidR="004B7756" w:rsidRDefault="004B7756" w:rsidP="00151681">
      <w:pPr>
        <w:numPr>
          <w:ilvl w:val="0"/>
          <w:numId w:val="3"/>
        </w:numPr>
        <w:spacing w:before="120" w:line="240" w:lineRule="auto"/>
        <w:jc w:val="both"/>
      </w:pPr>
      <w:r w:rsidRPr="00B5339F">
        <w:t xml:space="preserve">DPH okrem prípadov, kedy nie je možné nárokovať jej odpočet podľa platnej legislatívy SR. </w:t>
      </w:r>
    </w:p>
    <w:p w14:paraId="347D686E" w14:textId="7BCBD1F5" w:rsidR="004B7756" w:rsidRPr="00417FE6" w:rsidRDefault="009B072F" w:rsidP="003A348E">
      <w:pPr>
        <w:spacing w:before="240" w:line="240" w:lineRule="auto"/>
        <w:jc w:val="both"/>
        <w:rPr>
          <w:u w:val="single"/>
        </w:rPr>
      </w:pPr>
      <w:r>
        <w:rPr>
          <w:u w:val="single"/>
        </w:rPr>
        <w:t xml:space="preserve">V súlade s článkom 3, ods. 3 nariadenia o </w:t>
      </w:r>
      <w:r w:rsidR="004B7756" w:rsidRPr="00417FE6">
        <w:rPr>
          <w:b/>
          <w:u w:val="single"/>
        </w:rPr>
        <w:t>EFRR</w:t>
      </w:r>
      <w:r w:rsidR="004B7756" w:rsidRPr="00417FE6">
        <w:rPr>
          <w:u w:val="single"/>
        </w:rPr>
        <w:t xml:space="preserve"> sa nepodporujú: </w:t>
      </w:r>
    </w:p>
    <w:p w14:paraId="4A1C169B" w14:textId="77777777" w:rsidR="004B7756" w:rsidRDefault="004B7756" w:rsidP="00151681">
      <w:pPr>
        <w:numPr>
          <w:ilvl w:val="0"/>
          <w:numId w:val="4"/>
        </w:numPr>
        <w:spacing w:before="120" w:line="240" w:lineRule="auto"/>
        <w:ind w:left="714" w:hanging="357"/>
        <w:jc w:val="both"/>
      </w:pPr>
      <w:r w:rsidRPr="00B5339F">
        <w:t>investície, ktorých cieľom je zníženie emisií skleníkových plynov z činností uvedených v</w:t>
      </w:r>
      <w:r w:rsidR="00C42023">
        <w:t> </w:t>
      </w:r>
      <w:r w:rsidRPr="00B5339F">
        <w:t xml:space="preserve">prílohe 1 k smernici 2003/87/ES ; </w:t>
      </w:r>
    </w:p>
    <w:p w14:paraId="329C1F90" w14:textId="4EA7E015" w:rsidR="004B7756" w:rsidRDefault="004B7756" w:rsidP="00205F9F">
      <w:pPr>
        <w:numPr>
          <w:ilvl w:val="0"/>
          <w:numId w:val="4"/>
        </w:numPr>
        <w:spacing w:before="120" w:line="240" w:lineRule="auto"/>
        <w:jc w:val="both"/>
      </w:pPr>
      <w:r w:rsidRPr="00AD50E1">
        <w:t>podniky v ťažkostiach vymedzené v právnych predpisoch</w:t>
      </w:r>
      <w:r w:rsidRPr="00B5339F">
        <w:t xml:space="preserve"> EÚ o štátnej pomoci</w:t>
      </w:r>
      <w:r w:rsidR="009B072F">
        <w:t>; podniky, ktoré sú prijímateľmi podpory v súlade s dočasným rámcom pre opatrenia štátnej pomoci</w:t>
      </w:r>
      <w:r w:rsidR="004C3D8A">
        <w:rPr>
          <w:rStyle w:val="Odkaznapoznmkupodiarou"/>
        </w:rPr>
        <w:footnoteReference w:id="15"/>
      </w:r>
      <w:r w:rsidR="009B072F">
        <w:t xml:space="preserve"> alebo s nariadením Komisie (EÚ) č. 1407/2013 o uplatňovaní článkov 107 a 108 Zmluvy o fungovaní európskej únie na pomoc de minimis</w:t>
      </w:r>
      <w:r w:rsidR="006A5795">
        <w:t xml:space="preserve"> sa na účely tohto bodu nepovažujú za podniky v ťažkostiach;</w:t>
      </w:r>
    </w:p>
    <w:p w14:paraId="2A739654" w14:textId="77777777" w:rsidR="004B7756" w:rsidRPr="00B5339F" w:rsidRDefault="004B7756" w:rsidP="00151681">
      <w:pPr>
        <w:numPr>
          <w:ilvl w:val="0"/>
          <w:numId w:val="4"/>
        </w:numPr>
        <w:spacing w:before="120" w:line="240" w:lineRule="auto"/>
        <w:jc w:val="both"/>
      </w:pPr>
      <w:r w:rsidRPr="00B5339F">
        <w:lastRenderedPageBreak/>
        <w:t>investície do infraštruktúry letísk pokiaľ nesúvisia s ochranou životného prostredia alebo nie sú sprevádzané nevyhnutnými investíciami na zmiernenie alebo zníženie negatívneho vplyvu na životné prostredie</w:t>
      </w:r>
      <w:r>
        <w:t xml:space="preserve"> (patria sem aj výdavky spojené s budovaním/rekonštrukciou heliportov)</w:t>
      </w:r>
      <w:r w:rsidRPr="00B5339F">
        <w:t xml:space="preserve">. </w:t>
      </w:r>
    </w:p>
    <w:p w14:paraId="554BB349" w14:textId="77777777" w:rsidR="00956FD1" w:rsidRDefault="00956FD1" w:rsidP="00151681">
      <w:pPr>
        <w:spacing w:before="120" w:line="240" w:lineRule="auto"/>
        <w:jc w:val="both"/>
        <w:rPr>
          <w:b/>
        </w:rPr>
      </w:pPr>
    </w:p>
    <w:p w14:paraId="4D155AA3" w14:textId="23999090" w:rsidR="004B7756" w:rsidRPr="009626F5" w:rsidRDefault="004B7756" w:rsidP="00151681">
      <w:pPr>
        <w:spacing w:before="120" w:line="240" w:lineRule="auto"/>
        <w:jc w:val="both"/>
        <w:rPr>
          <w:b/>
        </w:rPr>
      </w:pPr>
      <w:r w:rsidRPr="009626F5">
        <w:rPr>
          <w:b/>
        </w:rPr>
        <w:t xml:space="preserve">Neoprávnené výdavky uvedené v tomto odseku bude poskytovateľ </w:t>
      </w:r>
      <w:r w:rsidRPr="009626F5">
        <w:rPr>
          <w:b/>
          <w:u w:val="single"/>
        </w:rPr>
        <w:t>vždy</w:t>
      </w:r>
      <w:r w:rsidRPr="009626F5">
        <w:rPr>
          <w:b/>
        </w:rPr>
        <w:t xml:space="preserve"> považovať za neoprávnené bez ohľadu na ich vzťah k cieľom a charakteru projektu.</w:t>
      </w:r>
    </w:p>
    <w:p w14:paraId="3110099B" w14:textId="77777777" w:rsidR="004B7756" w:rsidRPr="009626F5" w:rsidRDefault="004B7756" w:rsidP="00151681">
      <w:pPr>
        <w:spacing w:after="60" w:line="240" w:lineRule="auto"/>
        <w:jc w:val="both"/>
        <w:rPr>
          <w:b/>
          <w:u w:val="single"/>
        </w:rPr>
      </w:pPr>
      <w:r w:rsidRPr="009626F5">
        <w:rPr>
          <w:b/>
          <w:u w:val="single"/>
        </w:rPr>
        <w:t>Vo všeobecnosti sa za neoprávnené považujú nasledovné výdavky:</w:t>
      </w:r>
    </w:p>
    <w:p w14:paraId="4F4D4DC2" w14:textId="77777777" w:rsidR="004B7756" w:rsidRDefault="004B7756" w:rsidP="00151681">
      <w:pPr>
        <w:numPr>
          <w:ilvl w:val="0"/>
          <w:numId w:val="5"/>
        </w:numPr>
        <w:spacing w:after="60" w:line="240" w:lineRule="auto"/>
        <w:ind w:left="426" w:hanging="357"/>
        <w:jc w:val="both"/>
      </w:pPr>
      <w:r w:rsidRPr="00B5339F">
        <w:t xml:space="preserve">výdavky, ktoré nespĺňajú kritériá vecnej oprávnenosti, časovej oprávnenosti a územnej oprávnenosti; </w:t>
      </w:r>
    </w:p>
    <w:p w14:paraId="63ACEC22" w14:textId="77777777" w:rsidR="004B7756" w:rsidRDefault="004B7756" w:rsidP="00151681">
      <w:pPr>
        <w:numPr>
          <w:ilvl w:val="0"/>
          <w:numId w:val="5"/>
        </w:numPr>
        <w:spacing w:after="60" w:line="240" w:lineRule="auto"/>
        <w:ind w:left="426" w:hanging="357"/>
        <w:jc w:val="both"/>
      </w:pPr>
      <w:r w:rsidRPr="00B5339F">
        <w:t xml:space="preserve">výdavky, ktoré nie je možné zaradiť medzi oprávnené v zmysle číselníka oprávnených výdavkov; </w:t>
      </w:r>
    </w:p>
    <w:p w14:paraId="7BEBBA53" w14:textId="77777777" w:rsidR="004B7756" w:rsidRDefault="004B7756" w:rsidP="00151681">
      <w:pPr>
        <w:numPr>
          <w:ilvl w:val="0"/>
          <w:numId w:val="5"/>
        </w:numPr>
        <w:spacing w:after="60" w:line="240" w:lineRule="auto"/>
        <w:ind w:left="426" w:hanging="357"/>
        <w:jc w:val="both"/>
      </w:pPr>
      <w:r w:rsidRPr="00B5339F">
        <w:t xml:space="preserve">výdavky, ktoré nespĺňajú kritériá hospodárnosti, efektívnosti, účelnosti a účinnosti; </w:t>
      </w:r>
    </w:p>
    <w:p w14:paraId="1D580A86" w14:textId="0A706EB4" w:rsidR="004B7756" w:rsidRDefault="004B7756" w:rsidP="00151681">
      <w:pPr>
        <w:numPr>
          <w:ilvl w:val="0"/>
          <w:numId w:val="5"/>
        </w:numPr>
        <w:spacing w:after="60" w:line="240" w:lineRule="auto"/>
        <w:ind w:left="426" w:hanging="357"/>
        <w:jc w:val="both"/>
      </w:pPr>
      <w:r w:rsidRPr="00B5339F">
        <w:t xml:space="preserve">výdavky, ktoré neboli obstarané v zmysle ZVO (vzťahuje sa na výdavky, ktoré budú realizované dodávateľsky </w:t>
      </w:r>
      <w:r w:rsidR="00134199">
        <w:t xml:space="preserve">- </w:t>
      </w:r>
      <w:r w:rsidRPr="00B5339F">
        <w:t>uskutočnenie stavebných prác, dodanie tovarov, poskytnutie služieb, atď.)</w:t>
      </w:r>
      <w:r w:rsidR="006229E8">
        <w:t xml:space="preserve"> alebo iného právneho predpisu</w:t>
      </w:r>
      <w:r w:rsidRPr="00B5339F">
        <w:t xml:space="preserve">; </w:t>
      </w:r>
    </w:p>
    <w:p w14:paraId="559880A2" w14:textId="77777777" w:rsidR="004B7756" w:rsidRDefault="004B7756" w:rsidP="00151681">
      <w:pPr>
        <w:numPr>
          <w:ilvl w:val="0"/>
          <w:numId w:val="5"/>
        </w:numPr>
        <w:spacing w:after="60" w:line="240" w:lineRule="auto"/>
        <w:ind w:left="426" w:hanging="357"/>
        <w:jc w:val="both"/>
      </w:pPr>
      <w:r w:rsidRPr="00B5339F">
        <w:t xml:space="preserve">hotovostné platby zahŕňajúce výdavky na obstaranie dlhodobého hmotného a nehmotného majetku, vrátane výdavkov súvisiacich s obstaraním tohto majetku; </w:t>
      </w:r>
    </w:p>
    <w:p w14:paraId="568BAB67" w14:textId="77777777" w:rsidR="004B7756" w:rsidRDefault="004B7756" w:rsidP="00151681">
      <w:pPr>
        <w:numPr>
          <w:ilvl w:val="0"/>
          <w:numId w:val="5"/>
        </w:numPr>
        <w:spacing w:after="60" w:line="240" w:lineRule="auto"/>
        <w:ind w:left="426" w:hanging="357"/>
        <w:jc w:val="both"/>
      </w:pPr>
      <w:r w:rsidRPr="00B5339F">
        <w:t xml:space="preserve">výdavky hradené v hotovosti, pri ktorej hodnota úhrady prevyšuje 5 000 </w:t>
      </w:r>
      <w:r w:rsidR="003F14D0">
        <w:t>eur</w:t>
      </w:r>
      <w:r w:rsidRPr="00B5339F">
        <w:t xml:space="preserve">; </w:t>
      </w:r>
    </w:p>
    <w:p w14:paraId="473B857B" w14:textId="77777777" w:rsidR="004B7756" w:rsidRDefault="004B7756" w:rsidP="00151681">
      <w:pPr>
        <w:numPr>
          <w:ilvl w:val="0"/>
          <w:numId w:val="5"/>
        </w:numPr>
        <w:spacing w:after="60" w:line="240" w:lineRule="auto"/>
        <w:ind w:left="426" w:hanging="357"/>
        <w:jc w:val="both"/>
      </w:pPr>
      <w:r w:rsidRPr="00B5339F">
        <w:t xml:space="preserve">akákoľvek časť výdavkov, ktorou by sa prekročila maximálna intenzita pomoci, alebo stanovené finančné limity a benchmarky; </w:t>
      </w:r>
    </w:p>
    <w:p w14:paraId="517C8B36" w14:textId="66DFB9B5" w:rsidR="004B7756" w:rsidRDefault="004B7756" w:rsidP="00151681">
      <w:pPr>
        <w:numPr>
          <w:ilvl w:val="0"/>
          <w:numId w:val="5"/>
        </w:numPr>
        <w:spacing w:after="60" w:line="240" w:lineRule="auto"/>
        <w:ind w:left="426" w:hanging="357"/>
        <w:jc w:val="both"/>
      </w:pPr>
      <w:r w:rsidRPr="00B5339F">
        <w:t>nákup pozemkov vo výške nad 10% celkových oprávnených výdavkov projektu (alebo pri nedodržaní kumulatívneho percentuálneho limitu na nákup nehnuteľností v rámci projektu), resp. nad 15% v prípade plôch, ktoré sa v minulosti používali na priemyselné účely a ktorých súčasťou sú budovy</w:t>
      </w:r>
      <w:r w:rsidRPr="00A13922">
        <w:t>;</w:t>
      </w:r>
      <w:r w:rsidRPr="00B5339F">
        <w:t xml:space="preserve"> </w:t>
      </w:r>
    </w:p>
    <w:p w14:paraId="31F5740E" w14:textId="77777777" w:rsidR="004B7756" w:rsidRDefault="004B7756" w:rsidP="00151681">
      <w:pPr>
        <w:numPr>
          <w:ilvl w:val="0"/>
          <w:numId w:val="5"/>
        </w:numPr>
        <w:spacing w:after="60" w:line="240" w:lineRule="auto"/>
        <w:ind w:left="426" w:hanging="357"/>
        <w:jc w:val="both"/>
      </w:pPr>
      <w:r w:rsidRPr="00B5339F">
        <w:t xml:space="preserve">výdavky na opravu a údržbu; </w:t>
      </w:r>
    </w:p>
    <w:p w14:paraId="307203F8" w14:textId="77777777" w:rsidR="004B7756" w:rsidRDefault="004B7756" w:rsidP="00151681">
      <w:pPr>
        <w:numPr>
          <w:ilvl w:val="0"/>
          <w:numId w:val="5"/>
        </w:numPr>
        <w:spacing w:after="60" w:line="240" w:lineRule="auto"/>
        <w:ind w:left="426" w:hanging="357"/>
        <w:jc w:val="both"/>
      </w:pPr>
      <w:r w:rsidRPr="00B5339F">
        <w:t>pravidelné obnovovacie investície súvisiace s výmenou strojov, prístrojov, zariadení a</w:t>
      </w:r>
      <w:r w:rsidR="00C42023">
        <w:t> </w:t>
      </w:r>
      <w:r w:rsidRPr="00B5339F">
        <w:t xml:space="preserve">technológií; </w:t>
      </w:r>
    </w:p>
    <w:p w14:paraId="210F147E" w14:textId="77777777" w:rsidR="004B7756" w:rsidRDefault="004B7756" w:rsidP="00151681">
      <w:pPr>
        <w:numPr>
          <w:ilvl w:val="0"/>
          <w:numId w:val="5"/>
        </w:numPr>
        <w:spacing w:after="60" w:line="240" w:lineRule="auto"/>
        <w:ind w:left="426" w:hanging="357"/>
        <w:jc w:val="both"/>
      </w:pPr>
      <w:r w:rsidRPr="00B5339F">
        <w:t>revízie a kontroly zariadení, technické prehliadky, funkčné skúšky, garančné a emisné merania</w:t>
      </w:r>
      <w:r w:rsidR="003F14D0">
        <w:t>,</w:t>
      </w:r>
      <w:r w:rsidRPr="00B5339F">
        <w:t xml:space="preserve"> ak nie sú súčasťou zmluvy o dielo, ale sú obstarávané samostatne; </w:t>
      </w:r>
    </w:p>
    <w:p w14:paraId="5A91DF9E" w14:textId="77777777" w:rsidR="004B7756" w:rsidRDefault="004B7756" w:rsidP="00151681">
      <w:pPr>
        <w:numPr>
          <w:ilvl w:val="0"/>
          <w:numId w:val="5"/>
        </w:numPr>
        <w:spacing w:after="60" w:line="240" w:lineRule="auto"/>
        <w:ind w:left="426" w:hanging="357"/>
        <w:jc w:val="both"/>
      </w:pPr>
      <w:r w:rsidRPr="00B5339F">
        <w:t xml:space="preserve">vedľajšie rozpočtové náklady (VRN) okrem výdavkov na zriadenia staveniska; </w:t>
      </w:r>
    </w:p>
    <w:p w14:paraId="293C92EE" w14:textId="77777777" w:rsidR="004B7756" w:rsidRDefault="004B7756" w:rsidP="00151681">
      <w:pPr>
        <w:numPr>
          <w:ilvl w:val="0"/>
          <w:numId w:val="5"/>
        </w:numPr>
        <w:spacing w:after="60" w:line="240" w:lineRule="auto"/>
        <w:ind w:left="426" w:hanging="357"/>
        <w:jc w:val="both"/>
      </w:pPr>
      <w:r w:rsidRPr="00B5339F">
        <w:t xml:space="preserve">rezerva na nepredvídateľné výdavky súvisiace s nadobudnutím technologických a technických zariadení; </w:t>
      </w:r>
    </w:p>
    <w:p w14:paraId="13DD88D5" w14:textId="77777777" w:rsidR="004B7756" w:rsidRDefault="004B7756" w:rsidP="00151681">
      <w:pPr>
        <w:numPr>
          <w:ilvl w:val="0"/>
          <w:numId w:val="5"/>
        </w:numPr>
        <w:spacing w:after="60" w:line="240" w:lineRule="auto"/>
        <w:ind w:left="426" w:hanging="357"/>
        <w:jc w:val="both"/>
      </w:pPr>
      <w:r w:rsidRPr="00B5339F">
        <w:t xml:space="preserve">štúdie, ktoré vedú k vypracovaniu štátnej expertízy; </w:t>
      </w:r>
    </w:p>
    <w:p w14:paraId="34D71B16" w14:textId="77777777" w:rsidR="004B7756" w:rsidRDefault="004B7756" w:rsidP="00151681">
      <w:pPr>
        <w:numPr>
          <w:ilvl w:val="0"/>
          <w:numId w:val="5"/>
        </w:numPr>
        <w:spacing w:after="60" w:line="240" w:lineRule="auto"/>
        <w:ind w:left="426" w:hanging="357"/>
        <w:jc w:val="both"/>
      </w:pPr>
      <w:r w:rsidRPr="00B5339F">
        <w:t xml:space="preserve">akreditácie, reakreditácie; </w:t>
      </w:r>
    </w:p>
    <w:p w14:paraId="3B36EE50" w14:textId="77777777" w:rsidR="004B7756" w:rsidRDefault="004B7756" w:rsidP="00151681">
      <w:pPr>
        <w:numPr>
          <w:ilvl w:val="0"/>
          <w:numId w:val="5"/>
        </w:numPr>
        <w:spacing w:after="60" w:line="240" w:lineRule="auto"/>
        <w:ind w:left="426" w:hanging="357"/>
        <w:jc w:val="both"/>
      </w:pPr>
      <w:r w:rsidRPr="00B5339F">
        <w:t xml:space="preserve">prevádzkové výdavky bezprostredne súvisiace s realizáciou hlavných aktivít projektu (napr. výdavky na energie, vodné a stočné, pohonné hmoty a iné); </w:t>
      </w:r>
    </w:p>
    <w:p w14:paraId="45614C4D" w14:textId="77777777" w:rsidR="004B7756" w:rsidRDefault="004B7756" w:rsidP="00151681">
      <w:pPr>
        <w:numPr>
          <w:ilvl w:val="0"/>
          <w:numId w:val="5"/>
        </w:numPr>
        <w:spacing w:after="60" w:line="240" w:lineRule="auto"/>
        <w:ind w:left="426" w:hanging="357"/>
        <w:jc w:val="both"/>
      </w:pPr>
      <w:r w:rsidRPr="00B5339F">
        <w:t>prevádzkové výdavky súvisiace s riadením projektu (režijné výdavky ako napr. výdavky na</w:t>
      </w:r>
      <w:r w:rsidR="00C42023">
        <w:t> </w:t>
      </w:r>
      <w:r w:rsidRPr="00B5339F">
        <w:t xml:space="preserve">telefón, fax, internet, občerstvenie, nákup spotrebného materiálu a tovaru pre riadenie projektu); </w:t>
      </w:r>
    </w:p>
    <w:p w14:paraId="40B90CA0" w14:textId="77777777" w:rsidR="004B7756" w:rsidRDefault="004B7756" w:rsidP="00151681">
      <w:pPr>
        <w:numPr>
          <w:ilvl w:val="0"/>
          <w:numId w:val="5"/>
        </w:numPr>
        <w:spacing w:after="60" w:line="240" w:lineRule="auto"/>
        <w:ind w:left="426" w:hanging="357"/>
        <w:jc w:val="both"/>
      </w:pPr>
      <w:r w:rsidRPr="00B5339F">
        <w:t>správne poplatky, ktoré nie sú pre realizáciu projektu nevyhnutné a nemajú priamu väzbu na</w:t>
      </w:r>
      <w:r w:rsidR="00C42023">
        <w:t> </w:t>
      </w:r>
      <w:r w:rsidRPr="00B5339F">
        <w:t xml:space="preserve">projekt; </w:t>
      </w:r>
    </w:p>
    <w:p w14:paraId="16262A1F" w14:textId="77777777" w:rsidR="004B7756" w:rsidRDefault="004B7756" w:rsidP="00151681">
      <w:pPr>
        <w:numPr>
          <w:ilvl w:val="0"/>
          <w:numId w:val="5"/>
        </w:numPr>
        <w:spacing w:after="60" w:line="240" w:lineRule="auto"/>
        <w:ind w:left="426" w:hanging="357"/>
        <w:jc w:val="both"/>
      </w:pPr>
      <w:r w:rsidRPr="00B5339F">
        <w:t xml:space="preserve">výdavky na poistenie majetku nadobudnutého v súvislosti s realizáciou projektu; </w:t>
      </w:r>
    </w:p>
    <w:p w14:paraId="512AB27D" w14:textId="77777777" w:rsidR="004B7756" w:rsidRDefault="004B7756" w:rsidP="00151681">
      <w:pPr>
        <w:numPr>
          <w:ilvl w:val="0"/>
          <w:numId w:val="5"/>
        </w:numPr>
        <w:spacing w:after="60" w:line="240" w:lineRule="auto"/>
        <w:ind w:left="426" w:hanging="357"/>
        <w:jc w:val="both"/>
      </w:pPr>
      <w:r w:rsidRPr="00B5339F">
        <w:t xml:space="preserve">poplatky za zriadenie a vedenie bankového účtu v súvislosti s realizáciou projektu; </w:t>
      </w:r>
    </w:p>
    <w:p w14:paraId="6E0E4D55" w14:textId="77777777" w:rsidR="004B7756" w:rsidRDefault="004B7756" w:rsidP="00151681">
      <w:pPr>
        <w:numPr>
          <w:ilvl w:val="0"/>
          <w:numId w:val="5"/>
        </w:numPr>
        <w:spacing w:after="60" w:line="240" w:lineRule="auto"/>
        <w:ind w:left="426" w:hanging="357"/>
        <w:jc w:val="both"/>
      </w:pPr>
      <w:r w:rsidRPr="00B5339F">
        <w:t xml:space="preserve">bankové poplatky; </w:t>
      </w:r>
    </w:p>
    <w:p w14:paraId="35B9B39C" w14:textId="77777777" w:rsidR="004B7756" w:rsidRDefault="004B7756" w:rsidP="00151681">
      <w:pPr>
        <w:numPr>
          <w:ilvl w:val="0"/>
          <w:numId w:val="5"/>
        </w:numPr>
        <w:spacing w:after="60" w:line="240" w:lineRule="auto"/>
        <w:ind w:left="426" w:hanging="357"/>
        <w:jc w:val="both"/>
      </w:pPr>
      <w:r w:rsidRPr="00B5339F">
        <w:t xml:space="preserve">daňové poplatky a dovozné prirážky; </w:t>
      </w:r>
    </w:p>
    <w:p w14:paraId="302C39B8" w14:textId="77777777" w:rsidR="004B7756" w:rsidRDefault="004B7756" w:rsidP="00151681">
      <w:pPr>
        <w:numPr>
          <w:ilvl w:val="0"/>
          <w:numId w:val="5"/>
        </w:numPr>
        <w:spacing w:after="60" w:line="240" w:lineRule="auto"/>
        <w:ind w:left="426" w:hanging="357"/>
        <w:jc w:val="both"/>
      </w:pPr>
      <w:r w:rsidRPr="00B5339F">
        <w:t xml:space="preserve">poplatky za poštovné a telekomunikačné služby; </w:t>
      </w:r>
    </w:p>
    <w:p w14:paraId="2BAF1DB7" w14:textId="77777777" w:rsidR="004B7756" w:rsidRDefault="004B7756" w:rsidP="00151681">
      <w:pPr>
        <w:numPr>
          <w:ilvl w:val="0"/>
          <w:numId w:val="5"/>
        </w:numPr>
        <w:spacing w:after="60" w:line="240" w:lineRule="auto"/>
        <w:ind w:left="426" w:hanging="357"/>
        <w:jc w:val="both"/>
      </w:pPr>
      <w:r w:rsidRPr="00B5339F">
        <w:t xml:space="preserve">výdavky na nákup použitého zariadenia; </w:t>
      </w:r>
    </w:p>
    <w:p w14:paraId="7813AF19" w14:textId="77777777" w:rsidR="004B7756" w:rsidRDefault="004B7756" w:rsidP="00151681">
      <w:pPr>
        <w:numPr>
          <w:ilvl w:val="0"/>
          <w:numId w:val="5"/>
        </w:numPr>
        <w:spacing w:after="60" w:line="240" w:lineRule="auto"/>
        <w:ind w:left="426" w:hanging="357"/>
        <w:jc w:val="both"/>
      </w:pPr>
      <w:r w:rsidRPr="00B5339F">
        <w:t xml:space="preserve">výdavky na právne služby prijímateľa voči poskytovateľovi (napr. žaloba, vypracovanie stanoviska); </w:t>
      </w:r>
    </w:p>
    <w:p w14:paraId="26314613" w14:textId="77777777" w:rsidR="004B7756" w:rsidRDefault="004B7756" w:rsidP="00151681">
      <w:pPr>
        <w:numPr>
          <w:ilvl w:val="0"/>
          <w:numId w:val="5"/>
        </w:numPr>
        <w:spacing w:after="60" w:line="240" w:lineRule="auto"/>
        <w:ind w:left="426" w:hanging="357"/>
        <w:jc w:val="both"/>
      </w:pPr>
      <w:r w:rsidRPr="00B5339F">
        <w:lastRenderedPageBreak/>
        <w:t>sankčné poplatky, pokuty</w:t>
      </w:r>
      <w:r>
        <w:rPr>
          <w:rStyle w:val="Odkaznapoznmkupodiarou"/>
        </w:rPr>
        <w:footnoteReference w:id="16"/>
      </w:r>
      <w:r w:rsidRPr="00B5339F">
        <w:t xml:space="preserve"> a penále, prípadne ďalšie sankčné výdavky, či už dohodnuté v</w:t>
      </w:r>
      <w:r w:rsidR="00C42023">
        <w:t> </w:t>
      </w:r>
      <w:r w:rsidRPr="00B5339F">
        <w:t xml:space="preserve">zmluvách alebo vzniknuté z iných príčin; </w:t>
      </w:r>
    </w:p>
    <w:p w14:paraId="4B5A0145" w14:textId="77777777" w:rsidR="004B7756" w:rsidRDefault="004B7756" w:rsidP="00151681">
      <w:pPr>
        <w:numPr>
          <w:ilvl w:val="0"/>
          <w:numId w:val="5"/>
        </w:numPr>
        <w:spacing w:after="60" w:line="240" w:lineRule="auto"/>
        <w:ind w:left="426" w:hanging="357"/>
        <w:jc w:val="both"/>
      </w:pPr>
      <w:r w:rsidRPr="00B5339F">
        <w:t>manká, škody (napr. škody spôsobené počas výst</w:t>
      </w:r>
      <w:r>
        <w:t>avby na cudzom majetku) a dlhy;</w:t>
      </w:r>
    </w:p>
    <w:p w14:paraId="56EFA103" w14:textId="77777777" w:rsidR="004B7756" w:rsidRDefault="004B7756" w:rsidP="00151681">
      <w:pPr>
        <w:numPr>
          <w:ilvl w:val="0"/>
          <w:numId w:val="5"/>
        </w:numPr>
        <w:spacing w:after="60" w:line="240" w:lineRule="auto"/>
        <w:ind w:left="426" w:hanging="357"/>
        <w:jc w:val="both"/>
      </w:pPr>
      <w:r w:rsidRPr="00B5339F">
        <w:t>nesplatené dlžné úroky z úverov a pôžičiek</w:t>
      </w:r>
      <w:r>
        <w:rPr>
          <w:rStyle w:val="Odkaznapoznmkupodiarou"/>
        </w:rPr>
        <w:footnoteReference w:id="17"/>
      </w:r>
      <w:r w:rsidRPr="00B5339F">
        <w:t xml:space="preserve">; </w:t>
      </w:r>
    </w:p>
    <w:p w14:paraId="4200CDFA" w14:textId="77777777" w:rsidR="004B7756" w:rsidRDefault="004B7756" w:rsidP="00151681">
      <w:pPr>
        <w:numPr>
          <w:ilvl w:val="0"/>
          <w:numId w:val="5"/>
        </w:numPr>
        <w:spacing w:after="60" w:line="240" w:lineRule="auto"/>
        <w:ind w:left="426" w:hanging="357"/>
        <w:jc w:val="both"/>
      </w:pPr>
      <w:r w:rsidRPr="00B5339F">
        <w:t xml:space="preserve">dary; </w:t>
      </w:r>
    </w:p>
    <w:p w14:paraId="33EABA26" w14:textId="77777777" w:rsidR="004B7756" w:rsidRDefault="004B7756" w:rsidP="00151681">
      <w:pPr>
        <w:numPr>
          <w:ilvl w:val="0"/>
          <w:numId w:val="5"/>
        </w:numPr>
        <w:spacing w:after="60" w:line="240" w:lineRule="auto"/>
        <w:ind w:left="426" w:hanging="357"/>
        <w:jc w:val="both"/>
      </w:pPr>
      <w:r w:rsidRPr="00B5339F">
        <w:t xml:space="preserve">územné vplyvy; </w:t>
      </w:r>
    </w:p>
    <w:p w14:paraId="4EF424D6" w14:textId="77777777" w:rsidR="004B7756" w:rsidRDefault="004B7756" w:rsidP="00151681">
      <w:pPr>
        <w:numPr>
          <w:ilvl w:val="0"/>
          <w:numId w:val="5"/>
        </w:numPr>
        <w:spacing w:after="60" w:line="240" w:lineRule="auto"/>
        <w:ind w:left="426" w:hanging="357"/>
        <w:jc w:val="both"/>
      </w:pPr>
      <w:r w:rsidRPr="00B5339F">
        <w:t xml:space="preserve">položky financované z iných finančných zdrojov (Envirofond, Recyklačný fond); </w:t>
      </w:r>
    </w:p>
    <w:p w14:paraId="07360834" w14:textId="77777777" w:rsidR="004B7756" w:rsidRDefault="004B7756" w:rsidP="00151681">
      <w:pPr>
        <w:numPr>
          <w:ilvl w:val="0"/>
          <w:numId w:val="5"/>
        </w:numPr>
        <w:spacing w:after="60" w:line="240" w:lineRule="auto"/>
        <w:ind w:left="426" w:hanging="357"/>
        <w:jc w:val="both"/>
      </w:pPr>
      <w:r w:rsidRPr="00B5339F">
        <w:t xml:space="preserve">DPH v prípade, keď je nárokovateľná na vrátenie akýmkoľvek spôsobom; </w:t>
      </w:r>
      <w:bookmarkStart w:id="27" w:name="page8"/>
      <w:bookmarkEnd w:id="27"/>
    </w:p>
    <w:p w14:paraId="3EE559EE" w14:textId="77777777" w:rsidR="004B7756" w:rsidRDefault="004B7756" w:rsidP="00151681">
      <w:pPr>
        <w:numPr>
          <w:ilvl w:val="0"/>
          <w:numId w:val="5"/>
        </w:numPr>
        <w:spacing w:after="60" w:line="240" w:lineRule="auto"/>
        <w:ind w:left="426" w:hanging="357"/>
        <w:jc w:val="both"/>
      </w:pPr>
      <w:r w:rsidRPr="00B5339F">
        <w:t xml:space="preserve">priame dane (napr. daň z nehnuteľnosti, daň z motorových vozidiel a pod.); </w:t>
      </w:r>
    </w:p>
    <w:p w14:paraId="48FEA8D4" w14:textId="77777777" w:rsidR="00A3320D" w:rsidRDefault="004B7756" w:rsidP="00151681">
      <w:pPr>
        <w:numPr>
          <w:ilvl w:val="0"/>
          <w:numId w:val="5"/>
        </w:numPr>
        <w:spacing w:line="240" w:lineRule="auto"/>
        <w:ind w:left="425" w:hanging="357"/>
        <w:jc w:val="both"/>
      </w:pPr>
      <w:r w:rsidRPr="00B5339F">
        <w:t xml:space="preserve">iné výdavky priamo nesúvisiace s projektom. </w:t>
      </w:r>
    </w:p>
    <w:p w14:paraId="6C9FA9D9" w14:textId="77777777" w:rsidR="00A3320D" w:rsidRPr="008F2827" w:rsidRDefault="00A3320D" w:rsidP="00151681">
      <w:pPr>
        <w:spacing w:before="120" w:line="240" w:lineRule="auto"/>
        <w:ind w:left="66"/>
        <w:jc w:val="both"/>
        <w:rPr>
          <w:b/>
        </w:rPr>
      </w:pPr>
      <w:r w:rsidRPr="008F2827">
        <w:rPr>
          <w:b/>
        </w:rPr>
        <w:t>Pre oprávnenosť všetkých výdavkov prijímateľov platí zákaz duplicitného financovania výdavkov (časové a vecné prekrývanie výdavkov).</w:t>
      </w:r>
    </w:p>
    <w:p w14:paraId="4443EC0F" w14:textId="77777777" w:rsidR="004B7756" w:rsidRPr="005C05CC" w:rsidRDefault="004B7756" w:rsidP="00151681">
      <w:pPr>
        <w:pStyle w:val="Nadpis2"/>
        <w:spacing w:after="120" w:line="240" w:lineRule="auto"/>
        <w:rPr>
          <w:rFonts w:asciiTheme="minorHAnsi" w:hAnsiTheme="minorHAnsi"/>
        </w:rPr>
      </w:pPr>
      <w:bookmarkStart w:id="28" w:name="_Toc476655615"/>
      <w:bookmarkStart w:id="29" w:name="_Toc505197975"/>
      <w:bookmarkStart w:id="30" w:name="_Toc56090016"/>
      <w:r w:rsidRPr="005C05CC">
        <w:rPr>
          <w:rFonts w:asciiTheme="minorHAnsi" w:hAnsiTheme="minorHAnsi"/>
        </w:rPr>
        <w:t>2.6  Projekty generujúce čisté príjmy</w:t>
      </w:r>
      <w:bookmarkEnd w:id="28"/>
      <w:bookmarkEnd w:id="29"/>
      <w:r w:rsidRPr="005C05CC">
        <w:rPr>
          <w:rFonts w:asciiTheme="minorHAnsi" w:hAnsiTheme="minorHAnsi"/>
        </w:rPr>
        <w:t xml:space="preserve"> </w:t>
      </w:r>
      <w:r w:rsidR="006E0790">
        <w:rPr>
          <w:rFonts w:asciiTheme="minorHAnsi" w:hAnsiTheme="minorHAnsi"/>
        </w:rPr>
        <w:t>a</w:t>
      </w:r>
      <w:r w:rsidR="00460363">
        <w:rPr>
          <w:rFonts w:asciiTheme="minorHAnsi" w:hAnsiTheme="minorHAnsi"/>
        </w:rPr>
        <w:t> nadmern</w:t>
      </w:r>
      <w:r w:rsidR="009824E5">
        <w:rPr>
          <w:rFonts w:asciiTheme="minorHAnsi" w:hAnsiTheme="minorHAnsi"/>
        </w:rPr>
        <w:t>á</w:t>
      </w:r>
      <w:r w:rsidR="006E0790">
        <w:rPr>
          <w:rFonts w:asciiTheme="minorHAnsi" w:hAnsiTheme="minorHAnsi"/>
        </w:rPr>
        <w:t xml:space="preserve"> náhrad</w:t>
      </w:r>
      <w:r w:rsidR="009824E5">
        <w:rPr>
          <w:rFonts w:asciiTheme="minorHAnsi" w:hAnsiTheme="minorHAnsi"/>
        </w:rPr>
        <w:t>a</w:t>
      </w:r>
      <w:bookmarkEnd w:id="30"/>
    </w:p>
    <w:p w14:paraId="7CC3C999" w14:textId="77777777" w:rsidR="009824E5" w:rsidRPr="009824E5" w:rsidRDefault="009824E5" w:rsidP="00151681">
      <w:pPr>
        <w:spacing w:before="120" w:line="240" w:lineRule="auto"/>
        <w:jc w:val="both"/>
        <w:rPr>
          <w:b/>
          <w:u w:val="single"/>
        </w:rPr>
      </w:pPr>
      <w:r w:rsidRPr="009824E5">
        <w:rPr>
          <w:b/>
          <w:u w:val="single"/>
        </w:rPr>
        <w:t>Projekt</w:t>
      </w:r>
      <w:r w:rsidR="000141A6">
        <w:rPr>
          <w:b/>
          <w:u w:val="single"/>
        </w:rPr>
        <w:t>y</w:t>
      </w:r>
      <w:r w:rsidRPr="009824E5">
        <w:rPr>
          <w:b/>
          <w:u w:val="single"/>
        </w:rPr>
        <w:t xml:space="preserve"> generujúc</w:t>
      </w:r>
      <w:r w:rsidR="000141A6">
        <w:rPr>
          <w:b/>
          <w:u w:val="single"/>
        </w:rPr>
        <w:t>e čisté</w:t>
      </w:r>
      <w:r w:rsidRPr="009824E5">
        <w:rPr>
          <w:b/>
          <w:u w:val="single"/>
        </w:rPr>
        <w:t xml:space="preserve"> príjmy: </w:t>
      </w:r>
    </w:p>
    <w:p w14:paraId="7E19DDBA" w14:textId="77777777" w:rsidR="004B7756" w:rsidRPr="00B5339F" w:rsidRDefault="004B7756" w:rsidP="00151681">
      <w:pPr>
        <w:spacing w:before="120" w:line="240" w:lineRule="auto"/>
        <w:jc w:val="both"/>
      </w:pPr>
      <w:r w:rsidRPr="00B5339F">
        <w:t>V prípade projektov, ktoré vytvárajú príjem či už počas realizácie projektu, alebo po jeho ukončení, je potrebné celkové oprávnené výdavky projektu znížiť o čisté príjmy</w:t>
      </w:r>
      <w:r>
        <w:rPr>
          <w:rStyle w:val="Odkaznapoznmkupodiarou"/>
        </w:rPr>
        <w:footnoteReference w:id="18"/>
      </w:r>
      <w:r w:rsidRPr="00B5339F">
        <w:t>, aby bola zabezpečená primeraná výška pomoci (t.</w:t>
      </w:r>
      <w:r w:rsidR="005C05CC">
        <w:t xml:space="preserve"> </w:t>
      </w:r>
      <w:r w:rsidRPr="00B5339F">
        <w:t>j. aby nedošlo k neadekvátnemu poskytovaniu finančných prostriedkov OP nad rámec skutočnej potreby projektu). Uvedená primeraná výška pomoci predstavuje tzv. „medzeru vo financovaní“, ktorá vzniká, ak čistý príjem za príslušné obdobie nedokáže v plnej miere pokryť investičné výdavky projektu.</w:t>
      </w:r>
    </w:p>
    <w:p w14:paraId="415C1F2F" w14:textId="77777777" w:rsidR="004B7756" w:rsidRPr="00B5339F" w:rsidRDefault="004B7756" w:rsidP="00151681">
      <w:pPr>
        <w:spacing w:before="120" w:line="240" w:lineRule="auto"/>
        <w:jc w:val="both"/>
      </w:pPr>
      <w:r w:rsidRPr="00B5339F">
        <w:t>Vzhľadom na uvedené platí, že oprávnené výdavky na projekty vytvárajúce príjmy neprevýšia súčasnú hodnotu investičných výdavkov, po odpočítaní súčasnej hodnoty čistého príjmu z investície za</w:t>
      </w:r>
      <w:r w:rsidR="00C42023">
        <w:t> </w:t>
      </w:r>
      <w:r w:rsidRPr="00B5339F">
        <w:t>stanovené obdobie. Ak na spolufinancovanie nie sú oprávnené všetky investičné výdavky, čistý príjem sa pridelí pomerne k oprávneným a neoprávneným častiam investičných výdavkov.</w:t>
      </w:r>
    </w:p>
    <w:p w14:paraId="0625163C" w14:textId="77777777" w:rsidR="004B7756" w:rsidRPr="009626F5" w:rsidRDefault="004B7756" w:rsidP="00151681">
      <w:pPr>
        <w:spacing w:after="60" w:line="240" w:lineRule="auto"/>
        <w:jc w:val="both"/>
        <w:rPr>
          <w:u w:val="single"/>
        </w:rPr>
      </w:pPr>
      <w:r w:rsidRPr="009626F5">
        <w:rPr>
          <w:u w:val="single"/>
        </w:rPr>
        <w:t>Projekty vytvárajúce príjem sú projekty, ktoré zahŕňajú:</w:t>
      </w:r>
    </w:p>
    <w:p w14:paraId="57D2AC33" w14:textId="77777777" w:rsidR="004B7756" w:rsidRDefault="004B7756" w:rsidP="00151681">
      <w:pPr>
        <w:numPr>
          <w:ilvl w:val="0"/>
          <w:numId w:val="6"/>
        </w:numPr>
        <w:spacing w:after="60" w:line="240" w:lineRule="auto"/>
        <w:ind w:left="714" w:hanging="357"/>
        <w:jc w:val="both"/>
      </w:pPr>
      <w:r w:rsidRPr="00B5339F">
        <w:t xml:space="preserve">investíciu do infraštruktúry, ktorej používanie je spoplatnené a priamo uhradené užívateľmi, alebo </w:t>
      </w:r>
    </w:p>
    <w:p w14:paraId="48250767" w14:textId="77777777" w:rsidR="004B7756" w:rsidRDefault="004B7756" w:rsidP="00151681">
      <w:pPr>
        <w:numPr>
          <w:ilvl w:val="0"/>
          <w:numId w:val="6"/>
        </w:numPr>
        <w:spacing w:after="60" w:line="240" w:lineRule="auto"/>
        <w:ind w:left="714" w:hanging="357"/>
        <w:jc w:val="both"/>
      </w:pPr>
      <w:r w:rsidRPr="00B5339F">
        <w:t xml:space="preserve">predaj alebo prenájom pozemkov alebo budov, alebo </w:t>
      </w:r>
    </w:p>
    <w:p w14:paraId="4F99E351" w14:textId="77777777" w:rsidR="004B7756" w:rsidRPr="00B5339F" w:rsidRDefault="004B7756" w:rsidP="00151681">
      <w:pPr>
        <w:numPr>
          <w:ilvl w:val="0"/>
          <w:numId w:val="6"/>
        </w:numPr>
        <w:spacing w:line="240" w:lineRule="auto"/>
        <w:ind w:left="714" w:hanging="357"/>
        <w:jc w:val="both"/>
      </w:pPr>
      <w:r w:rsidRPr="00B5339F">
        <w:t xml:space="preserve">poskytovanie služieb za poplatok. </w:t>
      </w:r>
    </w:p>
    <w:p w14:paraId="5DB27FA7" w14:textId="77777777" w:rsidR="004B7756" w:rsidRPr="00B5339F" w:rsidRDefault="004B7756" w:rsidP="00151681">
      <w:pPr>
        <w:spacing w:after="60" w:line="240" w:lineRule="auto"/>
        <w:jc w:val="both"/>
      </w:pPr>
      <w:r w:rsidRPr="00B5339F">
        <w:t>V podmienkach IROP sa z hľadiska povinností žiadateľa/prijímateľa viažucich sa na výpočet a</w:t>
      </w:r>
      <w:r w:rsidR="00C42023">
        <w:t> </w:t>
      </w:r>
      <w:r w:rsidRPr="00B5339F">
        <w:t xml:space="preserve">monitorovanie čistých príjmov, rozlišujú </w:t>
      </w:r>
      <w:r w:rsidRPr="009626F5">
        <w:rPr>
          <w:u w:val="single"/>
        </w:rPr>
        <w:t>tri skupiny projektov vytvárajúce čistý príjem</w:t>
      </w:r>
      <w:r w:rsidRPr="00B5339F">
        <w:t>:</w:t>
      </w:r>
    </w:p>
    <w:p w14:paraId="23D812B8" w14:textId="77777777" w:rsidR="004B7756" w:rsidRPr="00B5339F" w:rsidRDefault="004B7756" w:rsidP="00151681">
      <w:pPr>
        <w:numPr>
          <w:ilvl w:val="0"/>
          <w:numId w:val="7"/>
        </w:numPr>
        <w:spacing w:after="60" w:line="240" w:lineRule="auto"/>
        <w:jc w:val="both"/>
      </w:pPr>
      <w:r w:rsidRPr="009626F5">
        <w:rPr>
          <w:b/>
        </w:rPr>
        <w:t xml:space="preserve">projekty vytvárajúce čistý príjem </w:t>
      </w:r>
      <w:r w:rsidRPr="009626F5">
        <w:rPr>
          <w:b/>
          <w:u w:val="single"/>
        </w:rPr>
        <w:t>počas stanoveného referenčného obdobia</w:t>
      </w:r>
      <w:r>
        <w:rPr>
          <w:rStyle w:val="Odkaznapoznmkupodiarou"/>
          <w:b/>
        </w:rPr>
        <w:footnoteReference w:id="19"/>
      </w:r>
      <w:r w:rsidRPr="00B5339F">
        <w:t xml:space="preserve">, t. j. počas obdobia realizácie projektu, ako aj obdobia po jeho ukončení, ktorých celkové oprávnené výdavky sú </w:t>
      </w:r>
      <w:r w:rsidRPr="009626F5">
        <w:rPr>
          <w:b/>
        </w:rPr>
        <w:t>vyššie ako 1 000</w:t>
      </w:r>
      <w:r w:rsidR="00C04242">
        <w:rPr>
          <w:b/>
        </w:rPr>
        <w:t xml:space="preserve"> 000  eur</w:t>
      </w:r>
      <w:r w:rsidRPr="00B5339F">
        <w:t xml:space="preserve"> (v zmysle čl. 61 všeobecného nariadenia) - žiadateľ </w:t>
      </w:r>
      <w:r w:rsidRPr="00B5339F">
        <w:lastRenderedPageBreak/>
        <w:t xml:space="preserve">predkladá finančnú analýzu projektu za referenčné obdobie a/alebo CBA, na základe ktorej sa príjmy odpočítajú vopred; </w:t>
      </w:r>
    </w:p>
    <w:p w14:paraId="3352E9A5" w14:textId="77777777" w:rsidR="004B7756" w:rsidRPr="00B5339F" w:rsidRDefault="004B7756" w:rsidP="00151681">
      <w:pPr>
        <w:numPr>
          <w:ilvl w:val="0"/>
          <w:numId w:val="7"/>
        </w:numPr>
        <w:spacing w:after="60" w:line="240" w:lineRule="auto"/>
        <w:jc w:val="both"/>
      </w:pPr>
      <w:r w:rsidRPr="009626F5">
        <w:rPr>
          <w:b/>
        </w:rPr>
        <w:t xml:space="preserve">projekty vytvárajúce čistý príjem </w:t>
      </w:r>
      <w:r w:rsidRPr="009626F5">
        <w:rPr>
          <w:b/>
          <w:u w:val="single"/>
        </w:rPr>
        <w:t>počas realizácie projektu</w:t>
      </w:r>
      <w:r w:rsidRPr="00B5339F">
        <w:t xml:space="preserve">, ktorých celkové oprávnené výdavky sú </w:t>
      </w:r>
      <w:r w:rsidRPr="009626F5">
        <w:rPr>
          <w:b/>
        </w:rPr>
        <w:t xml:space="preserve">rovné, alebo nižšie ako 1 000 000 </w:t>
      </w:r>
      <w:r w:rsidR="00C04242">
        <w:rPr>
          <w:b/>
        </w:rPr>
        <w:t>eur a zároveň vyššie ako 50 000 eur</w:t>
      </w:r>
      <w:r w:rsidRPr="00B5339F">
        <w:t xml:space="preserve"> (v zmysle čl. 65 ods. 8 všeobecného nariadenia) – žiadateľ pri ukončení realizácie aktivít projektu predkladá zjednodušenú finančnú analýzu projektu; v záverečnej </w:t>
      </w:r>
      <w:r w:rsidR="001E5C25">
        <w:t>ŽoP</w:t>
      </w:r>
      <w:r w:rsidRPr="00B5339F">
        <w:t xml:space="preserve"> sa </w:t>
      </w:r>
      <w:r w:rsidR="001E5C25">
        <w:t>celkové oprávnené výdavky</w:t>
      </w:r>
      <w:r w:rsidRPr="00B5339F">
        <w:t xml:space="preserve"> znížia o čisté príjmy vytvorené počas realizácie projektu; </w:t>
      </w:r>
    </w:p>
    <w:p w14:paraId="0EDA3FC1" w14:textId="77777777" w:rsidR="004B7756" w:rsidRDefault="004B7756" w:rsidP="00151681">
      <w:pPr>
        <w:numPr>
          <w:ilvl w:val="0"/>
          <w:numId w:val="7"/>
        </w:numPr>
        <w:spacing w:line="240" w:lineRule="auto"/>
        <w:ind w:left="714" w:hanging="357"/>
        <w:jc w:val="both"/>
      </w:pPr>
      <w:r w:rsidRPr="009626F5">
        <w:rPr>
          <w:b/>
        </w:rPr>
        <w:t xml:space="preserve">projekty vytvárajúce čistý príjem </w:t>
      </w:r>
      <w:r w:rsidRPr="009626F5">
        <w:rPr>
          <w:b/>
          <w:u w:val="single"/>
        </w:rPr>
        <w:t>počas realizácie projektu</w:t>
      </w:r>
      <w:r w:rsidRPr="00B5339F">
        <w:t xml:space="preserve">, ktorých celkové oprávnené výdavky sú </w:t>
      </w:r>
      <w:r w:rsidRPr="009626F5">
        <w:rPr>
          <w:b/>
        </w:rPr>
        <w:t>ro</w:t>
      </w:r>
      <w:r w:rsidR="00C04242">
        <w:rPr>
          <w:b/>
        </w:rPr>
        <w:t>vné, alebo nižšie ako 50 000 eur</w:t>
      </w:r>
      <w:r w:rsidRPr="00B5339F">
        <w:t xml:space="preserve"> – žiadateľ pri ukončení realizácie aktivít projektu predkladá zjednodušenú finančnú analýzu projektu. </w:t>
      </w:r>
    </w:p>
    <w:p w14:paraId="65CC764C" w14:textId="77777777" w:rsidR="004B7756" w:rsidRPr="00B5339F" w:rsidRDefault="004B7756" w:rsidP="00151681">
      <w:pPr>
        <w:spacing w:after="60" w:line="240" w:lineRule="auto"/>
        <w:jc w:val="both"/>
      </w:pPr>
      <w:r w:rsidRPr="00B5339F">
        <w:t xml:space="preserve">Povinnosť zohľadnenia čistých príjmov pri stanovení výšky pomoci sa </w:t>
      </w:r>
      <w:r w:rsidRPr="009626F5">
        <w:rPr>
          <w:b/>
        </w:rPr>
        <w:t>nevzťahuje na projekty</w:t>
      </w:r>
      <w:r w:rsidR="00742933">
        <w:rPr>
          <w:b/>
        </w:rPr>
        <w:t>,</w:t>
      </w:r>
      <w:r w:rsidRPr="00B5339F">
        <w:t>:</w:t>
      </w:r>
    </w:p>
    <w:p w14:paraId="6FE341BC" w14:textId="77777777" w:rsidR="004B7756" w:rsidRPr="00B5339F" w:rsidRDefault="004B7756" w:rsidP="008858BA">
      <w:pPr>
        <w:numPr>
          <w:ilvl w:val="0"/>
          <w:numId w:val="8"/>
        </w:numPr>
        <w:spacing w:after="60" w:line="240" w:lineRule="auto"/>
        <w:ind w:left="714" w:hanging="357"/>
        <w:jc w:val="both"/>
      </w:pPr>
      <w:r w:rsidRPr="00B5339F">
        <w:t xml:space="preserve">ktoré negenerujú príjmy (napr. aktivity realizované vo verejnom záujme); </w:t>
      </w:r>
    </w:p>
    <w:p w14:paraId="7C5DBA5C" w14:textId="77777777" w:rsidR="004B7756" w:rsidRPr="00B5339F" w:rsidRDefault="004B7756" w:rsidP="008858BA">
      <w:pPr>
        <w:numPr>
          <w:ilvl w:val="0"/>
          <w:numId w:val="8"/>
        </w:numPr>
        <w:spacing w:after="60" w:line="240" w:lineRule="auto"/>
        <w:ind w:left="714" w:hanging="357"/>
        <w:jc w:val="both"/>
      </w:pPr>
      <w:r w:rsidRPr="00B5339F">
        <w:t xml:space="preserve">na ktoré sa vzťahujú pravidlá štátnej pomoci (s výnimkou špecifických prípadov, kedy to priamo vyplýva z uplatniteľných pravidiel štátnej pomoci); </w:t>
      </w:r>
    </w:p>
    <w:p w14:paraId="32C35F5F" w14:textId="77777777" w:rsidR="008650FB" w:rsidRPr="00B5339F" w:rsidRDefault="004B7756" w:rsidP="008858BA">
      <w:pPr>
        <w:numPr>
          <w:ilvl w:val="0"/>
          <w:numId w:val="8"/>
        </w:numPr>
        <w:spacing w:line="240" w:lineRule="auto"/>
        <w:ind w:left="714" w:hanging="357"/>
        <w:jc w:val="both"/>
      </w:pPr>
      <w:r w:rsidRPr="00B5339F">
        <w:t>ktoré sú podporené z finančných nástrojov</w:t>
      </w:r>
      <w:r>
        <w:rPr>
          <w:rStyle w:val="Odkaznapoznmkupodiarou"/>
        </w:rPr>
        <w:footnoteReference w:id="20"/>
      </w:r>
      <w:r w:rsidRPr="00B5339F">
        <w:t xml:space="preserve">. </w:t>
      </w:r>
    </w:p>
    <w:p w14:paraId="545758A2" w14:textId="6A345900" w:rsidR="00B047CA" w:rsidRDefault="00B047CA" w:rsidP="00D85BCD">
      <w:pPr>
        <w:spacing w:after="60" w:line="240" w:lineRule="auto"/>
        <w:jc w:val="both"/>
        <w:rPr>
          <w:b/>
        </w:rPr>
      </w:pPr>
      <w:bookmarkStart w:id="31" w:name="page9"/>
      <w:bookmarkStart w:id="32" w:name="_Toc476655616"/>
      <w:bookmarkStart w:id="33" w:name="_Toc505197976"/>
      <w:bookmarkEnd w:id="31"/>
    </w:p>
    <w:p w14:paraId="754745B0" w14:textId="06B12A6B" w:rsidR="00B047CA" w:rsidRDefault="00B047CA" w:rsidP="00D85BCD">
      <w:pPr>
        <w:spacing w:after="60" w:line="240" w:lineRule="auto"/>
        <w:jc w:val="both"/>
        <w:rPr>
          <w:b/>
        </w:rPr>
      </w:pPr>
      <w:r>
        <w:rPr>
          <w:b/>
        </w:rPr>
        <w:t>Nadmerná náhrada</w:t>
      </w:r>
    </w:p>
    <w:p w14:paraId="1C426C58" w14:textId="4CB6ECD2" w:rsidR="0076635E" w:rsidRDefault="003F169B" w:rsidP="00B047CA">
      <w:pPr>
        <w:spacing w:after="60" w:line="240" w:lineRule="auto"/>
        <w:jc w:val="both"/>
      </w:pPr>
      <w:r>
        <w:t>Výška príspevku vo forme náhrady</w:t>
      </w:r>
      <w:r w:rsidR="0076635E">
        <w:t xml:space="preserve"> nesmie presiahnuť sumu potrebnú</w:t>
      </w:r>
      <w:r>
        <w:t xml:space="preserve"> na pokrytie čistých nákladov, ktoré vznikli pri plnení záväzkov služieb vo verejnom záujme a primeraný zisk. </w:t>
      </w:r>
      <w:r w:rsidRPr="006229E8">
        <w:t xml:space="preserve">V zmysle článku 5 </w:t>
      </w:r>
      <w:r>
        <w:t>Rozhodnutia</w:t>
      </w:r>
      <w:r w:rsidRPr="006229E8">
        <w:t xml:space="preserve"> Komisie č. 2012/21/EU o uplatňovaní článku 106 ods. 2 Zmluvy o fungovaní EÚ na štátnu pomoc vo forme náhrady za službu vo verejnom záujme udeľovanej niektorým podnikom povereným poskytovaním služieb všeobecného hospodárskeho záujmu (ďalej len „rozhodnutie“)</w:t>
      </w:r>
      <w:r w:rsidR="0076635E">
        <w:t xml:space="preserve"> výšk</w:t>
      </w:r>
      <w:r w:rsidRPr="006229E8">
        <w:t xml:space="preserve">a </w:t>
      </w:r>
      <w:r w:rsidR="0076635E" w:rsidRPr="006229E8">
        <w:t xml:space="preserve">poskytnutej náhrady </w:t>
      </w:r>
      <w:r w:rsidR="0076635E">
        <w:t>prijímateľovi</w:t>
      </w:r>
      <w:r w:rsidR="0076635E" w:rsidRPr="006229E8">
        <w:t xml:space="preserve"> nesmie byť </w:t>
      </w:r>
      <w:r w:rsidRPr="006229E8">
        <w:t>vyššia, ako je nevyhnutné na pokrytie nákladov vzniknutých pri plnení záväzkov služby vo verejnom záujme, so zohľadnením relevantných príjmov a primeraného zisku z akéhokoľvek vlastného kapitálu nevyhnutného na plnenie týchto záväzkov.</w:t>
      </w:r>
      <w:r w:rsidR="0076635E">
        <w:t xml:space="preserve"> </w:t>
      </w:r>
      <w:r>
        <w:t xml:space="preserve">V opačnom prípade by došlo k nadmernej náhrade, čo predstavuje nepovolenú štátnu pomoc. </w:t>
      </w:r>
    </w:p>
    <w:p w14:paraId="754B3221" w14:textId="77777777" w:rsidR="0076635E" w:rsidRDefault="0076635E" w:rsidP="00B047CA">
      <w:pPr>
        <w:spacing w:after="60" w:line="240" w:lineRule="auto"/>
        <w:jc w:val="both"/>
      </w:pPr>
    </w:p>
    <w:p w14:paraId="688F99D3" w14:textId="47EAD6F8" w:rsidR="00C14F4C" w:rsidRDefault="0076635E" w:rsidP="00B047CA">
      <w:pPr>
        <w:spacing w:after="60" w:line="240" w:lineRule="auto"/>
        <w:jc w:val="both"/>
      </w:pPr>
      <w:r>
        <w:t xml:space="preserve">Zamedzenie poskytnutia nadmernej náhrady sa overuje </w:t>
      </w:r>
      <w:r w:rsidR="00C14F4C">
        <w:t xml:space="preserve">na úrovni poskytovateľa postupom stanoveným v Metodike pre stanovenie výšky náhrady poskytovanej zo zdrojov EÚ a štátneho rozpočtu SR, ktorá je súčasťou výzvy/vyzvania na predkladanie žiadosti o NFP, v rámci ktorej sa poskytuje príspevok (náhrada) za poskytovanie služieb všeobecného hospodárskeho záujmu.  V prípade nadmernej náhrady sa o túto sumu znižuje výška poskytovaného príspevku.  </w:t>
      </w:r>
    </w:p>
    <w:p w14:paraId="7EABCA3B" w14:textId="77777777" w:rsidR="004B7756" w:rsidRPr="005C05CC" w:rsidRDefault="004B7756" w:rsidP="00151681">
      <w:pPr>
        <w:pStyle w:val="Nadpis2"/>
        <w:spacing w:after="120" w:line="240" w:lineRule="auto"/>
        <w:rPr>
          <w:rFonts w:asciiTheme="minorHAnsi" w:hAnsiTheme="minorHAnsi"/>
        </w:rPr>
      </w:pPr>
      <w:bookmarkStart w:id="34" w:name="_Toc56090017"/>
      <w:r w:rsidRPr="005C05CC">
        <w:rPr>
          <w:rFonts w:asciiTheme="minorHAnsi" w:hAnsiTheme="minorHAnsi"/>
        </w:rPr>
        <w:t>2.7  Infraštruktúra</w:t>
      </w:r>
      <w:bookmarkEnd w:id="32"/>
      <w:bookmarkEnd w:id="33"/>
      <w:bookmarkEnd w:id="34"/>
    </w:p>
    <w:p w14:paraId="1F7A2A47" w14:textId="45C66E51" w:rsidR="004B7756" w:rsidRPr="00B5339F" w:rsidRDefault="004B7756" w:rsidP="00151681">
      <w:pPr>
        <w:spacing w:before="120" w:line="240" w:lineRule="auto"/>
        <w:jc w:val="both"/>
      </w:pPr>
      <w:r w:rsidRPr="00B5339F">
        <w:t>Všeobecné nariadenie a nariadenia vzťahujúce sa na jednotlivé fondy nedefinujú pojem „infraštruktúra“ ani „zariadenie“. Nakoľko v týchto nariadeniach absentuje ich definícia, pojmy „infraštruktúra“ alebo „zariadenie“ majú byť interpretované v súlade s</w:t>
      </w:r>
      <w:r w:rsidR="006A5795">
        <w:t>o</w:t>
      </w:r>
      <w:r w:rsidRPr="00B5339F">
        <w:t xml:space="preserve"> všeobecnými princípmi práva a tiež s ohľadom na definície zaužívané v rámci kohéznej politiky v predchádzajúcich programových obdobiach.</w:t>
      </w:r>
    </w:p>
    <w:p w14:paraId="2CB4AE8D" w14:textId="77777777" w:rsidR="004B7756" w:rsidRPr="00B5339F" w:rsidRDefault="004B7756" w:rsidP="00151681">
      <w:pPr>
        <w:spacing w:after="60" w:line="240" w:lineRule="auto"/>
        <w:jc w:val="both"/>
      </w:pPr>
      <w:r w:rsidRPr="00B5339F">
        <w:t>Pojem „infraštruktúra“ predstavuje hmotný majetok trvalej povahy, kt</w:t>
      </w:r>
      <w:r>
        <w:t>orý spĺňa nasledovné podmienky:</w:t>
      </w:r>
    </w:p>
    <w:p w14:paraId="2A991903" w14:textId="77777777" w:rsidR="004B7756" w:rsidRPr="00B5339F" w:rsidRDefault="004B7756" w:rsidP="008858BA">
      <w:pPr>
        <w:numPr>
          <w:ilvl w:val="0"/>
          <w:numId w:val="9"/>
        </w:numPr>
        <w:spacing w:after="60" w:line="240" w:lineRule="auto"/>
        <w:jc w:val="both"/>
      </w:pPr>
      <w:r w:rsidRPr="00B5339F">
        <w:t>má nehnuteľný (nepohyblivý) charakter (je buď trvale spojený so zemou alebo s majetkom, ktorý je trvale spojený so zemou, v tomto prípade stráca svoju identitu prostredníctvom spojenia a stáva sa súčasťou nehnuteľného</w:t>
      </w:r>
      <w:r>
        <w:t xml:space="preserve"> majetku s ktorým je spojený); </w:t>
      </w:r>
    </w:p>
    <w:p w14:paraId="4E614DFF" w14:textId="77777777" w:rsidR="004B7756" w:rsidRPr="00B5339F" w:rsidRDefault="004B7756" w:rsidP="008858BA">
      <w:pPr>
        <w:numPr>
          <w:ilvl w:val="0"/>
          <w:numId w:val="9"/>
        </w:numPr>
        <w:spacing w:after="60" w:line="240" w:lineRule="auto"/>
        <w:jc w:val="both"/>
      </w:pPr>
      <w:r w:rsidRPr="00B5339F">
        <w:t>za normálnych podmienok použitia (vrátane primeranej starostlivosti a údržby) má neobmedzenú dobu použitia, resp. jej technická životnosť podstatne prekračuje ekonomickú životnos</w:t>
      </w:r>
      <w:r>
        <w:t xml:space="preserve">ť prvkov, z ktorých sa skladá; </w:t>
      </w:r>
    </w:p>
    <w:p w14:paraId="05FA1B8A" w14:textId="77777777" w:rsidR="004B7756" w:rsidRPr="00B5339F" w:rsidRDefault="004B7756" w:rsidP="008858BA">
      <w:pPr>
        <w:numPr>
          <w:ilvl w:val="0"/>
          <w:numId w:val="9"/>
        </w:numPr>
        <w:spacing w:line="240" w:lineRule="auto"/>
        <w:ind w:left="714" w:hanging="357"/>
        <w:jc w:val="both"/>
      </w:pPr>
      <w:r w:rsidRPr="00B5339F">
        <w:lastRenderedPageBreak/>
        <w:t xml:space="preserve">aj napriek používaniu si uchováva pôvodný tvar a vzhľad. </w:t>
      </w:r>
    </w:p>
    <w:p w14:paraId="66FF1FD3" w14:textId="77777777" w:rsidR="004B7756" w:rsidRPr="00B5339F" w:rsidRDefault="004B7756" w:rsidP="00151681">
      <w:pPr>
        <w:spacing w:after="60" w:line="240" w:lineRule="auto"/>
        <w:jc w:val="both"/>
      </w:pPr>
      <w:r w:rsidRPr="00B5339F">
        <w:t xml:space="preserve">Za infraštruktúru sa považuje </w:t>
      </w:r>
      <w:r>
        <w:t xml:space="preserve">aj </w:t>
      </w:r>
      <w:r w:rsidRPr="00B5339F">
        <w:t>zariadenie. Zariadenie je hmotným majetkom s viac či menej trvalým charakterom (nespadajú sem pozemky, budovy alebo vylepšenia týkajúce sa budov) a ktorý je opodstatnený pri realizácii projektov. Položka zariadenia je pohyblivá alebo pevná jednotka nábytku alebo vybavenia, nástroj, stroj, náradie, alebo súbor častí, ktoré spĺňa</w:t>
      </w:r>
      <w:r>
        <w:t>jú všetky nasledovné podmienky:</w:t>
      </w:r>
    </w:p>
    <w:p w14:paraId="6474BF50" w14:textId="77777777" w:rsidR="004B7756" w:rsidRPr="00B5339F" w:rsidRDefault="004B7756" w:rsidP="008858BA">
      <w:pPr>
        <w:numPr>
          <w:ilvl w:val="0"/>
          <w:numId w:val="10"/>
        </w:numPr>
        <w:spacing w:after="60" w:line="240" w:lineRule="auto"/>
        <w:jc w:val="both"/>
      </w:pPr>
      <w:r w:rsidRPr="00B5339F">
        <w:t>za normálnych podmienok použitia, vrátane primeranej starostlivosti a údržby, majú predpokladanú dobu ži</w:t>
      </w:r>
      <w:r>
        <w:t xml:space="preserve">votnosti dlhšiu ako jeden rok; </w:t>
      </w:r>
    </w:p>
    <w:p w14:paraId="6DDC3BD9" w14:textId="77777777" w:rsidR="004B7756" w:rsidRPr="00B5339F" w:rsidRDefault="004B7756" w:rsidP="008858BA">
      <w:pPr>
        <w:numPr>
          <w:ilvl w:val="0"/>
          <w:numId w:val="10"/>
        </w:numPr>
        <w:spacing w:after="60" w:line="240" w:lineRule="auto"/>
        <w:jc w:val="both"/>
      </w:pPr>
      <w:r w:rsidRPr="00B5339F">
        <w:t>zachováva si svoj pôvodn</w:t>
      </w:r>
      <w:r>
        <w:t xml:space="preserve">ý tvar a vzhľad aj po použití; </w:t>
      </w:r>
    </w:p>
    <w:p w14:paraId="34F0E13A" w14:textId="77777777" w:rsidR="004B7756" w:rsidRPr="00B5339F" w:rsidRDefault="004B7756" w:rsidP="008858BA">
      <w:pPr>
        <w:numPr>
          <w:ilvl w:val="0"/>
          <w:numId w:val="10"/>
        </w:numPr>
        <w:spacing w:after="60" w:line="240" w:lineRule="auto"/>
        <w:jc w:val="both"/>
      </w:pPr>
      <w:r w:rsidRPr="00B5339F">
        <w:t>ak je zariadenie poškodené alebo niektoré jeho časti sú stratené alebo opotrebované, môže byť vhodnejšie ho opraviť než nahra</w:t>
      </w:r>
      <w:r>
        <w:t>diť úplne novým zariadením</w:t>
      </w:r>
      <w:r>
        <w:rPr>
          <w:rStyle w:val="Odkaznapoznmkupodiarou"/>
        </w:rPr>
        <w:footnoteReference w:id="21"/>
      </w:r>
      <w:r>
        <w:t xml:space="preserve">; </w:t>
      </w:r>
    </w:p>
    <w:p w14:paraId="17FD4F68" w14:textId="77777777" w:rsidR="004B7756" w:rsidRPr="00B5339F" w:rsidRDefault="004B7756" w:rsidP="008858BA">
      <w:pPr>
        <w:numPr>
          <w:ilvl w:val="0"/>
          <w:numId w:val="10"/>
        </w:numPr>
        <w:spacing w:line="240" w:lineRule="auto"/>
        <w:ind w:left="714" w:hanging="357"/>
        <w:jc w:val="both"/>
      </w:pPr>
      <w:r w:rsidRPr="00B5339F">
        <w:t xml:space="preserve">nestráca svoju identitu ani v prípade ak je zabudované do inej alebo zložitejšej jednotky. </w:t>
      </w:r>
    </w:p>
    <w:p w14:paraId="6BDBFA62" w14:textId="77777777" w:rsidR="008650FB" w:rsidRPr="00B5339F" w:rsidRDefault="004B7756" w:rsidP="00151681">
      <w:pPr>
        <w:spacing w:before="120" w:line="240" w:lineRule="auto"/>
        <w:jc w:val="both"/>
      </w:pPr>
      <w:r w:rsidRPr="00B5339F">
        <w:t>Nehmotný majetok (majetok nemateriálnej povahy) ako je napríklad softvér, IT systémy nespadá do</w:t>
      </w:r>
      <w:r w:rsidR="00C42023">
        <w:t> </w:t>
      </w:r>
      <w:r w:rsidRPr="00B5339F">
        <w:t>definície infraštruktúry.</w:t>
      </w:r>
    </w:p>
    <w:p w14:paraId="712164E1" w14:textId="77777777" w:rsidR="004B7756" w:rsidRPr="005C05CC" w:rsidRDefault="004B7756" w:rsidP="00151681">
      <w:pPr>
        <w:pStyle w:val="Nadpis2"/>
        <w:spacing w:after="120" w:line="240" w:lineRule="auto"/>
        <w:rPr>
          <w:rFonts w:asciiTheme="minorHAnsi" w:hAnsiTheme="minorHAnsi"/>
        </w:rPr>
      </w:pPr>
      <w:bookmarkStart w:id="35" w:name="_Toc476655617"/>
      <w:bookmarkStart w:id="36" w:name="_Toc505197977"/>
      <w:bookmarkStart w:id="37" w:name="_Toc56090018"/>
      <w:r w:rsidRPr="005C05CC">
        <w:rPr>
          <w:rFonts w:asciiTheme="minorHAnsi" w:hAnsiTheme="minorHAnsi"/>
        </w:rPr>
        <w:t>2.8  Vyvolané investície</w:t>
      </w:r>
      <w:bookmarkEnd w:id="35"/>
      <w:bookmarkEnd w:id="36"/>
      <w:bookmarkEnd w:id="37"/>
    </w:p>
    <w:p w14:paraId="2927FF81" w14:textId="77777777" w:rsidR="004B7756" w:rsidRDefault="004B7756" w:rsidP="00151681">
      <w:pPr>
        <w:spacing w:before="120" w:line="240" w:lineRule="auto"/>
        <w:jc w:val="both"/>
      </w:pPr>
      <w:r w:rsidRPr="00B5339F">
        <w:t>Vyvolaná investícia je obstaranie majetku alebo služby, pričom tento majetok alebo službu účtovná jednotka nebude používať, ale náklady na obstaranie jej vznikli buď podľa osobitného predpisu, alebo zo zmluvy v súvislosti s obstaraním dlhodobého majetku.</w:t>
      </w:r>
    </w:p>
    <w:p w14:paraId="7E81C3C3" w14:textId="77777777" w:rsidR="008650FB" w:rsidRDefault="004B7756" w:rsidP="00151681">
      <w:pPr>
        <w:spacing w:before="120" w:line="240" w:lineRule="auto"/>
        <w:jc w:val="both"/>
      </w:pPr>
      <w:r w:rsidRPr="00B5339F">
        <w:t xml:space="preserve">Oprávnenosť výdavkov vynaložených na vyvolané investície </w:t>
      </w:r>
      <w:r w:rsidRPr="00B97AEC">
        <w:rPr>
          <w:b/>
        </w:rPr>
        <w:t>posudzuje SO</w:t>
      </w:r>
      <w:r w:rsidR="00EA6F28">
        <w:rPr>
          <w:b/>
        </w:rPr>
        <w:t xml:space="preserve"> pre IROP </w:t>
      </w:r>
      <w:r w:rsidRPr="00B97AEC">
        <w:rPr>
          <w:b/>
        </w:rPr>
        <w:t>individuálne</w:t>
      </w:r>
      <w:r>
        <w:t xml:space="preserve">. </w:t>
      </w:r>
      <w:r w:rsidRPr="00B5339F">
        <w:t xml:space="preserve">Minimálne </w:t>
      </w:r>
      <w:r>
        <w:t xml:space="preserve">predpoklady pre oprávnenosť výdavkov na </w:t>
      </w:r>
      <w:r w:rsidRPr="00B5339F">
        <w:t>vyvolan</w:t>
      </w:r>
      <w:r>
        <w:t>é investície</w:t>
      </w:r>
      <w:r w:rsidRPr="00B5339F">
        <w:t xml:space="preserve"> predstavuje splnenie </w:t>
      </w:r>
      <w:r>
        <w:t xml:space="preserve">všeobecných podmienok </w:t>
      </w:r>
      <w:r w:rsidR="00C04242">
        <w:t xml:space="preserve">oprávnenosti výdavkov, </w:t>
      </w:r>
      <w:r w:rsidRPr="004B75AB">
        <w:t>preukázanie</w:t>
      </w:r>
      <w:r w:rsidRPr="00B5339F">
        <w:t xml:space="preserve"> priameho vzťahu k projektu a</w:t>
      </w:r>
      <w:r w:rsidR="00C42023">
        <w:t> </w:t>
      </w:r>
      <w:r w:rsidRPr="00B5339F">
        <w:t xml:space="preserve">nevyhnutnosť </w:t>
      </w:r>
      <w:r>
        <w:t xml:space="preserve">vyvolaných investícií pre </w:t>
      </w:r>
      <w:r w:rsidRPr="00B5339F">
        <w:t>realizáciu projektu.</w:t>
      </w:r>
    </w:p>
    <w:p w14:paraId="5340101E" w14:textId="77777777" w:rsidR="004B7756" w:rsidRPr="005C05CC" w:rsidRDefault="004B7756" w:rsidP="008858BA">
      <w:pPr>
        <w:pStyle w:val="Nadpis2"/>
        <w:numPr>
          <w:ilvl w:val="1"/>
          <w:numId w:val="28"/>
        </w:numPr>
        <w:spacing w:after="120" w:line="240" w:lineRule="auto"/>
        <w:rPr>
          <w:rFonts w:asciiTheme="minorHAnsi" w:hAnsiTheme="minorHAnsi"/>
        </w:rPr>
      </w:pPr>
      <w:bookmarkStart w:id="38" w:name="_Toc476655618"/>
      <w:bookmarkStart w:id="39" w:name="_Toc505197978"/>
      <w:r w:rsidRPr="005C05CC">
        <w:rPr>
          <w:rFonts w:asciiTheme="minorHAnsi" w:hAnsiTheme="minorHAnsi"/>
        </w:rPr>
        <w:t xml:space="preserve"> </w:t>
      </w:r>
      <w:bookmarkStart w:id="40" w:name="_Toc56090019"/>
      <w:r w:rsidRPr="005C05CC">
        <w:rPr>
          <w:rFonts w:asciiTheme="minorHAnsi" w:hAnsiTheme="minorHAnsi"/>
        </w:rPr>
        <w:t>Nepriame výdavky</w:t>
      </w:r>
      <w:bookmarkEnd w:id="38"/>
      <w:r w:rsidR="0041707F" w:rsidRPr="005C05CC">
        <w:rPr>
          <w:rStyle w:val="Odkaznapoznmkupodiarou"/>
          <w:rFonts w:asciiTheme="minorHAnsi" w:hAnsiTheme="minorHAnsi"/>
        </w:rPr>
        <w:footnoteReference w:id="22"/>
      </w:r>
      <w:bookmarkEnd w:id="39"/>
      <w:bookmarkEnd w:id="40"/>
    </w:p>
    <w:p w14:paraId="2EC6CF50" w14:textId="77777777" w:rsidR="00321828" w:rsidRDefault="00321828" w:rsidP="00321828">
      <w:pPr>
        <w:spacing w:before="120" w:line="240" w:lineRule="auto"/>
        <w:jc w:val="both"/>
      </w:pPr>
      <w:r>
        <w:t xml:space="preserve">Nepriame výdavky majú charakter bežných výdavkov (prevádzková réžia) a slúžia na financovanie podporných aktivít projektu. Nepriame výdavky (režijné výdavky) sú také výdavky, ktoré nie sú, resp. nemôžu byť priamo priradené k niektorej z hlavných aktivít projektu. Nepriame výdavky sú oprávnenými v prípade, že vychádzajú zo skutočne vzniknutých oprávnených výdavkov súvisiacich s projektom. Nepriamymi výdavkami sú najmä výdavky, resp. ich relevantná časť na mzdové výdavky zamestnancov, ako aj výdavky na informovanie a komunikácia spojená s realizáciou projektu. </w:t>
      </w:r>
    </w:p>
    <w:p w14:paraId="5BB7278A" w14:textId="22CB8F49" w:rsidR="006A5B4A" w:rsidRPr="00C04242" w:rsidRDefault="006A5B4A" w:rsidP="006A5B4A">
      <w:pPr>
        <w:spacing w:before="120" w:line="240" w:lineRule="auto"/>
        <w:jc w:val="both"/>
      </w:pPr>
      <w:r>
        <w:t>V rámci ŠC 2.1.</w:t>
      </w:r>
      <w:r w:rsidR="006B742C">
        <w:t>4</w:t>
      </w:r>
      <w:r>
        <w:t xml:space="preserve"> sú nepriame výdavky </w:t>
      </w:r>
      <w:r w:rsidR="006B742C">
        <w:t xml:space="preserve">oprávnené podľa prílohy týchto pravidiel, resp. ich oprávnenosť </w:t>
      </w:r>
      <w:r w:rsidR="00957134">
        <w:t>je definovaná</w:t>
      </w:r>
      <w:r w:rsidR="006B742C">
        <w:t xml:space="preserve"> </w:t>
      </w:r>
      <w:r w:rsidR="00335DAE">
        <w:t>príslušnou</w:t>
      </w:r>
      <w:r w:rsidR="006B742C">
        <w:t xml:space="preserve"> výzv</w:t>
      </w:r>
      <w:r w:rsidR="00335DAE">
        <w:t>ou</w:t>
      </w:r>
      <w:r>
        <w:t>.</w:t>
      </w:r>
    </w:p>
    <w:p w14:paraId="76532617" w14:textId="77777777" w:rsidR="004B7756" w:rsidRPr="00B5339F" w:rsidRDefault="004B7756" w:rsidP="00151681">
      <w:pPr>
        <w:spacing w:before="120" w:line="240" w:lineRule="auto"/>
        <w:jc w:val="both"/>
      </w:pPr>
      <w:r w:rsidRPr="00B5339F">
        <w:t>Pri reálnom vykazovaní nepriamych výdavkov nie je možné zahrnúť výdavky na obstaranie akéhokoľvek dlhodobého hmotného/nehmotného majetku (vrátane drobného dlhodobého hmotného/nehmotného majetku do oprávnených výdavkov na podporné aktivity projektu</w:t>
      </w:r>
      <w:r w:rsidR="00C67C41">
        <w:t>)</w:t>
      </w:r>
      <w:r w:rsidRPr="00B5339F">
        <w:t>.</w:t>
      </w:r>
    </w:p>
    <w:p w14:paraId="6EE9498C" w14:textId="77777777" w:rsidR="004B7756" w:rsidRDefault="004B7756" w:rsidP="00151681">
      <w:pPr>
        <w:spacing w:before="120" w:line="240" w:lineRule="auto"/>
        <w:jc w:val="both"/>
      </w:pPr>
      <w:r w:rsidRPr="00B5339F">
        <w:t xml:space="preserve">Nepriame výdavky nad stanovený limit sa považujú za neoprávnené výdavky. </w:t>
      </w:r>
      <w:r w:rsidRPr="00C04242">
        <w:t xml:space="preserve">Celková oprávnená výška nepriamych výdavkov za celé obdobie realizácie projektu sa prepočíta v záverečnej </w:t>
      </w:r>
      <w:r w:rsidR="001E5C25">
        <w:t>ŽoP</w:t>
      </w:r>
      <w:r w:rsidRPr="00C04242">
        <w:t>.</w:t>
      </w:r>
    </w:p>
    <w:p w14:paraId="06B7702E" w14:textId="5D2F19EA" w:rsidR="00F3772E" w:rsidRDefault="00F3772E" w:rsidP="00F3772E">
      <w:pPr>
        <w:spacing w:before="120" w:line="240" w:lineRule="auto"/>
        <w:rPr>
          <w:rFonts w:eastAsiaTheme="minorHAnsi"/>
          <w:lang w:eastAsia="en-US"/>
        </w:rPr>
      </w:pPr>
      <w:r>
        <w:rPr>
          <w:rFonts w:eastAsiaTheme="minorHAnsi"/>
          <w:lang w:eastAsia="en-US"/>
        </w:rPr>
        <w:t>Na čerpanie nepriamych výdavkov v prípade, že by boli oprávnené</w:t>
      </w:r>
      <w:r w:rsidR="001C713E">
        <w:rPr>
          <w:rFonts w:eastAsiaTheme="minorHAnsi"/>
          <w:lang w:eastAsia="en-US"/>
        </w:rPr>
        <w:t>,</w:t>
      </w:r>
      <w:r>
        <w:rPr>
          <w:rFonts w:eastAsiaTheme="minorHAnsi"/>
          <w:lang w:eastAsia="en-US"/>
        </w:rPr>
        <w:t xml:space="preserve">  sa vzťahujú finančné limity, upravené týmito pravidlami OV. </w:t>
      </w:r>
    </w:p>
    <w:p w14:paraId="0D1FB3A9" w14:textId="27B2D6B2" w:rsidR="00CF44B1" w:rsidRDefault="0076412B" w:rsidP="0076412B">
      <w:pPr>
        <w:pStyle w:val="Nadpis2"/>
        <w:numPr>
          <w:ilvl w:val="1"/>
          <w:numId w:val="28"/>
        </w:numPr>
        <w:spacing w:after="120" w:line="240" w:lineRule="auto"/>
        <w:rPr>
          <w:rFonts w:asciiTheme="minorHAnsi" w:hAnsiTheme="minorHAnsi"/>
        </w:rPr>
      </w:pPr>
      <w:bookmarkStart w:id="41" w:name="_Toc56090020"/>
      <w:r>
        <w:rPr>
          <w:rFonts w:asciiTheme="minorHAnsi" w:hAnsiTheme="minorHAnsi"/>
        </w:rPr>
        <w:lastRenderedPageBreak/>
        <w:t>Krížové financovanie</w:t>
      </w:r>
      <w:bookmarkEnd w:id="41"/>
    </w:p>
    <w:p w14:paraId="2715F8BB" w14:textId="3711BDC7" w:rsidR="00AC7B13" w:rsidRPr="00582413" w:rsidRDefault="00556AAE" w:rsidP="0076412B">
      <w:pPr>
        <w:pStyle w:val="Odsekzoznamu"/>
        <w:ind w:left="0"/>
        <w:jc w:val="both"/>
      </w:pPr>
      <w:r>
        <w:t xml:space="preserve">V rámci špecifického </w:t>
      </w:r>
      <w:r w:rsidR="00AC7B13" w:rsidRPr="00582413">
        <w:t>cieľ</w:t>
      </w:r>
      <w:r>
        <w:t>a</w:t>
      </w:r>
      <w:r w:rsidR="00AC7B13" w:rsidRPr="00582413">
        <w:t xml:space="preserve"> 2.1.4.  Posilnenie kapacít v zdravotníckom systéme a ochrana verejného zdravia ako reakcia na pandémiu COVID-19 financovaného z Európskeho fondu regionálneho rozvoja </w:t>
      </w:r>
      <w:r>
        <w:t xml:space="preserve">sa </w:t>
      </w:r>
      <w:r w:rsidR="00AC7B13" w:rsidRPr="00582413">
        <w:t>uplatňuje krížové financovanie</w:t>
      </w:r>
      <w:r w:rsidR="0040786F" w:rsidRPr="00582413">
        <w:t>,</w:t>
      </w:r>
      <w:r w:rsidR="00AC7B13" w:rsidRPr="00582413">
        <w:t xml:space="preserve"> podľa ktorého sa doplnkovým spôsobom financuje časť </w:t>
      </w:r>
      <w:r w:rsidR="00582413">
        <w:t>projektu, ktorého</w:t>
      </w:r>
      <w:r w:rsidR="00AC7B13" w:rsidRPr="00582413">
        <w:t xml:space="preserve"> náklady sú oprávnené na podporu z Európskeho sociálneho fondu</w:t>
      </w:r>
      <w:r w:rsidR="0040786F" w:rsidRPr="00582413">
        <w:t xml:space="preserve">. </w:t>
      </w:r>
    </w:p>
    <w:p w14:paraId="131896E9" w14:textId="77063D0D" w:rsidR="0040786F" w:rsidRDefault="0040786F" w:rsidP="0076412B">
      <w:pPr>
        <w:pStyle w:val="Odsekzoznamu"/>
        <w:ind w:left="0"/>
        <w:jc w:val="both"/>
      </w:pPr>
    </w:p>
    <w:p w14:paraId="456111F6" w14:textId="7C91E608" w:rsidR="0040786F" w:rsidRDefault="00556AAE" w:rsidP="0076412B">
      <w:pPr>
        <w:pStyle w:val="Odsekzoznamu"/>
        <w:ind w:left="0"/>
        <w:jc w:val="both"/>
      </w:pPr>
      <w:r>
        <w:t>Krížové financovanie sa uplatňuje pri splnení nasledovných podmienok:</w:t>
      </w:r>
    </w:p>
    <w:p w14:paraId="6DDFCC67" w14:textId="484F01EC" w:rsidR="0040786F" w:rsidRDefault="00582413" w:rsidP="006423C5">
      <w:pPr>
        <w:pStyle w:val="Odsekzoznamu"/>
        <w:numPr>
          <w:ilvl w:val="0"/>
          <w:numId w:val="45"/>
        </w:numPr>
        <w:jc w:val="both"/>
      </w:pPr>
      <w:r>
        <w:t xml:space="preserve">je upravené </w:t>
      </w:r>
      <w:r w:rsidR="006D2F16">
        <w:t>vý</w:t>
      </w:r>
      <w:r w:rsidR="0040786F">
        <w:t>zv</w:t>
      </w:r>
      <w:r w:rsidR="006D2F16">
        <w:t>ou</w:t>
      </w:r>
      <w:r w:rsidR="0040786F">
        <w:t xml:space="preserve"> na predkladanie žiadosti o NFP/</w:t>
      </w:r>
      <w:r w:rsidR="00556AAE">
        <w:t>vyzvaním</w:t>
      </w:r>
      <w:r w:rsidR="0040786F">
        <w:t xml:space="preserve"> na predloženie národného projektu</w:t>
      </w:r>
      <w:r w:rsidR="00BF15E8">
        <w:t>;</w:t>
      </w:r>
      <w:r w:rsidR="0040786F">
        <w:t xml:space="preserve"> </w:t>
      </w:r>
    </w:p>
    <w:p w14:paraId="6807470C" w14:textId="1DD4A32D" w:rsidR="006423C5" w:rsidRDefault="006423C5" w:rsidP="006423C5">
      <w:pPr>
        <w:pStyle w:val="Odsekzoznamu"/>
        <w:numPr>
          <w:ilvl w:val="0"/>
          <w:numId w:val="45"/>
        </w:numPr>
        <w:jc w:val="both"/>
      </w:pPr>
      <w:r>
        <w:t>v projekte musí byť preukázané, že ide o náklady, ktoré sú potrebné na uspokojivú realizáciu projektu a sú priamo spojené s jeho realizáciou</w:t>
      </w:r>
      <w:r w:rsidR="00BF15E8">
        <w:t>;</w:t>
      </w:r>
    </w:p>
    <w:p w14:paraId="7746AF6C" w14:textId="4F4E5D5A" w:rsidR="00B866E8" w:rsidRDefault="00B866E8" w:rsidP="00B866E8">
      <w:pPr>
        <w:pStyle w:val="Odsekzoznamu"/>
        <w:numPr>
          <w:ilvl w:val="0"/>
          <w:numId w:val="45"/>
        </w:numPr>
        <w:ind w:left="709"/>
        <w:jc w:val="both"/>
      </w:pPr>
      <w:r w:rsidRPr="00B866E8">
        <w:rPr>
          <w:color w:val="000000"/>
          <w:lang w:eastAsia="en-US"/>
        </w:rPr>
        <w:t>aktivity spolufinancované krížovým financovaním musia byť v súlade so štát</w:t>
      </w:r>
      <w:r>
        <w:rPr>
          <w:color w:val="000000"/>
          <w:lang w:eastAsia="en-US"/>
        </w:rPr>
        <w:t>nou pomocou/pomocou de minimis</w:t>
      </w:r>
      <w:r w:rsidR="00BF15E8">
        <w:rPr>
          <w:color w:val="000000"/>
          <w:lang w:eastAsia="en-US"/>
        </w:rPr>
        <w:t>;</w:t>
      </w:r>
      <w:r>
        <w:rPr>
          <w:color w:val="000000"/>
          <w:lang w:eastAsia="en-US"/>
        </w:rPr>
        <w:t xml:space="preserve"> </w:t>
      </w:r>
    </w:p>
    <w:p w14:paraId="77A3700A" w14:textId="6BD41C9F" w:rsidR="0040786F" w:rsidRDefault="0040786F" w:rsidP="006423C5">
      <w:pPr>
        <w:pStyle w:val="Odsekzoznamu"/>
        <w:numPr>
          <w:ilvl w:val="0"/>
          <w:numId w:val="45"/>
        </w:numPr>
        <w:jc w:val="both"/>
      </w:pPr>
      <w:r>
        <w:t xml:space="preserve">realizuje sa iba na </w:t>
      </w:r>
      <w:r w:rsidR="006D2F16">
        <w:t>časť pr</w:t>
      </w:r>
      <w:r w:rsidR="00582413">
        <w:t>ojektu</w:t>
      </w:r>
      <w:r w:rsidR="00BF15E8">
        <w:t>;</w:t>
      </w:r>
      <w:r w:rsidR="00582413">
        <w:t xml:space="preserve"> </w:t>
      </w:r>
    </w:p>
    <w:p w14:paraId="3E18C905" w14:textId="601F77CD" w:rsidR="006423C5" w:rsidRDefault="006423C5" w:rsidP="006423C5">
      <w:pPr>
        <w:pStyle w:val="Odsekzoznamu"/>
        <w:numPr>
          <w:ilvl w:val="0"/>
          <w:numId w:val="45"/>
        </w:numPr>
        <w:jc w:val="both"/>
      </w:pPr>
      <w:r>
        <w:t>výška oprávnených výdavkov krížového financovania nesmie prekročiť %</w:t>
      </w:r>
      <w:r w:rsidR="00B866E8">
        <w:t>-ln limit stanovený</w:t>
      </w:r>
      <w:r>
        <w:t xml:space="preserve"> prílohou Finančné a percentuálne limity</w:t>
      </w:r>
      <w:r w:rsidR="00BF15E8">
        <w:t>;</w:t>
      </w:r>
    </w:p>
    <w:p w14:paraId="64B65F81" w14:textId="30AFEE8A" w:rsidR="00582413" w:rsidRDefault="00582413" w:rsidP="006423C5">
      <w:pPr>
        <w:pStyle w:val="Odsekzoznamu"/>
        <w:numPr>
          <w:ilvl w:val="0"/>
          <w:numId w:val="45"/>
        </w:numPr>
        <w:jc w:val="both"/>
      </w:pPr>
      <w:r>
        <w:t>realizuje sa iba vo vzťahu k </w:t>
      </w:r>
      <w:r w:rsidR="00556AAE">
        <w:t>aktivitám</w:t>
      </w:r>
      <w:r>
        <w:t xml:space="preserve">, na ktoré sa </w:t>
      </w:r>
      <w:r w:rsidR="00B866E8">
        <w:t xml:space="preserve">uplatnenie </w:t>
      </w:r>
      <w:r>
        <w:t>krížové</w:t>
      </w:r>
      <w:r w:rsidR="00B866E8">
        <w:t>ho</w:t>
      </w:r>
      <w:r>
        <w:t xml:space="preserve"> financovanie odvoláva</w:t>
      </w:r>
      <w:r w:rsidR="00BF15E8">
        <w:t>;</w:t>
      </w:r>
    </w:p>
    <w:p w14:paraId="6E196579" w14:textId="1D58C886" w:rsidR="00582413" w:rsidRDefault="00556AAE" w:rsidP="006423C5">
      <w:pPr>
        <w:pStyle w:val="Odsekzoznamu"/>
        <w:numPr>
          <w:ilvl w:val="0"/>
          <w:numId w:val="45"/>
        </w:numPr>
        <w:jc w:val="both"/>
      </w:pPr>
      <w:r>
        <w:t xml:space="preserve">výdavky sa </w:t>
      </w:r>
      <w:r w:rsidR="00582413">
        <w:t>spravuj</w:t>
      </w:r>
      <w:r>
        <w:t>ú</w:t>
      </w:r>
      <w:r w:rsidR="00582413">
        <w:t xml:space="preserve"> pravidlami pre Európsky sociálny fond</w:t>
      </w:r>
      <w:r w:rsidR="00BF15E8">
        <w:t>;</w:t>
      </w:r>
    </w:p>
    <w:p w14:paraId="7CE63BBA" w14:textId="77777777" w:rsidR="006423C5" w:rsidRDefault="006423C5" w:rsidP="006423C5">
      <w:pPr>
        <w:pStyle w:val="Odsekzoznamu"/>
        <w:numPr>
          <w:ilvl w:val="0"/>
          <w:numId w:val="45"/>
        </w:numPr>
        <w:jc w:val="both"/>
      </w:pPr>
      <w:r>
        <w:t xml:space="preserve">krížovým financovaním sa financujú skupiny výdavkov </w:t>
      </w:r>
    </w:p>
    <w:p w14:paraId="278E3A8B" w14:textId="4CA87735" w:rsidR="006423C5" w:rsidRDefault="006423C5" w:rsidP="006423C5">
      <w:pPr>
        <w:pStyle w:val="Odsekzoznamu"/>
        <w:ind w:left="709"/>
      </w:pPr>
      <w:r w:rsidRPr="00582413">
        <w:t xml:space="preserve">- 112 Zásoby </w:t>
      </w:r>
      <w:r w:rsidRPr="00582413">
        <w:br/>
        <w:t xml:space="preserve">- 518 Ostatné služby </w:t>
      </w:r>
      <w:r w:rsidRPr="00582413">
        <w:br/>
        <w:t xml:space="preserve">- 521 Mzdové výdavky </w:t>
      </w:r>
      <w:r w:rsidRPr="00582413">
        <w:br/>
        <w:t>- 910 Jednotkové výdavky</w:t>
      </w:r>
      <w:r>
        <w:t xml:space="preserve">. </w:t>
      </w:r>
    </w:p>
    <w:p w14:paraId="070C8651" w14:textId="2D2F6BB4" w:rsidR="0040786F" w:rsidRDefault="0040786F" w:rsidP="0076412B">
      <w:pPr>
        <w:pStyle w:val="Odsekzoznamu"/>
        <w:ind w:left="0"/>
        <w:jc w:val="both"/>
      </w:pPr>
    </w:p>
    <w:p w14:paraId="641121B2" w14:textId="77777777" w:rsidR="0040786F" w:rsidRDefault="0040786F" w:rsidP="0076412B">
      <w:pPr>
        <w:pStyle w:val="Odsekzoznamu"/>
        <w:ind w:left="0"/>
        <w:jc w:val="both"/>
      </w:pPr>
    </w:p>
    <w:p w14:paraId="4D19B227" w14:textId="77777777" w:rsidR="0040786F" w:rsidRDefault="0040786F" w:rsidP="0076412B">
      <w:pPr>
        <w:pStyle w:val="Odsekzoznamu"/>
        <w:ind w:left="0"/>
        <w:jc w:val="both"/>
      </w:pPr>
    </w:p>
    <w:p w14:paraId="12E32D47" w14:textId="77777777" w:rsidR="0076412B" w:rsidRPr="0076412B" w:rsidRDefault="0076412B" w:rsidP="0076412B">
      <w:pPr>
        <w:rPr>
          <w:rFonts w:eastAsiaTheme="minorHAnsi"/>
        </w:rPr>
      </w:pPr>
    </w:p>
    <w:p w14:paraId="33D562B1" w14:textId="63903EC8" w:rsidR="00F3684C" w:rsidRDefault="00F3684C" w:rsidP="00FA0A4A">
      <w:pPr>
        <w:spacing w:before="120" w:line="240" w:lineRule="auto"/>
        <w:rPr>
          <w:rFonts w:eastAsiaTheme="minorHAnsi"/>
          <w:lang w:eastAsia="en-US"/>
        </w:rPr>
      </w:pPr>
    </w:p>
    <w:p w14:paraId="2FC57498" w14:textId="326F7FEB" w:rsidR="003E2ACD" w:rsidRDefault="003E2ACD" w:rsidP="00FA0A4A">
      <w:pPr>
        <w:spacing w:before="120" w:line="240" w:lineRule="auto"/>
        <w:rPr>
          <w:rFonts w:eastAsiaTheme="minorHAnsi"/>
          <w:lang w:eastAsia="en-US"/>
        </w:rPr>
      </w:pPr>
    </w:p>
    <w:p w14:paraId="7A8B170F" w14:textId="446C01E6" w:rsidR="003E2ACD" w:rsidRDefault="003E2ACD" w:rsidP="00FA0A4A">
      <w:pPr>
        <w:spacing w:before="120" w:line="240" w:lineRule="auto"/>
        <w:rPr>
          <w:rFonts w:eastAsiaTheme="minorHAnsi"/>
          <w:lang w:eastAsia="en-US"/>
        </w:rPr>
      </w:pPr>
    </w:p>
    <w:p w14:paraId="7E91B25D" w14:textId="797A35DA" w:rsidR="003E2ACD" w:rsidRDefault="003E2ACD" w:rsidP="00FA0A4A">
      <w:pPr>
        <w:spacing w:before="120" w:line="240" w:lineRule="auto"/>
        <w:rPr>
          <w:rFonts w:eastAsiaTheme="minorHAnsi"/>
          <w:lang w:eastAsia="en-US"/>
        </w:rPr>
      </w:pPr>
    </w:p>
    <w:p w14:paraId="6070D82A" w14:textId="2C5D0B3E" w:rsidR="003E2ACD" w:rsidRDefault="003E2ACD" w:rsidP="00FA0A4A">
      <w:pPr>
        <w:spacing w:before="120" w:line="240" w:lineRule="auto"/>
        <w:rPr>
          <w:rFonts w:eastAsiaTheme="minorHAnsi"/>
          <w:lang w:eastAsia="en-US"/>
        </w:rPr>
      </w:pPr>
    </w:p>
    <w:p w14:paraId="08850D56" w14:textId="7086BD78" w:rsidR="003E2ACD" w:rsidRDefault="003E2ACD" w:rsidP="00FA0A4A">
      <w:pPr>
        <w:spacing w:before="120" w:line="240" w:lineRule="auto"/>
        <w:rPr>
          <w:rFonts w:eastAsiaTheme="minorHAnsi"/>
          <w:lang w:eastAsia="en-US"/>
        </w:rPr>
      </w:pPr>
    </w:p>
    <w:p w14:paraId="7C1F882C" w14:textId="0EA06167" w:rsidR="003E2ACD" w:rsidRDefault="003E2ACD" w:rsidP="00FA0A4A">
      <w:pPr>
        <w:spacing w:before="120" w:line="240" w:lineRule="auto"/>
        <w:rPr>
          <w:rFonts w:eastAsiaTheme="minorHAnsi"/>
          <w:lang w:eastAsia="en-US"/>
        </w:rPr>
      </w:pPr>
    </w:p>
    <w:p w14:paraId="39C56870" w14:textId="5BB7872D" w:rsidR="003E2ACD" w:rsidRDefault="003E2ACD" w:rsidP="00FA0A4A">
      <w:pPr>
        <w:spacing w:before="120" w:line="240" w:lineRule="auto"/>
        <w:rPr>
          <w:rFonts w:eastAsiaTheme="minorHAnsi"/>
          <w:lang w:eastAsia="en-US"/>
        </w:rPr>
      </w:pPr>
    </w:p>
    <w:p w14:paraId="2AC9A357" w14:textId="394BCE55" w:rsidR="003E2ACD" w:rsidRDefault="003E2ACD" w:rsidP="00FA0A4A">
      <w:pPr>
        <w:spacing w:before="120" w:line="240" w:lineRule="auto"/>
        <w:rPr>
          <w:rFonts w:eastAsiaTheme="minorHAnsi"/>
          <w:lang w:eastAsia="en-US"/>
        </w:rPr>
      </w:pPr>
    </w:p>
    <w:p w14:paraId="2C37581D" w14:textId="78CCB08D" w:rsidR="003E2ACD" w:rsidRDefault="003E2ACD" w:rsidP="00FA0A4A">
      <w:pPr>
        <w:spacing w:before="120" w:line="240" w:lineRule="auto"/>
        <w:rPr>
          <w:rFonts w:eastAsiaTheme="minorHAnsi"/>
          <w:lang w:eastAsia="en-US"/>
        </w:rPr>
      </w:pPr>
    </w:p>
    <w:p w14:paraId="5F9E140C" w14:textId="6FD0F760" w:rsidR="003E2ACD" w:rsidRDefault="003E2ACD" w:rsidP="00FA0A4A">
      <w:pPr>
        <w:spacing w:before="120" w:line="240" w:lineRule="auto"/>
        <w:rPr>
          <w:rFonts w:eastAsiaTheme="minorHAnsi"/>
          <w:lang w:eastAsia="en-US"/>
        </w:rPr>
      </w:pPr>
    </w:p>
    <w:p w14:paraId="3EAF171C" w14:textId="336AB9C8" w:rsidR="003E2ACD" w:rsidRDefault="003E2ACD" w:rsidP="00FA0A4A">
      <w:pPr>
        <w:spacing w:before="120" w:line="240" w:lineRule="auto"/>
        <w:rPr>
          <w:rFonts w:eastAsiaTheme="minorHAnsi"/>
          <w:lang w:eastAsia="en-US"/>
        </w:rPr>
      </w:pPr>
    </w:p>
    <w:p w14:paraId="2065F4EA" w14:textId="0F35C1E8" w:rsidR="003E2ACD" w:rsidRDefault="003E2ACD" w:rsidP="00FA0A4A">
      <w:pPr>
        <w:spacing w:before="120" w:line="240" w:lineRule="auto"/>
        <w:rPr>
          <w:rFonts w:eastAsiaTheme="minorHAnsi"/>
          <w:lang w:eastAsia="en-US"/>
        </w:rPr>
      </w:pPr>
    </w:p>
    <w:p w14:paraId="315599E1" w14:textId="60B1FAD8" w:rsidR="003E2ACD" w:rsidRDefault="003E2ACD" w:rsidP="00FA0A4A">
      <w:pPr>
        <w:spacing w:before="120" w:line="240" w:lineRule="auto"/>
        <w:rPr>
          <w:rFonts w:eastAsiaTheme="minorHAnsi"/>
          <w:lang w:eastAsia="en-US"/>
        </w:rPr>
      </w:pPr>
    </w:p>
    <w:p w14:paraId="465752FA" w14:textId="1A866732" w:rsidR="004B7756" w:rsidRDefault="004B7756" w:rsidP="00151681">
      <w:pPr>
        <w:pStyle w:val="Nadpis1"/>
        <w:spacing w:before="120" w:after="120" w:line="240" w:lineRule="auto"/>
      </w:pPr>
      <w:bookmarkStart w:id="42" w:name="page11"/>
      <w:bookmarkStart w:id="43" w:name="_Toc476655619"/>
      <w:bookmarkStart w:id="44" w:name="_Toc505197979"/>
      <w:bookmarkStart w:id="45" w:name="_Toc56090021"/>
      <w:bookmarkEnd w:id="42"/>
      <w:r w:rsidRPr="00B5339F">
        <w:t>3  ZOZNAM OPRÁVNENÝCH VÝDAVKOV</w:t>
      </w:r>
      <w:bookmarkEnd w:id="43"/>
      <w:bookmarkEnd w:id="44"/>
      <w:bookmarkEnd w:id="45"/>
    </w:p>
    <w:p w14:paraId="352CFE07" w14:textId="77777777" w:rsidR="00FF3246" w:rsidRDefault="00FF3246" w:rsidP="00FF3246">
      <w:pPr>
        <w:spacing w:before="120" w:line="240" w:lineRule="auto"/>
        <w:jc w:val="both"/>
      </w:pPr>
    </w:p>
    <w:p w14:paraId="7B70D6D2" w14:textId="55DA2623" w:rsidR="00FF3246" w:rsidRPr="00557987" w:rsidRDefault="00FF3246" w:rsidP="00FF3246">
      <w:pPr>
        <w:spacing w:after="60" w:line="240" w:lineRule="auto"/>
        <w:jc w:val="both"/>
      </w:pPr>
      <w:r w:rsidRPr="00557987">
        <w:t xml:space="preserve">Zoznam oprávnených výdavkov pre ŠC 2.1.4 v členení podľa aktivít, ekonomickej klasifikácie rozpočtovej klasifikácie, skupín oprávnených výdavkov a oprávnených prijímateľov je uvedený v prílohe č. 2 týchto pravidiel oprávnenosti výdavkov. </w:t>
      </w:r>
    </w:p>
    <w:p w14:paraId="1F17187D" w14:textId="2D3941C9" w:rsidR="004B7756" w:rsidRPr="005C05CC" w:rsidRDefault="004B7756" w:rsidP="00151681">
      <w:pPr>
        <w:pStyle w:val="Nadpis2"/>
        <w:spacing w:after="120" w:line="240" w:lineRule="auto"/>
        <w:rPr>
          <w:rFonts w:asciiTheme="minorHAnsi" w:hAnsiTheme="minorHAnsi"/>
        </w:rPr>
      </w:pPr>
      <w:bookmarkStart w:id="46" w:name="_Toc476655620"/>
      <w:bookmarkStart w:id="47" w:name="_Toc505197980"/>
      <w:bookmarkStart w:id="48" w:name="_Toc56090022"/>
      <w:r w:rsidRPr="005C05CC">
        <w:rPr>
          <w:rFonts w:asciiTheme="minorHAnsi" w:hAnsiTheme="minorHAnsi"/>
        </w:rPr>
        <w:t>3.1 Číselník výdavkov a označovanie výdavkov</w:t>
      </w:r>
      <w:bookmarkEnd w:id="46"/>
      <w:bookmarkEnd w:id="47"/>
      <w:bookmarkEnd w:id="48"/>
    </w:p>
    <w:p w14:paraId="54133AD1" w14:textId="77777777" w:rsidR="004B7756" w:rsidRPr="00B5339F" w:rsidRDefault="004B7756" w:rsidP="00151681">
      <w:pPr>
        <w:spacing w:before="120" w:line="240" w:lineRule="auto"/>
        <w:jc w:val="both"/>
      </w:pPr>
      <w:r w:rsidRPr="00B5339F">
        <w:t>Číselník oprávnených výdavkov je súčasťou ITMS2014+ a spravuje ho Centrálny koordinačný orgán (ďalej len „CKO“) v spolupráci s RO pre IROP.</w:t>
      </w:r>
    </w:p>
    <w:p w14:paraId="00C441BD" w14:textId="77777777" w:rsidR="004B7756" w:rsidRPr="00B5339F" w:rsidRDefault="004B7756" w:rsidP="00151681">
      <w:pPr>
        <w:spacing w:before="120" w:line="240" w:lineRule="auto"/>
        <w:jc w:val="both"/>
      </w:pPr>
      <w:r w:rsidRPr="00B5339F">
        <w:t>Vecné vymedzenie výdavkov vrátane ich špecifikácií vychádza z opatrení Ministerstva financií SR, ktorými sa ustanovujú podrobnosti o postupoch účtovania.</w:t>
      </w:r>
    </w:p>
    <w:p w14:paraId="041AB306" w14:textId="77777777" w:rsidR="004B7756" w:rsidRPr="00B5339F" w:rsidRDefault="004B7756" w:rsidP="00151681">
      <w:pPr>
        <w:spacing w:before="120" w:line="240" w:lineRule="auto"/>
        <w:jc w:val="both"/>
      </w:pPr>
      <w:r w:rsidRPr="00B5339F">
        <w:t>Skupiny oprávnených výdavkov uvedené v číselníku oprávnených výdavkov slúžia na základné rozdelenie výdavkov projektu podľa ich charakteru a vzniku v rámci realizácie aktivít projektu. Skupiny oprávnených výdavkov sú používané žiadateľom pri vypracovaní ŽoNFP</w:t>
      </w:r>
      <w:r w:rsidR="0092680A">
        <w:rPr>
          <w:rStyle w:val="Odkaznapoznmkupodiarou"/>
        </w:rPr>
        <w:footnoteReference w:id="23"/>
      </w:r>
      <w:r w:rsidRPr="00B5339F">
        <w:t xml:space="preserve"> a prijímateľom pri príprave ŽoP.</w:t>
      </w:r>
    </w:p>
    <w:p w14:paraId="0F52ABF9" w14:textId="77777777" w:rsidR="004B7756" w:rsidRPr="00B5339F" w:rsidRDefault="004B7756" w:rsidP="00151681">
      <w:pPr>
        <w:spacing w:before="120" w:line="240" w:lineRule="auto"/>
        <w:jc w:val="both"/>
      </w:pPr>
      <w:r w:rsidRPr="00B5339F">
        <w:t xml:space="preserve">Oprávnené výdavky uvedené v podkapitolách tejto kapitoly uvádzajú všeobecný prehľad oprávnených výdavkov IROP a nie sú automaticky oprávnené pre všetky projekty. Žiadateľ </w:t>
      </w:r>
      <w:r w:rsidRPr="007B5EB3">
        <w:t xml:space="preserve">vypracováva ŽoNFP </w:t>
      </w:r>
      <w:r w:rsidRPr="00B5339F">
        <w:t>tak, aby každý výdavok plánovaný v danom projekte bol jednoznačne a</w:t>
      </w:r>
      <w:r w:rsidR="00C42023">
        <w:t> </w:t>
      </w:r>
      <w:r w:rsidRPr="00B5339F">
        <w:t>správne zaradený do príslušnej skupiny oprávnených výdavkov.</w:t>
      </w:r>
    </w:p>
    <w:p w14:paraId="719C36AB" w14:textId="77777777" w:rsidR="004B7756" w:rsidRPr="00B5339F" w:rsidRDefault="004B7756" w:rsidP="00151681">
      <w:pPr>
        <w:spacing w:before="120" w:line="240" w:lineRule="auto"/>
        <w:jc w:val="both"/>
      </w:pPr>
      <w:r w:rsidRPr="00B5339F">
        <w:t xml:space="preserve">Napriek tomu, že </w:t>
      </w:r>
      <w:r w:rsidRPr="00856E7C">
        <w:rPr>
          <w:u w:val="single"/>
        </w:rPr>
        <w:t>číselník vychádza z účtovnej osnovy</w:t>
      </w:r>
      <w:r w:rsidRPr="00B5339F">
        <w:t xml:space="preserve">, </w:t>
      </w:r>
      <w:r w:rsidRPr="00856E7C">
        <w:rPr>
          <w:b/>
        </w:rPr>
        <w:t>nekopíruje ju</w:t>
      </w:r>
      <w:r w:rsidRPr="00B5339F">
        <w:t xml:space="preserve">. Výstupy z účtovníctva jednotlivých účtovných jednotiek - žiadateľov teda </w:t>
      </w:r>
      <w:r w:rsidRPr="00856E7C">
        <w:rPr>
          <w:b/>
        </w:rPr>
        <w:t>nemusia byť totožné</w:t>
      </w:r>
      <w:r w:rsidRPr="00B5339F">
        <w:t xml:space="preserve"> so zaradením nákladov/výdavkov do tried a skupín tak, ako to určuje tento číselník.</w:t>
      </w:r>
    </w:p>
    <w:p w14:paraId="10EA3C6F" w14:textId="77777777" w:rsidR="004B7756" w:rsidRPr="00B5339F" w:rsidRDefault="004B7756" w:rsidP="00151681">
      <w:pPr>
        <w:spacing w:before="120" w:line="240" w:lineRule="auto"/>
        <w:jc w:val="both"/>
      </w:pPr>
      <w:r w:rsidRPr="00B5339F">
        <w:t>Číselník oprávnených výdavkov s dole uvedenými triedami a skupinami tvorí súčasť ITMS 2014+.</w:t>
      </w:r>
    </w:p>
    <w:p w14:paraId="051D3330" w14:textId="77777777" w:rsidR="004B7756" w:rsidRPr="00856E7C" w:rsidRDefault="004B7756" w:rsidP="00151681">
      <w:pPr>
        <w:spacing w:after="60" w:line="240" w:lineRule="auto"/>
        <w:jc w:val="both"/>
        <w:rPr>
          <w:u w:val="single"/>
        </w:rPr>
      </w:pPr>
      <w:r w:rsidRPr="00856E7C">
        <w:rPr>
          <w:u w:val="single"/>
        </w:rPr>
        <w:t>Členenie číselníka oprávnených výdavkov je nasledovné:</w:t>
      </w:r>
    </w:p>
    <w:p w14:paraId="4C416924" w14:textId="77777777" w:rsidR="004B7756" w:rsidRPr="00B5339F" w:rsidRDefault="004B7756" w:rsidP="008858BA">
      <w:pPr>
        <w:numPr>
          <w:ilvl w:val="0"/>
          <w:numId w:val="11"/>
        </w:numPr>
        <w:spacing w:after="60" w:line="240" w:lineRule="auto"/>
        <w:jc w:val="both"/>
      </w:pPr>
      <w:r w:rsidRPr="00B5339F">
        <w:t xml:space="preserve">trieda – vecné vymedzenie výdavku; </w:t>
      </w:r>
    </w:p>
    <w:p w14:paraId="046B6678" w14:textId="77777777" w:rsidR="004B7756" w:rsidRPr="00B5339F" w:rsidRDefault="004B7756" w:rsidP="008858BA">
      <w:pPr>
        <w:numPr>
          <w:ilvl w:val="0"/>
          <w:numId w:val="11"/>
        </w:numPr>
        <w:spacing w:after="60" w:line="240" w:lineRule="auto"/>
        <w:jc w:val="both"/>
      </w:pPr>
      <w:r w:rsidRPr="00B5339F">
        <w:t xml:space="preserve">skupina – špecifikácia výdavku v rámci danej triedy; </w:t>
      </w:r>
    </w:p>
    <w:p w14:paraId="2746BBA6" w14:textId="77777777" w:rsidR="004B7756" w:rsidRPr="00B5339F" w:rsidRDefault="004B7756" w:rsidP="008858BA">
      <w:pPr>
        <w:numPr>
          <w:ilvl w:val="0"/>
          <w:numId w:val="11"/>
        </w:numPr>
        <w:spacing w:line="240" w:lineRule="auto"/>
        <w:ind w:left="714" w:hanging="357"/>
        <w:jc w:val="both"/>
      </w:pPr>
      <w:r w:rsidRPr="00B5339F">
        <w:t>druh – ide o definovanie výdavku, pričom druh oprávneného výdavku je kategorizovaný v</w:t>
      </w:r>
      <w:r w:rsidR="00C42023">
        <w:t> </w:t>
      </w:r>
      <w:r w:rsidRPr="00B5339F">
        <w:t xml:space="preserve">rámci triedy a skupiny oprávnených výdavkov. Druh výdavku neobsahuje kód. </w:t>
      </w:r>
    </w:p>
    <w:p w14:paraId="5F998FAB" w14:textId="77777777" w:rsidR="004B7756" w:rsidRDefault="004B7756" w:rsidP="00151681">
      <w:pPr>
        <w:spacing w:before="120" w:line="240" w:lineRule="auto"/>
        <w:jc w:val="both"/>
        <w:rPr>
          <w:u w:val="single"/>
        </w:rPr>
      </w:pPr>
      <w:r w:rsidRPr="00856E7C">
        <w:rPr>
          <w:u w:val="single"/>
        </w:rPr>
        <w:t>Štruktúra číselníka oprávnených výdavkov je nasledovná:</w:t>
      </w:r>
    </w:p>
    <w:p w14:paraId="21296E16" w14:textId="77777777" w:rsidR="00442BCB" w:rsidRPr="00856E7C" w:rsidRDefault="00442BCB" w:rsidP="00151681">
      <w:pPr>
        <w:spacing w:before="120" w:line="240" w:lineRule="auto"/>
        <w:jc w:val="both"/>
        <w:rPr>
          <w:u w:val="single"/>
        </w:rPr>
      </w:pPr>
      <w:r>
        <w:rPr>
          <w:noProof/>
        </w:rPr>
        <w:drawing>
          <wp:anchor distT="0" distB="0" distL="114300" distR="114300" simplePos="0" relativeHeight="251660288" behindDoc="1" locked="0" layoutInCell="0" allowOverlap="1" wp14:anchorId="321810DD" wp14:editId="604BB0F8">
            <wp:simplePos x="0" y="0"/>
            <wp:positionH relativeFrom="column">
              <wp:posOffset>3175</wp:posOffset>
            </wp:positionH>
            <wp:positionV relativeFrom="paragraph">
              <wp:posOffset>112395</wp:posOffset>
            </wp:positionV>
            <wp:extent cx="4543425" cy="723900"/>
            <wp:effectExtent l="0" t="0" r="9525" b="0"/>
            <wp:wrapNone/>
            <wp:docPr id="5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6971" cy="724465"/>
                    </a:xfrm>
                    <a:prstGeom prst="rect">
                      <a:avLst/>
                    </a:prstGeom>
                    <a:noFill/>
                  </pic:spPr>
                </pic:pic>
              </a:graphicData>
            </a:graphic>
            <wp14:sizeRelH relativeFrom="page">
              <wp14:pctWidth>0</wp14:pctWidth>
            </wp14:sizeRelH>
            <wp14:sizeRelV relativeFrom="page">
              <wp14:pctHeight>0</wp14:pctHeight>
            </wp14:sizeRelV>
          </wp:anchor>
        </w:drawing>
      </w:r>
    </w:p>
    <w:p w14:paraId="4D710919" w14:textId="77777777" w:rsidR="004B7756" w:rsidRDefault="004B7756" w:rsidP="00151681">
      <w:pPr>
        <w:spacing w:before="120" w:line="240" w:lineRule="auto"/>
        <w:jc w:val="both"/>
      </w:pPr>
    </w:p>
    <w:p w14:paraId="0476EC63" w14:textId="77777777" w:rsidR="00666D96" w:rsidRPr="00B5339F" w:rsidRDefault="00666D96" w:rsidP="00151681">
      <w:pPr>
        <w:spacing w:before="120" w:line="240" w:lineRule="auto"/>
        <w:jc w:val="both"/>
      </w:pPr>
    </w:p>
    <w:p w14:paraId="61573F72" w14:textId="77777777" w:rsidR="005D08EF" w:rsidRDefault="005D08EF" w:rsidP="00151681">
      <w:pPr>
        <w:spacing w:before="120" w:line="240" w:lineRule="auto"/>
        <w:jc w:val="both"/>
      </w:pPr>
    </w:p>
    <w:p w14:paraId="6B29DC11" w14:textId="1550B3E6" w:rsidR="004B7756" w:rsidRPr="005C05CC" w:rsidRDefault="004B7756" w:rsidP="00151681">
      <w:pPr>
        <w:pStyle w:val="Nadpis2"/>
        <w:spacing w:after="120" w:line="240" w:lineRule="auto"/>
        <w:rPr>
          <w:rFonts w:asciiTheme="minorHAnsi" w:hAnsiTheme="minorHAnsi"/>
        </w:rPr>
      </w:pPr>
      <w:bookmarkStart w:id="49" w:name="_Toc476655621"/>
      <w:bookmarkStart w:id="50" w:name="_Toc505197981"/>
      <w:bookmarkStart w:id="51" w:name="_Toc56090023"/>
      <w:r w:rsidRPr="005C05CC">
        <w:rPr>
          <w:rFonts w:asciiTheme="minorHAnsi" w:hAnsiTheme="minorHAnsi"/>
        </w:rPr>
        <w:t>3.2 Trieda 01 – Dlhodobý nehmotný majetok</w:t>
      </w:r>
      <w:bookmarkEnd w:id="49"/>
      <w:bookmarkEnd w:id="50"/>
      <w:bookmarkEnd w:id="51"/>
    </w:p>
    <w:p w14:paraId="3FEC6858" w14:textId="77777777" w:rsidR="004B7756" w:rsidRPr="0028341A" w:rsidRDefault="004B7756" w:rsidP="00151681">
      <w:pPr>
        <w:spacing w:before="120" w:line="240" w:lineRule="auto"/>
        <w:jc w:val="both"/>
        <w:rPr>
          <w:b/>
        </w:rPr>
      </w:pPr>
      <w:r w:rsidRPr="0028341A">
        <w:rPr>
          <w:b/>
        </w:rPr>
        <w:t>Vecné vymedzenie</w:t>
      </w:r>
    </w:p>
    <w:p w14:paraId="6B6BCEA9" w14:textId="77777777" w:rsidR="004B7756" w:rsidRPr="00B5339F" w:rsidRDefault="004B7756" w:rsidP="00151681">
      <w:pPr>
        <w:spacing w:before="120" w:line="240" w:lineRule="auto"/>
        <w:jc w:val="both"/>
      </w:pPr>
      <w:r w:rsidRPr="00B5339F">
        <w:lastRenderedPageBreak/>
        <w:t>Dlhodobým nehmotným majetkom</w:t>
      </w:r>
      <w:r>
        <w:rPr>
          <w:rStyle w:val="Odkaznapoznmkupodiarou"/>
        </w:rPr>
        <w:footnoteReference w:id="24"/>
      </w:r>
      <w:r w:rsidRPr="00B5339F">
        <w:t xml:space="preserve"> sú zložky majetku, ktorých ocenenie je vyššie ako suma podľa osobitného predpisu (2 400 </w:t>
      </w:r>
      <w:r w:rsidR="005D08EF">
        <w:t>eur</w:t>
      </w:r>
      <w:r w:rsidRPr="00B5339F">
        <w:t>)</w:t>
      </w:r>
      <w:r>
        <w:rPr>
          <w:rStyle w:val="Odkaznapoznmkupodiarou"/>
        </w:rPr>
        <w:footnoteReference w:id="25"/>
      </w:r>
      <w:r w:rsidRPr="00B5339F">
        <w:t xml:space="preserve"> a doba použiteľnosti dlhšia ako jeden rok. Nehmotný majetok, ktorého ocenenie sa rovná</w:t>
      </w:r>
      <w:r>
        <w:t xml:space="preserve"> </w:t>
      </w:r>
      <w:bookmarkStart w:id="52" w:name="page12"/>
      <w:bookmarkEnd w:id="52"/>
      <w:r w:rsidRPr="00B5339F">
        <w:t>sume podľa osobitného predpisu</w:t>
      </w:r>
      <w:r>
        <w:rPr>
          <w:rStyle w:val="Odkaznapoznmkupodiarou"/>
        </w:rPr>
        <w:footnoteReference w:id="26"/>
      </w:r>
      <w:r w:rsidRPr="00B5339F">
        <w:t xml:space="preserve"> alebo je nižšie, možno zaradiť (podľa rozhodnutia účtovnej jednotky - prijímateľa) do dlhodobého nehmotného majetku, ak doba použiteľnosti tohto majetku je dlhšia ako jeden rok.</w:t>
      </w:r>
    </w:p>
    <w:p w14:paraId="21E4094E" w14:textId="77777777" w:rsidR="004B7756" w:rsidRPr="00B5339F" w:rsidRDefault="004B7756" w:rsidP="00151681">
      <w:pPr>
        <w:spacing w:before="120" w:line="240" w:lineRule="auto"/>
        <w:jc w:val="both"/>
      </w:pPr>
      <w:r w:rsidRPr="00B5339F">
        <w:t>Nehmotný majetok, ktorého ocenenie sa rovná sume podľa osobitného predpisu alebo je nižšie, s</w:t>
      </w:r>
      <w:r w:rsidR="00C42023">
        <w:t> </w:t>
      </w:r>
      <w:r w:rsidRPr="00B5339F">
        <w:t xml:space="preserve">dobou použiteľnosti dlhšou ako jeden rok, ktorý nebol zaradený do dlhodobého nehmotného majetku, sa vykazuje v triede oprávnených výdavkov </w:t>
      </w:r>
      <w:r w:rsidRPr="00856E7C">
        <w:rPr>
          <w:u w:val="single"/>
        </w:rPr>
        <w:t>51 – Služby</w:t>
      </w:r>
      <w:r w:rsidRPr="00B5339F">
        <w:t>.</w:t>
      </w:r>
    </w:p>
    <w:p w14:paraId="4445BBFE" w14:textId="77777777" w:rsidR="004B7756" w:rsidRPr="00B5339F" w:rsidRDefault="004B7756" w:rsidP="00151681">
      <w:pPr>
        <w:spacing w:before="120" w:line="240" w:lineRule="auto"/>
        <w:jc w:val="both"/>
      </w:pPr>
      <w:r w:rsidRPr="00B5339F">
        <w:t>Do triedy oprávnených výdavkov 01 sa zaraďujú najmä nehmotné výsledky z vývojovej a obdobnej činnosti, softvér, oceniteľné práva (napr. licencie, know-how, autorské práva, obchodné značky, ochranné známky, predmety priemyselných práv), územné plány.</w:t>
      </w:r>
    </w:p>
    <w:p w14:paraId="4249E421" w14:textId="77777777" w:rsidR="004B7756" w:rsidRDefault="004B7756" w:rsidP="00151681">
      <w:pPr>
        <w:spacing w:before="120" w:line="240" w:lineRule="auto"/>
        <w:jc w:val="both"/>
      </w:pPr>
      <w:r w:rsidRPr="00856E7C">
        <w:rPr>
          <w:u w:val="single"/>
        </w:rPr>
        <w:t>Ako dlhodobý nehmotný majetok sa nevykazujú</w:t>
      </w:r>
      <w:r w:rsidRPr="00B5339F">
        <w:t>: výdavky na školenia a semináre, marketingové a</w:t>
      </w:r>
      <w:r w:rsidR="00C42023">
        <w:t> </w:t>
      </w:r>
      <w:r w:rsidRPr="00B5339F">
        <w:t>podobné štúdie, prieskum trhu, poradenstvo, odborné posudky, získanie noriem a certifikátov, napríklad ako sú ISO normy, prípravu a zábeh výkonov, reklamu, uvedenie výrobkov na trh, reštrukturalizáciu a reorganizáciu podniku alebo jeho časti, na rozšírenie výroby, ako aj ostatné náklady podobného charakteru.</w:t>
      </w:r>
    </w:p>
    <w:p w14:paraId="27C18C33" w14:textId="77777777" w:rsidR="0003730B" w:rsidRPr="00B5339F" w:rsidRDefault="0003730B" w:rsidP="00151681">
      <w:pPr>
        <w:spacing w:before="120" w:line="240" w:lineRule="auto"/>
        <w:jc w:val="both"/>
      </w:pPr>
    </w:p>
    <w:p w14:paraId="472C3B92" w14:textId="77777777" w:rsidR="004B7756" w:rsidRPr="00856E7C" w:rsidRDefault="004B7756" w:rsidP="00151681">
      <w:pPr>
        <w:spacing w:before="120" w:line="240" w:lineRule="auto"/>
        <w:jc w:val="both"/>
        <w:rPr>
          <w:b/>
        </w:rPr>
      </w:pPr>
      <w:r w:rsidRPr="00856E7C">
        <w:rPr>
          <w:b/>
        </w:rPr>
        <w:t>Skupiny oprávnených výdavkov triedy 01</w:t>
      </w:r>
    </w:p>
    <w:p w14:paraId="06F62EFA" w14:textId="77777777" w:rsidR="004B7756" w:rsidRPr="00B5339F" w:rsidRDefault="004B7756" w:rsidP="00151681">
      <w:pPr>
        <w:spacing w:after="60" w:line="240" w:lineRule="auto"/>
        <w:jc w:val="both"/>
      </w:pPr>
      <w:r w:rsidRPr="00856E7C">
        <w:rPr>
          <w:b/>
        </w:rPr>
        <w:t>013 - Softvér</w:t>
      </w:r>
      <w:r w:rsidRPr="00B5339F">
        <w:t xml:space="preserve"> - ak nie je súčasťou dodávateľskej zmluvy na uskutočnenie stavebných prác a/alebo ak je kúpený samostatne a nie je súčasťou dodávky hardvéru a jeho ocenenia</w:t>
      </w:r>
    </w:p>
    <w:p w14:paraId="2D74E59E" w14:textId="77777777" w:rsidR="004B7756" w:rsidRPr="00B5339F" w:rsidRDefault="004B7756" w:rsidP="008858BA">
      <w:pPr>
        <w:numPr>
          <w:ilvl w:val="0"/>
          <w:numId w:val="12"/>
        </w:numPr>
        <w:spacing w:after="60" w:line="240" w:lineRule="auto"/>
        <w:jc w:val="both"/>
      </w:pPr>
      <w:r w:rsidRPr="00B5339F">
        <w:t>Nákup softvéru – výdavky na obstaranie softvéru vrátane výdavkov na obstaranie licencií súvisiacich s používaním softvéru - napr. multilicencie, skupinové licencie, atď</w:t>
      </w:r>
      <w:r w:rsidR="00EF14AB">
        <w:t>.</w:t>
      </w:r>
      <w:r w:rsidRPr="00B5339F">
        <w:t xml:space="preserve">; </w:t>
      </w:r>
    </w:p>
    <w:p w14:paraId="7899AC19" w14:textId="77777777" w:rsidR="004B7756" w:rsidRPr="00B5339F" w:rsidRDefault="004B7756" w:rsidP="008858BA">
      <w:pPr>
        <w:numPr>
          <w:ilvl w:val="0"/>
          <w:numId w:val="12"/>
        </w:numPr>
        <w:spacing w:line="240" w:lineRule="auto"/>
        <w:ind w:left="714" w:hanging="357"/>
        <w:jc w:val="both"/>
      </w:pPr>
      <w:r w:rsidRPr="00B5339F">
        <w:t xml:space="preserve">Modernizácia softvéru - napr. upgrade (pridávanie nových funkcionalít zhodnocujúcich softvér). </w:t>
      </w:r>
    </w:p>
    <w:p w14:paraId="3A6C22C9" w14:textId="77777777" w:rsidR="004B7756" w:rsidRPr="00B5339F" w:rsidRDefault="004B7756" w:rsidP="00151681">
      <w:pPr>
        <w:spacing w:after="60" w:line="240" w:lineRule="auto"/>
        <w:jc w:val="both"/>
      </w:pPr>
      <w:r w:rsidRPr="00856E7C">
        <w:rPr>
          <w:b/>
        </w:rPr>
        <w:t xml:space="preserve">014 </w:t>
      </w:r>
      <w:r>
        <w:rPr>
          <w:b/>
        </w:rPr>
        <w:t>–</w:t>
      </w:r>
      <w:r w:rsidRPr="00856E7C">
        <w:rPr>
          <w:b/>
        </w:rPr>
        <w:t xml:space="preserve"> Oceniteľné</w:t>
      </w:r>
      <w:r>
        <w:rPr>
          <w:b/>
        </w:rPr>
        <w:t xml:space="preserve"> </w:t>
      </w:r>
      <w:r w:rsidRPr="00856E7C">
        <w:rPr>
          <w:b/>
        </w:rPr>
        <w:t>práva</w:t>
      </w:r>
      <w:r w:rsidRPr="00B5339F">
        <w:t xml:space="preserve"> </w:t>
      </w:r>
      <w:r>
        <w:t>–</w:t>
      </w:r>
      <w:r w:rsidRPr="00B5339F">
        <w:t xml:space="preserve"> výsledky</w:t>
      </w:r>
      <w:r>
        <w:t xml:space="preserve"> </w:t>
      </w:r>
      <w:r w:rsidRPr="00B5339F">
        <w:t>tvorivej duševnej činnosti, ktoré boli obstarané za úhradu (vynálezy, licencie, ochranné známky, autorské práva, know-how), užívacie práva, právo prechodu cez pozemok, predmety priemyselných práv a iné výsledky tvorivej duševnej činnosti, ak sa obstarali za odplatu, napríklad kúpou, výmenou alebo nepeňažným vkladom. Do tejto skupiny oprávnených výdavkov sa zaraďujú napr. nasledovné typy oprávnených výdavkov:</w:t>
      </w:r>
    </w:p>
    <w:p w14:paraId="617F3B7B" w14:textId="77777777" w:rsidR="004B7756" w:rsidRPr="00B5339F" w:rsidRDefault="004B7756" w:rsidP="008858BA">
      <w:pPr>
        <w:numPr>
          <w:ilvl w:val="0"/>
          <w:numId w:val="13"/>
        </w:numPr>
        <w:spacing w:line="240" w:lineRule="auto"/>
        <w:ind w:left="714" w:hanging="357"/>
        <w:jc w:val="both"/>
      </w:pPr>
      <w:r w:rsidRPr="00B5339F">
        <w:t xml:space="preserve">Nákup licencií - výdavky na obstaranie licencií, autorských práv a patentov, okrem výdavkov na obstaranie licencií súvisiacich s používaním softvéru, ktoré sa triedia na podpoložke 711003. </w:t>
      </w:r>
    </w:p>
    <w:p w14:paraId="6919BBF1" w14:textId="77777777" w:rsidR="005131BB" w:rsidRPr="005131BB" w:rsidRDefault="005131BB" w:rsidP="00151681">
      <w:pPr>
        <w:autoSpaceDE w:val="0"/>
        <w:autoSpaceDN w:val="0"/>
        <w:adjustRightInd w:val="0"/>
        <w:spacing w:line="240" w:lineRule="auto"/>
      </w:pPr>
      <w:r w:rsidRPr="005131BB">
        <w:rPr>
          <w:b/>
        </w:rPr>
        <w:t>019 - Ostatný dlhodobý nehmotný majetok</w:t>
      </w:r>
      <w:r w:rsidRPr="005131BB">
        <w:t xml:space="preserve"> – dlhodobý nehmotný majetok, ktorý nepatrí do žiadnej z vyššie uvedených skupín </w:t>
      </w:r>
    </w:p>
    <w:p w14:paraId="1B4BF9B9" w14:textId="77777777" w:rsidR="005131BB" w:rsidRDefault="005131BB" w:rsidP="008858BA">
      <w:pPr>
        <w:pStyle w:val="Odsekzoznamu"/>
        <w:numPr>
          <w:ilvl w:val="0"/>
          <w:numId w:val="13"/>
        </w:numPr>
        <w:autoSpaceDE w:val="0"/>
        <w:autoSpaceDN w:val="0"/>
        <w:adjustRightInd w:val="0"/>
        <w:spacing w:line="240" w:lineRule="auto"/>
        <w:ind w:left="714" w:hanging="357"/>
        <w:jc w:val="both"/>
      </w:pPr>
      <w:r w:rsidRPr="005131BB">
        <w:t xml:space="preserve">Nákup ostatných nehmotných aktív (napr. územné plány, web stránky, vecné bremená), ak spĺňajú kritériá obstarania dlhodobého nehmotného majetku z kapitálových výdavkov). </w:t>
      </w:r>
    </w:p>
    <w:p w14:paraId="4CB7FAA2" w14:textId="77777777" w:rsidR="00151681" w:rsidRPr="005131BB" w:rsidRDefault="00151681" w:rsidP="00151681">
      <w:pPr>
        <w:pStyle w:val="Odsekzoznamu"/>
        <w:autoSpaceDE w:val="0"/>
        <w:autoSpaceDN w:val="0"/>
        <w:adjustRightInd w:val="0"/>
        <w:spacing w:line="240" w:lineRule="auto"/>
        <w:ind w:left="714"/>
        <w:jc w:val="both"/>
      </w:pPr>
    </w:p>
    <w:p w14:paraId="4916FD2E" w14:textId="77777777" w:rsidR="004B7756" w:rsidRDefault="007332FF" w:rsidP="00151681">
      <w:pPr>
        <w:spacing w:before="120" w:line="240" w:lineRule="auto"/>
        <w:jc w:val="both"/>
        <w:rPr>
          <w:b/>
        </w:rPr>
      </w:pPr>
      <w:r>
        <w:rPr>
          <w:b/>
        </w:rPr>
        <w:t>Relevantné skupiny oprávnených výdavkov a EKRK v</w:t>
      </w:r>
      <w:r w:rsidR="00351927">
        <w:rPr>
          <w:b/>
        </w:rPr>
        <w:t xml:space="preserve"> účtovnej </w:t>
      </w:r>
      <w:r>
        <w:rPr>
          <w:b/>
        </w:rPr>
        <w:t>triede 01</w:t>
      </w:r>
    </w:p>
    <w:tbl>
      <w:tblPr>
        <w:tblStyle w:val="Mriekatabuky"/>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208"/>
        <w:gridCol w:w="5564"/>
        <w:gridCol w:w="1298"/>
      </w:tblGrid>
      <w:tr w:rsidR="004B7756" w14:paraId="6E4B6FDC" w14:textId="77777777" w:rsidTr="00AB67C9">
        <w:tc>
          <w:tcPr>
            <w:tcW w:w="2235" w:type="dxa"/>
            <w:shd w:val="clear" w:color="auto" w:fill="DBE5F1" w:themeFill="accent1" w:themeFillTint="33"/>
          </w:tcPr>
          <w:p w14:paraId="11FBAFDF" w14:textId="77777777" w:rsidR="004B7756" w:rsidRPr="00AB67C9" w:rsidRDefault="004B7756" w:rsidP="00151681">
            <w:pPr>
              <w:spacing w:before="60" w:after="60" w:line="240" w:lineRule="auto"/>
              <w:jc w:val="both"/>
              <w:rPr>
                <w:b/>
                <w:color w:val="002060"/>
              </w:rPr>
            </w:pPr>
            <w:r w:rsidRPr="00AB67C9">
              <w:rPr>
                <w:b/>
                <w:color w:val="002060"/>
              </w:rPr>
              <w:t>Skupina</w:t>
            </w:r>
          </w:p>
        </w:tc>
        <w:tc>
          <w:tcPr>
            <w:tcW w:w="5670" w:type="dxa"/>
            <w:shd w:val="clear" w:color="auto" w:fill="DBE5F1" w:themeFill="accent1" w:themeFillTint="33"/>
          </w:tcPr>
          <w:p w14:paraId="7F96AF89" w14:textId="77777777" w:rsidR="004B7756" w:rsidRPr="00AB67C9" w:rsidRDefault="004B7756" w:rsidP="00151681">
            <w:pPr>
              <w:spacing w:before="60" w:after="60" w:line="240" w:lineRule="auto"/>
              <w:jc w:val="both"/>
              <w:rPr>
                <w:b/>
                <w:color w:val="002060"/>
              </w:rPr>
            </w:pPr>
            <w:r w:rsidRPr="00AB67C9">
              <w:rPr>
                <w:b/>
                <w:color w:val="002060"/>
              </w:rPr>
              <w:t>Podpoložka EKRK</w:t>
            </w:r>
          </w:p>
        </w:tc>
        <w:tc>
          <w:tcPr>
            <w:tcW w:w="1315" w:type="dxa"/>
            <w:shd w:val="clear" w:color="auto" w:fill="DBE5F1" w:themeFill="accent1" w:themeFillTint="33"/>
          </w:tcPr>
          <w:p w14:paraId="52D91D72" w14:textId="77777777" w:rsidR="004B7756" w:rsidRPr="00AB67C9" w:rsidRDefault="004B7756" w:rsidP="00E17E1B">
            <w:pPr>
              <w:spacing w:before="60" w:after="60" w:line="240" w:lineRule="auto"/>
              <w:jc w:val="both"/>
              <w:rPr>
                <w:b/>
                <w:color w:val="002060"/>
              </w:rPr>
            </w:pPr>
            <w:r w:rsidRPr="00AB67C9">
              <w:rPr>
                <w:b/>
                <w:color w:val="002060"/>
              </w:rPr>
              <w:t xml:space="preserve">ŠC </w:t>
            </w:r>
            <w:r w:rsidR="00461D6B" w:rsidRPr="00AB67C9">
              <w:rPr>
                <w:b/>
                <w:color w:val="002060"/>
              </w:rPr>
              <w:t>2.1.</w:t>
            </w:r>
            <w:r w:rsidR="006B742C">
              <w:rPr>
                <w:b/>
                <w:color w:val="002060"/>
              </w:rPr>
              <w:t>4</w:t>
            </w:r>
          </w:p>
        </w:tc>
      </w:tr>
      <w:tr w:rsidR="004B7756" w14:paraId="40223D38" w14:textId="77777777" w:rsidTr="00AB67C9">
        <w:trPr>
          <w:trHeight w:val="284"/>
        </w:trPr>
        <w:tc>
          <w:tcPr>
            <w:tcW w:w="2235" w:type="dxa"/>
            <w:vMerge w:val="restart"/>
          </w:tcPr>
          <w:p w14:paraId="5F0F35C5" w14:textId="77777777" w:rsidR="004B7756" w:rsidRPr="003D7C0F" w:rsidRDefault="004B7756" w:rsidP="00151681">
            <w:pPr>
              <w:spacing w:before="60" w:after="60" w:line="240" w:lineRule="auto"/>
              <w:jc w:val="both"/>
            </w:pPr>
            <w:r w:rsidRPr="003D7C0F">
              <w:t>013 Softvér</w:t>
            </w:r>
          </w:p>
        </w:tc>
        <w:tc>
          <w:tcPr>
            <w:tcW w:w="5670" w:type="dxa"/>
          </w:tcPr>
          <w:p w14:paraId="658EA14D" w14:textId="77777777" w:rsidR="004B7756" w:rsidRPr="003D7C0F" w:rsidRDefault="004B7756" w:rsidP="00151681">
            <w:pPr>
              <w:spacing w:before="60" w:after="60" w:line="240" w:lineRule="auto"/>
              <w:jc w:val="both"/>
            </w:pPr>
            <w:r w:rsidRPr="003D7C0F">
              <w:t>711003 Nákup softvéru</w:t>
            </w:r>
          </w:p>
        </w:tc>
        <w:tc>
          <w:tcPr>
            <w:tcW w:w="1315" w:type="dxa"/>
          </w:tcPr>
          <w:p w14:paraId="2BCF05E7" w14:textId="77777777" w:rsidR="004B7756" w:rsidRPr="003D7C0F" w:rsidRDefault="004B7756" w:rsidP="00151681">
            <w:pPr>
              <w:spacing w:before="60" w:after="60" w:line="240" w:lineRule="auto"/>
              <w:jc w:val="both"/>
            </w:pPr>
            <w:r w:rsidRPr="003D7C0F">
              <w:t>x</w:t>
            </w:r>
          </w:p>
        </w:tc>
      </w:tr>
      <w:tr w:rsidR="004B7756" w14:paraId="74191420" w14:textId="77777777" w:rsidTr="00AB67C9">
        <w:trPr>
          <w:trHeight w:val="333"/>
        </w:trPr>
        <w:tc>
          <w:tcPr>
            <w:tcW w:w="2235" w:type="dxa"/>
            <w:vMerge/>
          </w:tcPr>
          <w:p w14:paraId="7C936010" w14:textId="77777777" w:rsidR="004B7756" w:rsidRPr="003D7C0F" w:rsidRDefault="004B7756" w:rsidP="00151681">
            <w:pPr>
              <w:spacing w:before="60" w:after="60" w:line="240" w:lineRule="auto"/>
              <w:jc w:val="both"/>
            </w:pPr>
          </w:p>
        </w:tc>
        <w:tc>
          <w:tcPr>
            <w:tcW w:w="5670" w:type="dxa"/>
          </w:tcPr>
          <w:p w14:paraId="3CD93408" w14:textId="77777777" w:rsidR="004B7756" w:rsidRPr="003D7C0F" w:rsidRDefault="004B7756" w:rsidP="00151681">
            <w:pPr>
              <w:spacing w:before="60" w:after="60" w:line="240" w:lineRule="auto"/>
              <w:jc w:val="both"/>
            </w:pPr>
            <w:r w:rsidRPr="003D7C0F">
              <w:t>718006 Modernizácia softvéru</w:t>
            </w:r>
          </w:p>
        </w:tc>
        <w:tc>
          <w:tcPr>
            <w:tcW w:w="1315" w:type="dxa"/>
          </w:tcPr>
          <w:p w14:paraId="73ADF83C" w14:textId="77777777" w:rsidR="004B7756" w:rsidRPr="003D7C0F" w:rsidRDefault="004B7756" w:rsidP="00151681">
            <w:pPr>
              <w:spacing w:before="60" w:after="60" w:line="240" w:lineRule="auto"/>
              <w:jc w:val="both"/>
            </w:pPr>
            <w:r w:rsidRPr="003D7C0F">
              <w:t>x</w:t>
            </w:r>
          </w:p>
        </w:tc>
      </w:tr>
      <w:tr w:rsidR="004B7756" w14:paraId="0FD35246" w14:textId="77777777" w:rsidTr="00AB67C9">
        <w:tc>
          <w:tcPr>
            <w:tcW w:w="2235" w:type="dxa"/>
          </w:tcPr>
          <w:p w14:paraId="0125F30F" w14:textId="77777777" w:rsidR="004B7756" w:rsidRPr="003D7C0F" w:rsidRDefault="004B7756" w:rsidP="00151681">
            <w:pPr>
              <w:spacing w:before="60" w:after="60" w:line="240" w:lineRule="auto"/>
              <w:jc w:val="both"/>
            </w:pPr>
            <w:r w:rsidRPr="003D7C0F">
              <w:t>014 Oceniteľné práva</w:t>
            </w:r>
          </w:p>
        </w:tc>
        <w:tc>
          <w:tcPr>
            <w:tcW w:w="5670" w:type="dxa"/>
          </w:tcPr>
          <w:p w14:paraId="27EA3B6D" w14:textId="77777777" w:rsidR="004B7756" w:rsidRPr="003D7C0F" w:rsidRDefault="004B7756" w:rsidP="00151681">
            <w:pPr>
              <w:spacing w:before="60" w:after="60" w:line="240" w:lineRule="auto"/>
              <w:jc w:val="both"/>
            </w:pPr>
            <w:r w:rsidRPr="003D7C0F">
              <w:t>711004 Nákup licencií</w:t>
            </w:r>
          </w:p>
        </w:tc>
        <w:tc>
          <w:tcPr>
            <w:tcW w:w="1315" w:type="dxa"/>
          </w:tcPr>
          <w:p w14:paraId="5FF6882F" w14:textId="77777777" w:rsidR="004B7756" w:rsidRPr="003D7C0F" w:rsidRDefault="004B7756" w:rsidP="00151681">
            <w:pPr>
              <w:spacing w:before="60" w:after="60" w:line="240" w:lineRule="auto"/>
              <w:jc w:val="both"/>
            </w:pPr>
            <w:r w:rsidRPr="003D7C0F">
              <w:t>x</w:t>
            </w:r>
          </w:p>
        </w:tc>
      </w:tr>
      <w:tr w:rsidR="005131BB" w14:paraId="2D9A8EB9" w14:textId="77777777" w:rsidTr="00AB67C9">
        <w:tc>
          <w:tcPr>
            <w:tcW w:w="2235" w:type="dxa"/>
          </w:tcPr>
          <w:p w14:paraId="39080579" w14:textId="77777777" w:rsidR="005131BB" w:rsidRPr="005131BB" w:rsidRDefault="005131BB" w:rsidP="00151681">
            <w:pPr>
              <w:spacing w:before="60" w:after="60" w:line="240" w:lineRule="auto"/>
            </w:pPr>
            <w:r w:rsidRPr="005131BB">
              <w:lastRenderedPageBreak/>
              <w:t xml:space="preserve">019 Ostatný dlhodobý nehmotný majetok </w:t>
            </w:r>
          </w:p>
        </w:tc>
        <w:tc>
          <w:tcPr>
            <w:tcW w:w="5670" w:type="dxa"/>
          </w:tcPr>
          <w:p w14:paraId="03C6B5B9" w14:textId="77777777" w:rsidR="005131BB" w:rsidRPr="005131BB" w:rsidRDefault="005131BB" w:rsidP="00151681">
            <w:pPr>
              <w:spacing w:before="60" w:after="60" w:line="240" w:lineRule="auto"/>
            </w:pPr>
            <w:r w:rsidRPr="005131BB">
              <w:t xml:space="preserve">711005 Nákup ostatných nehmotných aktív </w:t>
            </w:r>
          </w:p>
        </w:tc>
        <w:tc>
          <w:tcPr>
            <w:tcW w:w="1315" w:type="dxa"/>
          </w:tcPr>
          <w:p w14:paraId="7936279C" w14:textId="77777777" w:rsidR="005131BB" w:rsidRPr="003D7C0F" w:rsidRDefault="005131BB" w:rsidP="00151681">
            <w:pPr>
              <w:spacing w:before="60" w:after="60" w:line="240" w:lineRule="auto"/>
              <w:jc w:val="both"/>
            </w:pPr>
            <w:r>
              <w:t>x</w:t>
            </w:r>
          </w:p>
        </w:tc>
      </w:tr>
    </w:tbl>
    <w:p w14:paraId="58075777" w14:textId="0915B73A" w:rsidR="004B7756" w:rsidRPr="005C05CC" w:rsidRDefault="004B7756" w:rsidP="0003730B">
      <w:pPr>
        <w:pStyle w:val="Nadpis2"/>
        <w:spacing w:after="120" w:line="240" w:lineRule="auto"/>
        <w:rPr>
          <w:rFonts w:asciiTheme="minorHAnsi" w:hAnsiTheme="minorHAnsi"/>
        </w:rPr>
      </w:pPr>
      <w:bookmarkStart w:id="53" w:name="_Toc476655622"/>
      <w:bookmarkStart w:id="54" w:name="_Toc505197982"/>
      <w:bookmarkStart w:id="55" w:name="_Toc56090024"/>
      <w:r w:rsidRPr="005C05CC">
        <w:rPr>
          <w:rFonts w:asciiTheme="minorHAnsi" w:hAnsiTheme="minorHAnsi"/>
        </w:rPr>
        <w:t>3.3 Trieda 02 – Dlhodobý hmotný majetok</w:t>
      </w:r>
      <w:bookmarkEnd w:id="53"/>
      <w:bookmarkEnd w:id="54"/>
      <w:bookmarkEnd w:id="55"/>
    </w:p>
    <w:p w14:paraId="2CB34893" w14:textId="77777777" w:rsidR="004B7756" w:rsidRPr="0028341A" w:rsidRDefault="004B7756" w:rsidP="00151681">
      <w:pPr>
        <w:spacing w:before="120" w:line="240" w:lineRule="auto"/>
        <w:jc w:val="both"/>
        <w:rPr>
          <w:b/>
        </w:rPr>
      </w:pPr>
      <w:r w:rsidRPr="0028341A">
        <w:rPr>
          <w:b/>
        </w:rPr>
        <w:t>Vecné vymedzenie</w:t>
      </w:r>
    </w:p>
    <w:p w14:paraId="74F3E8CB" w14:textId="77777777" w:rsidR="004B7756" w:rsidRPr="00B5339F" w:rsidRDefault="004B7756" w:rsidP="00151681">
      <w:pPr>
        <w:spacing w:after="60" w:line="240" w:lineRule="auto"/>
        <w:jc w:val="both"/>
      </w:pPr>
      <w:r w:rsidRPr="00B5339F">
        <w:t>V triede dlhodobého hmotného majetku</w:t>
      </w:r>
      <w:r>
        <w:rPr>
          <w:rStyle w:val="Odkaznapoznmkupodiarou"/>
        </w:rPr>
        <w:footnoteReference w:id="27"/>
      </w:r>
      <w:r w:rsidRPr="00B5339F">
        <w:t xml:space="preserve"> sa vykazujú:</w:t>
      </w:r>
    </w:p>
    <w:p w14:paraId="4C36B931" w14:textId="77777777" w:rsidR="004B7756" w:rsidRPr="00B5339F" w:rsidRDefault="004B7756" w:rsidP="008858BA">
      <w:pPr>
        <w:numPr>
          <w:ilvl w:val="0"/>
          <w:numId w:val="25"/>
        </w:numPr>
        <w:spacing w:after="60" w:line="240" w:lineRule="auto"/>
        <w:jc w:val="both"/>
      </w:pPr>
      <w:bookmarkStart w:id="56" w:name="page13"/>
      <w:bookmarkEnd w:id="56"/>
      <w:r w:rsidRPr="00B5339F">
        <w:t xml:space="preserve">pozemky, stavby, byty a nebytové priestory; </w:t>
      </w:r>
    </w:p>
    <w:p w14:paraId="6A6B79F8" w14:textId="77777777" w:rsidR="004B7756" w:rsidRPr="00B5339F" w:rsidRDefault="004B7756" w:rsidP="008858BA">
      <w:pPr>
        <w:numPr>
          <w:ilvl w:val="0"/>
          <w:numId w:val="25"/>
        </w:numPr>
        <w:spacing w:line="240" w:lineRule="auto"/>
        <w:ind w:left="714" w:hanging="357"/>
        <w:jc w:val="both"/>
      </w:pPr>
      <w:r w:rsidRPr="00B5339F">
        <w:t>samostatné hnuteľné veci s výnimkou nehnuteľných vecí uvedených v písmene a) a súbory hnuteľných vecí, ktoré majú samostatné technicko-ekonomické určenie s dobou použiteľnosti dlhšou ako jeden rok a v ocenení vyššom ako je suma ustanovená v osobitnom predpise</w:t>
      </w:r>
      <w:r>
        <w:rPr>
          <w:rStyle w:val="Odkaznapoznmkupodiarou"/>
        </w:rPr>
        <w:footnoteReference w:id="28"/>
      </w:r>
      <w:r w:rsidRPr="00B5339F">
        <w:t xml:space="preserve">. </w:t>
      </w:r>
    </w:p>
    <w:p w14:paraId="383311E2" w14:textId="77777777" w:rsidR="004B7756" w:rsidRPr="00B5339F" w:rsidRDefault="004B7756" w:rsidP="00151681">
      <w:pPr>
        <w:spacing w:before="120" w:line="240" w:lineRule="auto"/>
        <w:jc w:val="both"/>
      </w:pPr>
      <w:r w:rsidRPr="00B5339F">
        <w:t>Hmotný majetok uvedený v písm. b), ktorého ocenenie sa rovná alebo je nižšie ako suma ustanovená osobitným predpisom, možno zaradiť (podľa rozhodnutia účtovnej jednotky - prijímateľa) do</w:t>
      </w:r>
      <w:r w:rsidR="00C42023">
        <w:t> </w:t>
      </w:r>
      <w:r w:rsidRPr="00B5339F">
        <w:t>dlhodobého hmotného majetku, ak prevádzkovo-technické funkcie (doba použiteľnosti) sú dlhšie ako jeden rok.</w:t>
      </w:r>
    </w:p>
    <w:p w14:paraId="1A41EF6F" w14:textId="77777777" w:rsidR="004B7756" w:rsidRPr="00B5339F" w:rsidRDefault="004B7756" w:rsidP="00151681">
      <w:pPr>
        <w:spacing w:before="120" w:line="240" w:lineRule="auto"/>
        <w:jc w:val="both"/>
      </w:pPr>
      <w:r w:rsidRPr="00B5339F">
        <w:t xml:space="preserve">Hmotný majetok, ktorého ocenenie sa rovná sume podľa osobitného </w:t>
      </w:r>
      <w:r w:rsidRPr="007B5EB3">
        <w:t>predpisu</w:t>
      </w:r>
      <w:r w:rsidRPr="00B5339F">
        <w:t xml:space="preserve"> alebo je nižšie, s</w:t>
      </w:r>
      <w:r w:rsidR="00C42023">
        <w:t> </w:t>
      </w:r>
      <w:r w:rsidRPr="00B5339F">
        <w:t xml:space="preserve">dobou použiteľnosti dlhšou ako jeden rok, ktorý nebol zaradený do dlhodobého hmotného majetku, sa vykazuje v triede oprávnených výdavkov </w:t>
      </w:r>
      <w:r w:rsidRPr="007B5A2D">
        <w:rPr>
          <w:u w:val="single"/>
        </w:rPr>
        <w:t>11 – Zásoby</w:t>
      </w:r>
      <w:r w:rsidRPr="00B5339F">
        <w:t>.</w:t>
      </w:r>
    </w:p>
    <w:p w14:paraId="6E8B311D" w14:textId="77777777" w:rsidR="007332FF" w:rsidRDefault="004B7756" w:rsidP="00151681">
      <w:pPr>
        <w:spacing w:before="120" w:line="240" w:lineRule="auto"/>
        <w:jc w:val="both"/>
        <w:rPr>
          <w:b/>
        </w:rPr>
      </w:pPr>
      <w:r w:rsidRPr="007B5C31">
        <w:rPr>
          <w:u w:val="single"/>
        </w:rPr>
        <w:t>Ako dlhodobý hmotný majetok sa nevykazujú</w:t>
      </w:r>
      <w:r w:rsidRPr="00B5339F">
        <w:t>: Kurzové rozdiely, penále, pokuty, výdavky na prípravu zamestnancov pre budované prevádzky a zariadenia, výdavky na biologickú rekultiváciu, výdavky súvisiace s prípravou a zabezpečením výstavby, ktoré vznikli po uvedení obstarávaného hmotného majetku do používania, výdavky na opravy a udržiavan</w:t>
      </w:r>
      <w:r>
        <w:t>ie dlhodobého hmotného majetku.</w:t>
      </w:r>
    </w:p>
    <w:p w14:paraId="6CE823C9" w14:textId="77777777" w:rsidR="00151681" w:rsidRDefault="00151681" w:rsidP="00151681">
      <w:pPr>
        <w:spacing w:before="120" w:line="240" w:lineRule="auto"/>
        <w:jc w:val="both"/>
        <w:rPr>
          <w:b/>
        </w:rPr>
      </w:pPr>
    </w:p>
    <w:p w14:paraId="20B1D8C6" w14:textId="77777777" w:rsidR="004B7756" w:rsidRPr="0028341A" w:rsidRDefault="004B7756" w:rsidP="00151681">
      <w:pPr>
        <w:spacing w:before="120" w:line="240" w:lineRule="auto"/>
        <w:jc w:val="both"/>
        <w:rPr>
          <w:b/>
        </w:rPr>
      </w:pPr>
      <w:r w:rsidRPr="0028341A">
        <w:rPr>
          <w:b/>
        </w:rPr>
        <w:t>Skupiny oprávnených výdavkov triedy 02</w:t>
      </w:r>
    </w:p>
    <w:p w14:paraId="61D5D60E" w14:textId="77777777" w:rsidR="004B7756" w:rsidRPr="007B5C31" w:rsidRDefault="004B7756" w:rsidP="00151681">
      <w:pPr>
        <w:spacing w:before="120" w:line="240" w:lineRule="auto"/>
        <w:jc w:val="both"/>
        <w:rPr>
          <w:b/>
        </w:rPr>
      </w:pPr>
      <w:r w:rsidRPr="007B5C31">
        <w:rPr>
          <w:b/>
        </w:rPr>
        <w:t>021 – Stavby</w:t>
      </w:r>
    </w:p>
    <w:p w14:paraId="6381C4C7" w14:textId="77777777" w:rsidR="004B7756" w:rsidRDefault="00080EB6" w:rsidP="008858BA">
      <w:pPr>
        <w:numPr>
          <w:ilvl w:val="0"/>
          <w:numId w:val="14"/>
        </w:numPr>
        <w:spacing w:before="120" w:line="240" w:lineRule="auto"/>
        <w:ind w:left="426"/>
        <w:jc w:val="both"/>
      </w:pPr>
      <w:r>
        <w:t>s</w:t>
      </w:r>
      <w:r w:rsidR="004B7756" w:rsidRPr="00B5339F">
        <w:t xml:space="preserve">tavebné práce: realizácia nových stavieb, rekonštrukcia a modernizácia stavieb, prístavby, nadstavby, stavebné úpravy (stavebné objekty, prevádzkové súbory, zriadenie staveniska) podľa špecifikácie; </w:t>
      </w:r>
    </w:p>
    <w:p w14:paraId="04670381" w14:textId="77777777" w:rsidR="004B7756" w:rsidRPr="00335DAE" w:rsidRDefault="004B7756" w:rsidP="00151681">
      <w:pPr>
        <w:widowControl w:val="0"/>
        <w:autoSpaceDE w:val="0"/>
        <w:autoSpaceDN w:val="0"/>
        <w:adjustRightInd w:val="0"/>
        <w:spacing w:before="120" w:line="240" w:lineRule="auto"/>
        <w:rPr>
          <w:rFonts w:asciiTheme="minorHAnsi" w:hAnsiTheme="minorHAnsi" w:cstheme="minorHAnsi"/>
        </w:rPr>
      </w:pPr>
      <w:r w:rsidRPr="00335DAE">
        <w:rPr>
          <w:rFonts w:asciiTheme="minorHAnsi" w:hAnsiTheme="minorHAnsi" w:cstheme="minorHAnsi"/>
          <w:b/>
          <w:bCs/>
          <w:i/>
          <w:iCs/>
        </w:rPr>
        <w:t>Stavebné práce vrátane technologického a strojného zariadenia (dodávka a montáž)</w:t>
      </w:r>
    </w:p>
    <w:p w14:paraId="7EFE0CFA" w14:textId="77777777" w:rsidR="004B7756" w:rsidRPr="007F7F31" w:rsidRDefault="004B7756" w:rsidP="00151681">
      <w:pPr>
        <w:widowControl w:val="0"/>
        <w:autoSpaceDE w:val="0"/>
        <w:autoSpaceDN w:val="0"/>
        <w:adjustRightInd w:val="0"/>
        <w:spacing w:after="60" w:line="240" w:lineRule="auto"/>
        <w:jc w:val="both"/>
        <w:rPr>
          <w:rFonts w:asciiTheme="minorHAnsi" w:hAnsiTheme="minorHAnsi"/>
        </w:rPr>
      </w:pPr>
      <w:r w:rsidRPr="007F7F31">
        <w:rPr>
          <w:rFonts w:asciiTheme="minorHAnsi" w:hAnsiTheme="minorHAnsi" w:cs="Times"/>
        </w:rPr>
        <w:t>Oprávneným výdavkom sú:</w:t>
      </w:r>
    </w:p>
    <w:p w14:paraId="7344DDF6" w14:textId="77777777" w:rsidR="004B7756" w:rsidRPr="007F7F31" w:rsidRDefault="004B7756" w:rsidP="008858BA">
      <w:pPr>
        <w:widowControl w:val="0"/>
        <w:numPr>
          <w:ilvl w:val="0"/>
          <w:numId w:val="14"/>
        </w:numPr>
        <w:overflowPunct w:val="0"/>
        <w:autoSpaceDE w:val="0"/>
        <w:autoSpaceDN w:val="0"/>
        <w:adjustRightInd w:val="0"/>
        <w:spacing w:after="60" w:line="240" w:lineRule="auto"/>
        <w:ind w:left="426"/>
        <w:jc w:val="both"/>
        <w:rPr>
          <w:rFonts w:asciiTheme="minorHAnsi" w:hAnsiTheme="minorHAnsi" w:cs="Symbol"/>
        </w:rPr>
      </w:pPr>
      <w:r w:rsidRPr="007F7F31">
        <w:rPr>
          <w:rFonts w:asciiTheme="minorHAnsi" w:hAnsiTheme="minorHAnsi" w:cs="Times"/>
        </w:rPr>
        <w:t xml:space="preserve">výdavky na stavebnú </w:t>
      </w:r>
      <w:r w:rsidRPr="007F7F31">
        <w:rPr>
          <w:rFonts w:asciiTheme="minorHAnsi" w:hAnsiTheme="minorHAnsi"/>
        </w:rPr>
        <w:t>č</w:t>
      </w:r>
      <w:r w:rsidRPr="007F7F31">
        <w:rPr>
          <w:rFonts w:asciiTheme="minorHAnsi" w:hAnsiTheme="minorHAnsi" w:cs="Times"/>
        </w:rPr>
        <w:t>as</w:t>
      </w:r>
      <w:r w:rsidRPr="007F7F31">
        <w:rPr>
          <w:rFonts w:asciiTheme="minorHAnsi" w:hAnsiTheme="minorHAnsi"/>
        </w:rPr>
        <w:t>ť</w:t>
      </w:r>
      <w:r w:rsidRPr="007F7F31">
        <w:rPr>
          <w:rFonts w:asciiTheme="minorHAnsi" w:hAnsiTheme="minorHAnsi" w:cs="Times"/>
        </w:rPr>
        <w:t xml:space="preserve"> </w:t>
      </w:r>
    </w:p>
    <w:p w14:paraId="34040C0C" w14:textId="77777777" w:rsidR="004B7756" w:rsidRPr="007F7F31" w:rsidRDefault="004B7756" w:rsidP="008858BA">
      <w:pPr>
        <w:widowControl w:val="0"/>
        <w:numPr>
          <w:ilvl w:val="1"/>
          <w:numId w:val="14"/>
        </w:numPr>
        <w:overflowPunct w:val="0"/>
        <w:autoSpaceDE w:val="0"/>
        <w:autoSpaceDN w:val="0"/>
        <w:adjustRightInd w:val="0"/>
        <w:spacing w:after="60" w:line="240" w:lineRule="auto"/>
        <w:ind w:left="851"/>
        <w:jc w:val="both"/>
        <w:rPr>
          <w:rFonts w:asciiTheme="minorHAnsi" w:hAnsiTheme="minorHAnsi" w:cs="Times"/>
        </w:rPr>
      </w:pPr>
      <w:r w:rsidRPr="007F7F31">
        <w:rPr>
          <w:rFonts w:asciiTheme="minorHAnsi" w:hAnsiTheme="minorHAnsi" w:cs="Times"/>
        </w:rPr>
        <w:t>náklady na realizáciu stavebných objektov</w:t>
      </w:r>
      <w:r>
        <w:rPr>
          <w:rFonts w:asciiTheme="minorHAnsi" w:hAnsiTheme="minorHAnsi" w:cs="Times"/>
        </w:rPr>
        <w:t xml:space="preserve"> (</w:t>
      </w:r>
      <w:r w:rsidRPr="007F7F31">
        <w:rPr>
          <w:rFonts w:asciiTheme="minorHAnsi" w:hAnsiTheme="minorHAnsi" w:cs="Times"/>
        </w:rPr>
        <w:t>vrátane technického vybavenia,</w:t>
      </w:r>
      <w:r>
        <w:rPr>
          <w:rFonts w:asciiTheme="minorHAnsi" w:hAnsiTheme="minorHAnsi" w:cs="Times"/>
        </w:rPr>
        <w:t xml:space="preserve"> zriadenia prípojok na plyn, vodu, elektrinu, telefón a internet).</w:t>
      </w:r>
      <w:r w:rsidRPr="007F7F31">
        <w:rPr>
          <w:rFonts w:asciiTheme="minorHAnsi" w:hAnsiTheme="minorHAnsi" w:cs="Times"/>
        </w:rPr>
        <w:t xml:space="preserve"> </w:t>
      </w:r>
    </w:p>
    <w:p w14:paraId="1A4EEE92" w14:textId="77777777" w:rsidR="004B7756" w:rsidRPr="007F7F31" w:rsidRDefault="004B7756" w:rsidP="008858BA">
      <w:pPr>
        <w:widowControl w:val="0"/>
        <w:numPr>
          <w:ilvl w:val="5"/>
          <w:numId w:val="14"/>
        </w:numPr>
        <w:overflowPunct w:val="0"/>
        <w:autoSpaceDE w:val="0"/>
        <w:autoSpaceDN w:val="0"/>
        <w:adjustRightInd w:val="0"/>
        <w:spacing w:after="60" w:line="240" w:lineRule="auto"/>
        <w:ind w:left="1276"/>
        <w:jc w:val="both"/>
        <w:rPr>
          <w:rFonts w:asciiTheme="minorHAnsi" w:hAnsiTheme="minorHAnsi" w:cs="Times"/>
        </w:rPr>
      </w:pPr>
      <w:r w:rsidRPr="007F7F31">
        <w:rPr>
          <w:rFonts w:asciiTheme="minorHAnsi" w:hAnsiTheme="minorHAnsi" w:cs="Times"/>
        </w:rPr>
        <w:t xml:space="preserve">náklady na hlavnú stavebnú výrobu, </w:t>
      </w:r>
    </w:p>
    <w:p w14:paraId="61231215" w14:textId="77777777" w:rsidR="004B7756" w:rsidRPr="007F7F31" w:rsidRDefault="004B7756" w:rsidP="008858BA">
      <w:pPr>
        <w:widowControl w:val="0"/>
        <w:numPr>
          <w:ilvl w:val="5"/>
          <w:numId w:val="14"/>
        </w:numPr>
        <w:overflowPunct w:val="0"/>
        <w:autoSpaceDE w:val="0"/>
        <w:autoSpaceDN w:val="0"/>
        <w:adjustRightInd w:val="0"/>
        <w:spacing w:after="60" w:line="240" w:lineRule="auto"/>
        <w:ind w:left="1276"/>
        <w:jc w:val="both"/>
        <w:rPr>
          <w:rFonts w:asciiTheme="minorHAnsi" w:hAnsiTheme="minorHAnsi" w:cs="Times"/>
        </w:rPr>
      </w:pPr>
      <w:r w:rsidRPr="007F7F31">
        <w:rPr>
          <w:rFonts w:asciiTheme="minorHAnsi" w:hAnsiTheme="minorHAnsi" w:cs="Times"/>
        </w:rPr>
        <w:t xml:space="preserve">pomocnú stavebnú výrobu, </w:t>
      </w:r>
    </w:p>
    <w:p w14:paraId="19798E91" w14:textId="77777777" w:rsidR="004B7756" w:rsidRPr="007F7F31" w:rsidRDefault="004B7756" w:rsidP="008858BA">
      <w:pPr>
        <w:widowControl w:val="0"/>
        <w:numPr>
          <w:ilvl w:val="5"/>
          <w:numId w:val="14"/>
        </w:numPr>
        <w:overflowPunct w:val="0"/>
        <w:autoSpaceDE w:val="0"/>
        <w:autoSpaceDN w:val="0"/>
        <w:adjustRightInd w:val="0"/>
        <w:spacing w:after="60" w:line="240" w:lineRule="auto"/>
        <w:ind w:left="1276"/>
        <w:jc w:val="both"/>
        <w:rPr>
          <w:rFonts w:asciiTheme="minorHAnsi" w:hAnsiTheme="minorHAnsi" w:cs="Times"/>
        </w:rPr>
      </w:pPr>
      <w:r w:rsidRPr="007F7F31">
        <w:rPr>
          <w:rFonts w:asciiTheme="minorHAnsi" w:hAnsiTheme="minorHAnsi" w:cs="Times"/>
        </w:rPr>
        <w:t xml:space="preserve">montážne práce, </w:t>
      </w:r>
    </w:p>
    <w:p w14:paraId="675F0978" w14:textId="77777777" w:rsidR="004B7756" w:rsidRPr="00E513C5" w:rsidRDefault="004B7756" w:rsidP="008858BA">
      <w:pPr>
        <w:widowControl w:val="0"/>
        <w:numPr>
          <w:ilvl w:val="5"/>
          <w:numId w:val="14"/>
        </w:numPr>
        <w:overflowPunct w:val="0"/>
        <w:autoSpaceDE w:val="0"/>
        <w:autoSpaceDN w:val="0"/>
        <w:adjustRightInd w:val="0"/>
        <w:spacing w:after="60" w:line="240" w:lineRule="auto"/>
        <w:ind w:left="1276" w:right="60"/>
        <w:jc w:val="both"/>
        <w:rPr>
          <w:rFonts w:asciiTheme="minorHAnsi" w:hAnsiTheme="minorHAnsi" w:cs="Times"/>
          <w:i/>
          <w:u w:val="single"/>
        </w:rPr>
      </w:pPr>
      <w:r w:rsidRPr="007F7F31">
        <w:rPr>
          <w:rFonts w:asciiTheme="minorHAnsi" w:hAnsiTheme="minorHAnsi" w:cs="Times"/>
        </w:rPr>
        <w:t>ved</w:t>
      </w:r>
      <w:r w:rsidRPr="007F7F31">
        <w:rPr>
          <w:rFonts w:asciiTheme="minorHAnsi" w:hAnsiTheme="minorHAnsi"/>
        </w:rPr>
        <w:t>ľ</w:t>
      </w:r>
      <w:r w:rsidRPr="007F7F31">
        <w:rPr>
          <w:rFonts w:asciiTheme="minorHAnsi" w:hAnsiTheme="minorHAnsi" w:cs="Times"/>
        </w:rPr>
        <w:t>ajšie rozpo</w:t>
      </w:r>
      <w:r w:rsidRPr="007F7F31">
        <w:rPr>
          <w:rFonts w:asciiTheme="minorHAnsi" w:hAnsiTheme="minorHAnsi"/>
        </w:rPr>
        <w:t>č</w:t>
      </w:r>
      <w:r w:rsidRPr="007F7F31">
        <w:rPr>
          <w:rFonts w:asciiTheme="minorHAnsi" w:hAnsiTheme="minorHAnsi" w:cs="Times"/>
        </w:rPr>
        <w:t>tové náklady (zariadenie staveniska – stanovené v zmysle Sadzobníka stavebných prác), pokia</w:t>
      </w:r>
      <w:r w:rsidRPr="007F7F31">
        <w:rPr>
          <w:rFonts w:asciiTheme="minorHAnsi" w:hAnsiTheme="minorHAnsi"/>
        </w:rPr>
        <w:t>ľ</w:t>
      </w:r>
      <w:r w:rsidRPr="007F7F31">
        <w:rPr>
          <w:rFonts w:asciiTheme="minorHAnsi" w:hAnsiTheme="minorHAnsi" w:cs="Times"/>
        </w:rPr>
        <w:t xml:space="preserve"> sú primerané rozsahu stavebných prác </w:t>
      </w:r>
      <w:r w:rsidRPr="00E513C5">
        <w:rPr>
          <w:rFonts w:asciiTheme="minorHAnsi" w:hAnsiTheme="minorHAnsi" w:cs="Times"/>
          <w:i/>
          <w:u w:val="single"/>
        </w:rPr>
        <w:t>(VRN ako sú územné vplyvy, prevádzkové vplyvy, kompleta</w:t>
      </w:r>
      <w:r w:rsidRPr="00E513C5">
        <w:rPr>
          <w:rFonts w:asciiTheme="minorHAnsi" w:hAnsiTheme="minorHAnsi"/>
          <w:i/>
          <w:u w:val="single"/>
        </w:rPr>
        <w:t>č</w:t>
      </w:r>
      <w:r w:rsidRPr="00E513C5">
        <w:rPr>
          <w:rFonts w:asciiTheme="minorHAnsi" w:hAnsiTheme="minorHAnsi" w:cs="Times"/>
          <w:i/>
          <w:u w:val="single"/>
        </w:rPr>
        <w:t xml:space="preserve">ná </w:t>
      </w:r>
      <w:r w:rsidRPr="00E513C5">
        <w:rPr>
          <w:rFonts w:asciiTheme="minorHAnsi" w:hAnsiTheme="minorHAnsi"/>
          <w:i/>
          <w:u w:val="single"/>
        </w:rPr>
        <w:t>č</w:t>
      </w:r>
      <w:r w:rsidRPr="00E513C5">
        <w:rPr>
          <w:rFonts w:asciiTheme="minorHAnsi" w:hAnsiTheme="minorHAnsi" w:cs="Times"/>
          <w:i/>
          <w:u w:val="single"/>
        </w:rPr>
        <w:t>innos</w:t>
      </w:r>
      <w:r w:rsidRPr="00E513C5">
        <w:rPr>
          <w:rFonts w:asciiTheme="minorHAnsi" w:hAnsiTheme="minorHAnsi"/>
          <w:i/>
          <w:u w:val="single"/>
        </w:rPr>
        <w:t>ť</w:t>
      </w:r>
      <w:r w:rsidRPr="00E513C5">
        <w:rPr>
          <w:rFonts w:asciiTheme="minorHAnsi" w:hAnsiTheme="minorHAnsi" w:cs="Times"/>
          <w:i/>
          <w:u w:val="single"/>
        </w:rPr>
        <w:t>, mimostavenisková doprava a ostatné ako samostatná položka na krycom liste vo VRN sa budú považova</w:t>
      </w:r>
      <w:r w:rsidRPr="00E513C5">
        <w:rPr>
          <w:rFonts w:asciiTheme="minorHAnsi" w:hAnsiTheme="minorHAnsi"/>
          <w:i/>
          <w:u w:val="single"/>
        </w:rPr>
        <w:t>ť</w:t>
      </w:r>
      <w:r w:rsidRPr="00E513C5">
        <w:rPr>
          <w:rFonts w:asciiTheme="minorHAnsi" w:hAnsiTheme="minorHAnsi" w:cs="Times"/>
          <w:i/>
          <w:u w:val="single"/>
        </w:rPr>
        <w:t xml:space="preserve"> za neoprávnené), </w:t>
      </w:r>
    </w:p>
    <w:p w14:paraId="43FB34A8" w14:textId="77777777" w:rsidR="004B7756" w:rsidRPr="007F7F31" w:rsidRDefault="004B7756" w:rsidP="008858BA">
      <w:pPr>
        <w:widowControl w:val="0"/>
        <w:numPr>
          <w:ilvl w:val="1"/>
          <w:numId w:val="14"/>
        </w:numPr>
        <w:overflowPunct w:val="0"/>
        <w:autoSpaceDE w:val="0"/>
        <w:autoSpaceDN w:val="0"/>
        <w:adjustRightInd w:val="0"/>
        <w:spacing w:after="60" w:line="240" w:lineRule="auto"/>
        <w:ind w:left="851" w:hanging="426"/>
        <w:jc w:val="both"/>
        <w:rPr>
          <w:rFonts w:asciiTheme="minorHAnsi" w:hAnsiTheme="minorHAnsi" w:cs="Times"/>
        </w:rPr>
      </w:pPr>
      <w:r w:rsidRPr="007F7F31">
        <w:rPr>
          <w:rFonts w:asciiTheme="minorHAnsi" w:hAnsiTheme="minorHAnsi" w:cs="Times"/>
        </w:rPr>
        <w:t>náklady na demoláciu existujúcich stavebných objektov, technologických a iných zariadení v</w:t>
      </w:r>
      <w:r w:rsidR="00C42023">
        <w:rPr>
          <w:rFonts w:asciiTheme="minorHAnsi" w:hAnsiTheme="minorHAnsi" w:cs="Times"/>
        </w:rPr>
        <w:t> </w:t>
      </w:r>
      <w:r w:rsidRPr="007F7F31">
        <w:rPr>
          <w:rFonts w:asciiTheme="minorHAnsi" w:hAnsiTheme="minorHAnsi" w:cs="Times"/>
        </w:rPr>
        <w:t>odôvodnených prípadoch,</w:t>
      </w:r>
    </w:p>
    <w:p w14:paraId="171FF8BC" w14:textId="77777777" w:rsidR="004B7756" w:rsidRPr="007F7F31" w:rsidRDefault="004B7756" w:rsidP="008858BA">
      <w:pPr>
        <w:widowControl w:val="0"/>
        <w:numPr>
          <w:ilvl w:val="1"/>
          <w:numId w:val="14"/>
        </w:numPr>
        <w:overflowPunct w:val="0"/>
        <w:autoSpaceDE w:val="0"/>
        <w:autoSpaceDN w:val="0"/>
        <w:adjustRightInd w:val="0"/>
        <w:spacing w:after="60" w:line="240" w:lineRule="auto"/>
        <w:ind w:left="851" w:hanging="426"/>
        <w:jc w:val="both"/>
        <w:rPr>
          <w:rFonts w:asciiTheme="minorHAnsi" w:hAnsiTheme="minorHAnsi" w:cs="Times"/>
        </w:rPr>
      </w:pPr>
      <w:r w:rsidRPr="007F7F31">
        <w:rPr>
          <w:rFonts w:asciiTheme="minorHAnsi" w:hAnsiTheme="minorHAnsi" w:cs="Times"/>
        </w:rPr>
        <w:t xml:space="preserve">náklady na geodetickú </w:t>
      </w:r>
      <w:r w:rsidRPr="007F7F31">
        <w:rPr>
          <w:rFonts w:asciiTheme="minorHAnsi" w:hAnsiTheme="minorHAnsi"/>
        </w:rPr>
        <w:t>č</w:t>
      </w:r>
      <w:r w:rsidRPr="007F7F31">
        <w:rPr>
          <w:rFonts w:asciiTheme="minorHAnsi" w:hAnsiTheme="minorHAnsi" w:cs="Times"/>
        </w:rPr>
        <w:t>innos</w:t>
      </w:r>
      <w:r w:rsidRPr="007F7F31">
        <w:rPr>
          <w:rFonts w:asciiTheme="minorHAnsi" w:hAnsiTheme="minorHAnsi"/>
        </w:rPr>
        <w:t>ť</w:t>
      </w:r>
      <w:r w:rsidRPr="007F7F31">
        <w:rPr>
          <w:rFonts w:asciiTheme="minorHAnsi" w:hAnsiTheme="minorHAnsi" w:cs="Times"/>
        </w:rPr>
        <w:t xml:space="preserve"> zabezpe</w:t>
      </w:r>
      <w:r w:rsidRPr="007F7F31">
        <w:rPr>
          <w:rFonts w:asciiTheme="minorHAnsi" w:hAnsiTheme="minorHAnsi"/>
        </w:rPr>
        <w:t>č</w:t>
      </w:r>
      <w:r w:rsidRPr="007F7F31">
        <w:rPr>
          <w:rFonts w:asciiTheme="minorHAnsi" w:hAnsiTheme="minorHAnsi" w:cs="Times"/>
        </w:rPr>
        <w:t>ovanú obstarávate</w:t>
      </w:r>
      <w:r w:rsidRPr="007F7F31">
        <w:rPr>
          <w:rFonts w:asciiTheme="minorHAnsi" w:hAnsiTheme="minorHAnsi"/>
        </w:rPr>
        <w:t>ľ</w:t>
      </w:r>
      <w:r w:rsidRPr="007F7F31">
        <w:rPr>
          <w:rFonts w:asciiTheme="minorHAnsi" w:hAnsiTheme="minorHAnsi" w:cs="Times"/>
        </w:rPr>
        <w:t xml:space="preserve">om, </w:t>
      </w:r>
    </w:p>
    <w:p w14:paraId="409606C2" w14:textId="77777777" w:rsidR="004B7756" w:rsidRPr="007F7F31" w:rsidRDefault="004B7756" w:rsidP="008858BA">
      <w:pPr>
        <w:widowControl w:val="0"/>
        <w:numPr>
          <w:ilvl w:val="0"/>
          <w:numId w:val="14"/>
        </w:numPr>
        <w:overflowPunct w:val="0"/>
        <w:autoSpaceDE w:val="0"/>
        <w:autoSpaceDN w:val="0"/>
        <w:adjustRightInd w:val="0"/>
        <w:spacing w:after="60" w:line="240" w:lineRule="auto"/>
        <w:ind w:left="426"/>
        <w:jc w:val="both"/>
        <w:rPr>
          <w:rFonts w:asciiTheme="minorHAnsi" w:hAnsiTheme="minorHAnsi" w:cs="Symbol"/>
        </w:rPr>
      </w:pPr>
      <w:r w:rsidRPr="007F7F31">
        <w:rPr>
          <w:rFonts w:asciiTheme="minorHAnsi" w:hAnsiTheme="minorHAnsi" w:cs="Times"/>
        </w:rPr>
        <w:lastRenderedPageBreak/>
        <w:t xml:space="preserve">výdavky na technologickú </w:t>
      </w:r>
      <w:r w:rsidRPr="007F7F31">
        <w:rPr>
          <w:rFonts w:asciiTheme="minorHAnsi" w:hAnsiTheme="minorHAnsi"/>
        </w:rPr>
        <w:t>č</w:t>
      </w:r>
      <w:r w:rsidRPr="007F7F31">
        <w:rPr>
          <w:rFonts w:asciiTheme="minorHAnsi" w:hAnsiTheme="minorHAnsi" w:cs="Times"/>
        </w:rPr>
        <w:t>as</w:t>
      </w:r>
      <w:r w:rsidRPr="007F7F31">
        <w:rPr>
          <w:rFonts w:asciiTheme="minorHAnsi" w:hAnsiTheme="minorHAnsi"/>
        </w:rPr>
        <w:t>ť</w:t>
      </w:r>
      <w:r w:rsidRPr="007F7F31">
        <w:rPr>
          <w:rFonts w:asciiTheme="minorHAnsi" w:hAnsiTheme="minorHAnsi" w:cs="Times"/>
        </w:rPr>
        <w:t xml:space="preserve"> (prevádzkové súbory – napr. elektroinštalácia, vzduchotechnika, kúrenie, meranie a regulácia vrátane softvérového vybavenia a pod., dodávka a montáž technologických a strojných zariadení – napr. vý</w:t>
      </w:r>
      <w:r w:rsidRPr="007F7F31">
        <w:rPr>
          <w:rFonts w:asciiTheme="minorHAnsi" w:hAnsiTheme="minorHAnsi"/>
        </w:rPr>
        <w:t>ť</w:t>
      </w:r>
      <w:r w:rsidRPr="007F7F31">
        <w:rPr>
          <w:rFonts w:asciiTheme="minorHAnsi" w:hAnsiTheme="minorHAnsi" w:cs="Times"/>
        </w:rPr>
        <w:t xml:space="preserve">ah a pod.), </w:t>
      </w:r>
    </w:p>
    <w:p w14:paraId="568E1EBC" w14:textId="77777777" w:rsidR="004B7756" w:rsidRPr="007F7F31" w:rsidRDefault="004B7756" w:rsidP="008858BA">
      <w:pPr>
        <w:widowControl w:val="0"/>
        <w:numPr>
          <w:ilvl w:val="0"/>
          <w:numId w:val="14"/>
        </w:numPr>
        <w:overflowPunct w:val="0"/>
        <w:autoSpaceDE w:val="0"/>
        <w:autoSpaceDN w:val="0"/>
        <w:adjustRightInd w:val="0"/>
        <w:spacing w:after="60" w:line="240" w:lineRule="auto"/>
        <w:ind w:left="426" w:right="62" w:hanging="357"/>
        <w:jc w:val="both"/>
        <w:rPr>
          <w:rFonts w:asciiTheme="minorHAnsi" w:hAnsiTheme="minorHAnsi" w:cs="Symbol"/>
        </w:rPr>
      </w:pPr>
      <w:r w:rsidRPr="007F7F31">
        <w:rPr>
          <w:rFonts w:asciiTheme="minorHAnsi" w:hAnsiTheme="minorHAnsi" w:cs="Times"/>
        </w:rPr>
        <w:t xml:space="preserve">výdavky na vybudovanie pripojenia na internet prostredníctvom inštalácie lokálnej siete LAN (štruktúrovaný kabelážny systém, v odôvodnených prípadoch WI-FI). </w:t>
      </w:r>
    </w:p>
    <w:p w14:paraId="253DFF78" w14:textId="2442E98E" w:rsidR="004B7756" w:rsidRPr="00B5339F" w:rsidRDefault="004B7756" w:rsidP="00151681">
      <w:pPr>
        <w:spacing w:after="60" w:line="240" w:lineRule="auto"/>
        <w:ind w:left="425"/>
        <w:jc w:val="both"/>
      </w:pPr>
      <w:r w:rsidRPr="007F7F31">
        <w:rPr>
          <w:rFonts w:asciiTheme="minorHAnsi" w:hAnsiTheme="minorHAnsi" w:cs="Times"/>
        </w:rPr>
        <w:t>Výdavky rozpo</w:t>
      </w:r>
      <w:r w:rsidRPr="007F7F31">
        <w:rPr>
          <w:rFonts w:asciiTheme="minorHAnsi" w:hAnsiTheme="minorHAnsi"/>
        </w:rPr>
        <w:t>č</w:t>
      </w:r>
      <w:r w:rsidRPr="007F7F31">
        <w:rPr>
          <w:rFonts w:asciiTheme="minorHAnsi" w:hAnsiTheme="minorHAnsi" w:cs="Times"/>
        </w:rPr>
        <w:t>tu stavby, ktoré nie je možné riadne špecifikova</w:t>
      </w:r>
      <w:r w:rsidRPr="007F7F31">
        <w:rPr>
          <w:rFonts w:asciiTheme="minorHAnsi" w:hAnsiTheme="minorHAnsi"/>
        </w:rPr>
        <w:t>ť</w:t>
      </w:r>
      <w:r w:rsidRPr="007F7F31">
        <w:rPr>
          <w:rFonts w:asciiTheme="minorHAnsi" w:hAnsiTheme="minorHAnsi" w:cs="Times"/>
        </w:rPr>
        <w:t>, a ktoré nie sú riadne zdôvodnené napr. rozpo</w:t>
      </w:r>
      <w:r w:rsidRPr="007F7F31">
        <w:rPr>
          <w:rFonts w:asciiTheme="minorHAnsi" w:hAnsiTheme="minorHAnsi"/>
        </w:rPr>
        <w:t>č</w:t>
      </w:r>
      <w:r w:rsidRPr="007F7F31">
        <w:rPr>
          <w:rFonts w:asciiTheme="minorHAnsi" w:hAnsiTheme="minorHAnsi" w:cs="Times"/>
        </w:rPr>
        <w:t>tové položky ako ostatné, PPV, podružný materiál, ostatné práce, stratné, nepredvídané práce, nešpecifikované práce, indexácia a pod. (podrobnejšie v príkladoch neoprávnených výdavkov) budú považované za neoprávnené.</w:t>
      </w:r>
    </w:p>
    <w:p w14:paraId="2B9F069B" w14:textId="77777777" w:rsidR="007C5E5C" w:rsidRDefault="00F7201B" w:rsidP="007C5E5C">
      <w:pPr>
        <w:numPr>
          <w:ilvl w:val="0"/>
          <w:numId w:val="14"/>
        </w:numPr>
        <w:spacing w:after="60" w:line="240" w:lineRule="auto"/>
        <w:ind w:left="426" w:hanging="357"/>
        <w:jc w:val="both"/>
      </w:pPr>
      <w:r>
        <w:t>s</w:t>
      </w:r>
      <w:r w:rsidR="004B7756">
        <w:t>tavebný dozor</w:t>
      </w:r>
      <w:r w:rsidR="00080EB6">
        <w:t>,</w:t>
      </w:r>
      <w:r w:rsidR="004B7756" w:rsidRPr="00B5339F">
        <w:t xml:space="preserve"> </w:t>
      </w:r>
    </w:p>
    <w:p w14:paraId="25860261" w14:textId="67ECFBA7" w:rsidR="00652040" w:rsidRPr="00B5339F" w:rsidRDefault="00F7201B" w:rsidP="007C5E5C">
      <w:pPr>
        <w:numPr>
          <w:ilvl w:val="0"/>
          <w:numId w:val="14"/>
        </w:numPr>
        <w:spacing w:after="60" w:line="240" w:lineRule="auto"/>
        <w:ind w:left="426" w:hanging="357"/>
        <w:jc w:val="both"/>
      </w:pPr>
      <w:r>
        <w:t>výdavky na energetické certifikáty, energetické audity, tepelno-technické posudky a pod.</w:t>
      </w:r>
      <w:r w:rsidR="00080EB6">
        <w:t>,</w:t>
      </w:r>
      <w:r>
        <w:t xml:space="preserve"> vydané pred a po výstavbe/rekonštrukcii/modernizácii. </w:t>
      </w:r>
    </w:p>
    <w:p w14:paraId="7DDD3978" w14:textId="77777777" w:rsidR="00F16C64" w:rsidRDefault="00F16C64" w:rsidP="00151681">
      <w:pPr>
        <w:spacing w:after="60" w:line="240" w:lineRule="auto"/>
        <w:jc w:val="both"/>
        <w:rPr>
          <w:b/>
        </w:rPr>
      </w:pPr>
    </w:p>
    <w:p w14:paraId="2AF2B345" w14:textId="77777777" w:rsidR="004B7756" w:rsidRPr="00B5339F" w:rsidRDefault="004B7756" w:rsidP="00151681">
      <w:pPr>
        <w:spacing w:after="60" w:line="240" w:lineRule="auto"/>
        <w:jc w:val="both"/>
      </w:pPr>
      <w:r w:rsidRPr="007B5C31">
        <w:rPr>
          <w:b/>
        </w:rPr>
        <w:t xml:space="preserve">022 </w:t>
      </w:r>
      <w:r>
        <w:rPr>
          <w:b/>
        </w:rPr>
        <w:t>–</w:t>
      </w:r>
      <w:r w:rsidRPr="007B5C31">
        <w:rPr>
          <w:b/>
        </w:rPr>
        <w:t xml:space="preserve"> Samostatné</w:t>
      </w:r>
      <w:r>
        <w:rPr>
          <w:b/>
        </w:rPr>
        <w:t xml:space="preserve"> </w:t>
      </w:r>
      <w:r w:rsidRPr="007B5C31">
        <w:rPr>
          <w:b/>
        </w:rPr>
        <w:t>hnuteľné veci a súbory hnuteľných vecí</w:t>
      </w:r>
      <w:r w:rsidRPr="00B5339F">
        <w:t xml:space="preserve"> - majú samostatné technicko-ekonomické určenie a ich ocenenie je vyššie ako 1 700 </w:t>
      </w:r>
      <w:r w:rsidR="00080EB6">
        <w:t>eur</w:t>
      </w:r>
      <w:r w:rsidRPr="00B5339F">
        <w:t>, doba použiteľnosti dlhšia ako 1 rok (napr. výrobné zariadenia, zariadenia a predmety slúžiace na poskytovanie služieb, účelové predmety a iné zariadenia, ktoré s budovou alebo stavbou netvoria jeden funkčný celok, aj keď je s ňou pevne spojené).</w:t>
      </w:r>
    </w:p>
    <w:p w14:paraId="3BD42F84" w14:textId="77777777" w:rsidR="004B7756" w:rsidRPr="00B5339F" w:rsidRDefault="00F7201B" w:rsidP="008858BA">
      <w:pPr>
        <w:numPr>
          <w:ilvl w:val="0"/>
          <w:numId w:val="15"/>
        </w:numPr>
        <w:spacing w:after="60" w:line="240" w:lineRule="auto"/>
        <w:jc w:val="both"/>
      </w:pPr>
      <w:r>
        <w:t>n</w:t>
      </w:r>
      <w:r w:rsidR="004B7756" w:rsidRPr="00B5339F">
        <w:t xml:space="preserve">ákup interiérového vybavenia; </w:t>
      </w:r>
    </w:p>
    <w:p w14:paraId="562F9F70" w14:textId="77777777" w:rsidR="004B7756" w:rsidRPr="00B5339F" w:rsidRDefault="00F7201B" w:rsidP="008858BA">
      <w:pPr>
        <w:numPr>
          <w:ilvl w:val="0"/>
          <w:numId w:val="15"/>
        </w:numPr>
        <w:spacing w:after="60" w:line="240" w:lineRule="auto"/>
        <w:jc w:val="both"/>
      </w:pPr>
      <w:r>
        <w:t>n</w:t>
      </w:r>
      <w:r w:rsidR="004B7756" w:rsidRPr="00B5339F">
        <w:t xml:space="preserve">ákup a modernizácia výpočtovej techniky, vrátane príslušenstva; </w:t>
      </w:r>
    </w:p>
    <w:p w14:paraId="7C046646" w14:textId="77777777" w:rsidR="004B7756" w:rsidRDefault="00F7201B" w:rsidP="008858BA">
      <w:pPr>
        <w:numPr>
          <w:ilvl w:val="0"/>
          <w:numId w:val="15"/>
        </w:numPr>
        <w:spacing w:after="60" w:line="240" w:lineRule="auto"/>
        <w:jc w:val="both"/>
      </w:pPr>
      <w:r>
        <w:t>n</w:t>
      </w:r>
      <w:r w:rsidR="004B7756" w:rsidRPr="00B5339F">
        <w:t xml:space="preserve">ákup a modernizácia telekomunikačnej techniky; </w:t>
      </w:r>
    </w:p>
    <w:p w14:paraId="4FD47C6C" w14:textId="77777777" w:rsidR="004B7756" w:rsidRPr="00B5339F" w:rsidRDefault="00F7201B" w:rsidP="008858BA">
      <w:pPr>
        <w:numPr>
          <w:ilvl w:val="0"/>
          <w:numId w:val="15"/>
        </w:numPr>
        <w:spacing w:after="60" w:line="240" w:lineRule="auto"/>
      </w:pPr>
      <w:r>
        <w:t>m</w:t>
      </w:r>
      <w:r w:rsidR="004B7756" w:rsidRPr="00940357">
        <w:t xml:space="preserve">odernizácia komunikačnej infraštruktúry. </w:t>
      </w:r>
    </w:p>
    <w:p w14:paraId="25B611C7" w14:textId="77777777" w:rsidR="004B7756" w:rsidRPr="00940357" w:rsidRDefault="00F7201B" w:rsidP="008858BA">
      <w:pPr>
        <w:numPr>
          <w:ilvl w:val="0"/>
          <w:numId w:val="15"/>
        </w:numPr>
        <w:spacing w:line="240" w:lineRule="auto"/>
        <w:ind w:left="714" w:hanging="357"/>
        <w:jc w:val="both"/>
      </w:pPr>
      <w:r>
        <w:t>n</w:t>
      </w:r>
      <w:r w:rsidR="004B7756" w:rsidRPr="00B5339F">
        <w:t>ákup a modernizácia prevádzkových/špeciálnych strojov, prístrojov, zariadení, techniky a</w:t>
      </w:r>
      <w:r w:rsidR="00C42023">
        <w:t> </w:t>
      </w:r>
      <w:r w:rsidR="004B7756" w:rsidRPr="00B5339F">
        <w:t>náradi</w:t>
      </w:r>
      <w:r w:rsidR="00C42023">
        <w:t>a (</w:t>
      </w:r>
      <w:r w:rsidR="004B7756" w:rsidRPr="00B5339F">
        <w:t>vrátane prvého zaškolenia obsluhy, ak verejné obstarávanie je realizované samostatne mimo stavebných prác)</w:t>
      </w:r>
      <w:r w:rsidR="004B7756">
        <w:t xml:space="preserve"> - </w:t>
      </w:r>
      <w:r>
        <w:rPr>
          <w:rFonts w:cs="Times"/>
          <w:bCs/>
          <w:iCs/>
        </w:rPr>
        <w:t>z</w:t>
      </w:r>
      <w:r w:rsidR="004B7756" w:rsidRPr="00940357">
        <w:rPr>
          <w:rFonts w:cs="Times"/>
          <w:bCs/>
          <w:iCs/>
        </w:rPr>
        <w:t>dravotnícke zariadenia  a IKT</w:t>
      </w:r>
    </w:p>
    <w:p w14:paraId="54D4D143" w14:textId="77777777" w:rsidR="004B7756" w:rsidRPr="00940357" w:rsidRDefault="004B7756" w:rsidP="00151681">
      <w:pPr>
        <w:widowControl w:val="0"/>
        <w:overflowPunct w:val="0"/>
        <w:autoSpaceDE w:val="0"/>
        <w:autoSpaceDN w:val="0"/>
        <w:adjustRightInd w:val="0"/>
        <w:spacing w:after="60" w:line="240" w:lineRule="auto"/>
        <w:ind w:right="60"/>
        <w:jc w:val="both"/>
      </w:pPr>
      <w:r w:rsidRPr="00940357">
        <w:rPr>
          <w:rFonts w:cs="Times"/>
        </w:rPr>
        <w:t>Oprávnené je obstaranie zdravotníckych prístrojov, zariadení a techniky, ktoré sú nevyhnutné pre splnenie cie</w:t>
      </w:r>
      <w:r w:rsidRPr="00940357">
        <w:t>ľ</w:t>
      </w:r>
      <w:r w:rsidRPr="00940357">
        <w:rPr>
          <w:rFonts w:cs="Times"/>
        </w:rPr>
        <w:t>ov projektu:</w:t>
      </w:r>
    </w:p>
    <w:p w14:paraId="036CEC9B" w14:textId="77777777" w:rsidR="004B7756" w:rsidRPr="00940357" w:rsidRDefault="004B7756" w:rsidP="008858BA">
      <w:pPr>
        <w:widowControl w:val="0"/>
        <w:numPr>
          <w:ilvl w:val="0"/>
          <w:numId w:val="15"/>
        </w:numPr>
        <w:overflowPunct w:val="0"/>
        <w:autoSpaceDE w:val="0"/>
        <w:autoSpaceDN w:val="0"/>
        <w:adjustRightInd w:val="0"/>
        <w:spacing w:after="60" w:line="240" w:lineRule="auto"/>
        <w:jc w:val="both"/>
        <w:rPr>
          <w:rFonts w:cs="Symbol"/>
        </w:rPr>
      </w:pPr>
      <w:r w:rsidRPr="00940357">
        <w:rPr>
          <w:rFonts w:cs="Times"/>
        </w:rPr>
        <w:t xml:space="preserve">výdavky na komplexnú zdravotnícku technológiu, </w:t>
      </w:r>
    </w:p>
    <w:p w14:paraId="04BDB40E" w14:textId="77777777" w:rsidR="004B7756" w:rsidRPr="00940357" w:rsidRDefault="004B7756" w:rsidP="008858BA">
      <w:pPr>
        <w:widowControl w:val="0"/>
        <w:numPr>
          <w:ilvl w:val="0"/>
          <w:numId w:val="15"/>
        </w:numPr>
        <w:overflowPunct w:val="0"/>
        <w:autoSpaceDE w:val="0"/>
        <w:autoSpaceDN w:val="0"/>
        <w:adjustRightInd w:val="0"/>
        <w:spacing w:after="60" w:line="240" w:lineRule="auto"/>
        <w:jc w:val="both"/>
        <w:rPr>
          <w:rFonts w:cs="Symbol"/>
        </w:rPr>
      </w:pPr>
      <w:r w:rsidRPr="00940357">
        <w:rPr>
          <w:rFonts w:cs="Times"/>
        </w:rPr>
        <w:t xml:space="preserve">výdavky na zdravotnícke stroje, prístroje a zariadenia, zdravotnícku techniku, </w:t>
      </w:r>
    </w:p>
    <w:p w14:paraId="7CB123F8" w14:textId="77777777" w:rsidR="004B7756" w:rsidRPr="00940357" w:rsidRDefault="004B7756" w:rsidP="008858BA">
      <w:pPr>
        <w:widowControl w:val="0"/>
        <w:numPr>
          <w:ilvl w:val="0"/>
          <w:numId w:val="15"/>
        </w:numPr>
        <w:overflowPunct w:val="0"/>
        <w:autoSpaceDE w:val="0"/>
        <w:autoSpaceDN w:val="0"/>
        <w:adjustRightInd w:val="0"/>
        <w:spacing w:after="60" w:line="240" w:lineRule="auto"/>
        <w:jc w:val="both"/>
        <w:rPr>
          <w:rFonts w:cs="Symbol"/>
        </w:rPr>
      </w:pPr>
      <w:r w:rsidRPr="00940357">
        <w:rPr>
          <w:rFonts w:cs="Times"/>
        </w:rPr>
        <w:t>výdavky na informa</w:t>
      </w:r>
      <w:r w:rsidRPr="00940357">
        <w:t>č</w:t>
      </w:r>
      <w:r w:rsidRPr="00940357">
        <w:rPr>
          <w:rFonts w:cs="Times"/>
        </w:rPr>
        <w:t xml:space="preserve">né technológie (hardvér), </w:t>
      </w:r>
    </w:p>
    <w:p w14:paraId="32BDEBB6" w14:textId="77777777" w:rsidR="004B7756" w:rsidRPr="00940357" w:rsidRDefault="004B7756" w:rsidP="008858BA">
      <w:pPr>
        <w:widowControl w:val="0"/>
        <w:numPr>
          <w:ilvl w:val="0"/>
          <w:numId w:val="15"/>
        </w:numPr>
        <w:overflowPunct w:val="0"/>
        <w:autoSpaceDE w:val="0"/>
        <w:autoSpaceDN w:val="0"/>
        <w:adjustRightInd w:val="0"/>
        <w:spacing w:after="60" w:line="240" w:lineRule="auto"/>
        <w:jc w:val="both"/>
        <w:rPr>
          <w:rFonts w:cs="Symbol"/>
        </w:rPr>
      </w:pPr>
      <w:r w:rsidRPr="00940357">
        <w:rPr>
          <w:rFonts w:cs="Times"/>
        </w:rPr>
        <w:t xml:space="preserve">výdavky na montáž a inštaláciu, </w:t>
      </w:r>
    </w:p>
    <w:p w14:paraId="3B088075" w14:textId="5F1EED62" w:rsidR="004B7756" w:rsidRPr="00FF3246" w:rsidRDefault="004B7756" w:rsidP="008858BA">
      <w:pPr>
        <w:numPr>
          <w:ilvl w:val="0"/>
          <w:numId w:val="15"/>
        </w:numPr>
        <w:spacing w:line="240" w:lineRule="auto"/>
        <w:jc w:val="both"/>
      </w:pPr>
      <w:r w:rsidRPr="00940357">
        <w:rPr>
          <w:rFonts w:cs="Times"/>
        </w:rPr>
        <w:t>výdavky na skúšky a skúšobnú prevádzku.</w:t>
      </w:r>
    </w:p>
    <w:p w14:paraId="5034CC17" w14:textId="4B64434A" w:rsidR="00957134" w:rsidRPr="00957134" w:rsidRDefault="00957134" w:rsidP="009C57EC">
      <w:pPr>
        <w:spacing w:line="240" w:lineRule="auto"/>
        <w:ind w:left="720"/>
        <w:jc w:val="both"/>
      </w:pPr>
    </w:p>
    <w:p w14:paraId="026C6272" w14:textId="77777777" w:rsidR="00FF6204" w:rsidRPr="00C42023" w:rsidRDefault="00FF6204" w:rsidP="00151681">
      <w:pPr>
        <w:pStyle w:val="Default"/>
        <w:spacing w:after="120"/>
        <w:rPr>
          <w:rFonts w:eastAsia="Times New Roman" w:cs="Times New Roman"/>
          <w:b/>
          <w:color w:val="auto"/>
          <w:sz w:val="22"/>
          <w:szCs w:val="22"/>
          <w:lang w:eastAsia="sk-SK"/>
        </w:rPr>
      </w:pPr>
      <w:r w:rsidRPr="00C42023">
        <w:rPr>
          <w:rFonts w:eastAsia="Times New Roman" w:cs="Times New Roman"/>
          <w:b/>
          <w:color w:val="auto"/>
          <w:sz w:val="22"/>
          <w:szCs w:val="22"/>
          <w:lang w:eastAsia="sk-SK"/>
        </w:rPr>
        <w:t xml:space="preserve">023 - Dopravné prostriedky </w:t>
      </w:r>
    </w:p>
    <w:p w14:paraId="5C9DC5CE" w14:textId="77777777" w:rsidR="00335DAE" w:rsidRPr="00335DAE" w:rsidRDefault="00080EB6" w:rsidP="008858BA">
      <w:pPr>
        <w:pStyle w:val="Default"/>
        <w:numPr>
          <w:ilvl w:val="0"/>
          <w:numId w:val="15"/>
        </w:numPr>
        <w:spacing w:after="120"/>
        <w:ind w:left="714" w:hanging="357"/>
        <w:rPr>
          <w:sz w:val="20"/>
          <w:szCs w:val="20"/>
        </w:rPr>
      </w:pPr>
      <w:r>
        <w:rPr>
          <w:rFonts w:eastAsia="Times New Roman" w:cs="Times New Roman"/>
          <w:color w:val="auto"/>
          <w:sz w:val="22"/>
          <w:szCs w:val="22"/>
          <w:lang w:eastAsia="sk-SK"/>
        </w:rPr>
        <w:t>n</w:t>
      </w:r>
      <w:r w:rsidR="00FF6204" w:rsidRPr="00C42023">
        <w:rPr>
          <w:rFonts w:eastAsia="Times New Roman" w:cs="Times New Roman"/>
          <w:color w:val="auto"/>
          <w:sz w:val="22"/>
          <w:szCs w:val="22"/>
          <w:lang w:eastAsia="sk-SK"/>
        </w:rPr>
        <w:t>ákup</w:t>
      </w:r>
      <w:r w:rsidR="00F7201B">
        <w:rPr>
          <w:rFonts w:eastAsia="Times New Roman" w:cs="Times New Roman"/>
          <w:color w:val="auto"/>
          <w:sz w:val="22"/>
          <w:szCs w:val="22"/>
          <w:lang w:eastAsia="sk-SK"/>
        </w:rPr>
        <w:t xml:space="preserve"> </w:t>
      </w:r>
      <w:r w:rsidR="00FF6204" w:rsidRPr="00C42023">
        <w:rPr>
          <w:rFonts w:eastAsia="Times New Roman" w:cs="Times New Roman"/>
          <w:color w:val="auto"/>
          <w:sz w:val="22"/>
          <w:szCs w:val="22"/>
          <w:lang w:eastAsia="sk-SK"/>
        </w:rPr>
        <w:t>osobných automobilov</w:t>
      </w:r>
      <w:r w:rsidR="00335DAE">
        <w:rPr>
          <w:rFonts w:eastAsia="Times New Roman" w:cs="Times New Roman"/>
          <w:color w:val="auto"/>
          <w:sz w:val="22"/>
          <w:szCs w:val="22"/>
          <w:lang w:eastAsia="sk-SK"/>
        </w:rPr>
        <w:t>,</w:t>
      </w:r>
    </w:p>
    <w:p w14:paraId="13095B1A" w14:textId="053306AE" w:rsidR="00FF6204" w:rsidRDefault="00335DAE" w:rsidP="008858BA">
      <w:pPr>
        <w:pStyle w:val="Default"/>
        <w:numPr>
          <w:ilvl w:val="0"/>
          <w:numId w:val="15"/>
        </w:numPr>
        <w:spacing w:after="120"/>
        <w:ind w:left="714" w:hanging="357"/>
        <w:rPr>
          <w:sz w:val="20"/>
          <w:szCs w:val="20"/>
        </w:rPr>
      </w:pPr>
      <w:r>
        <w:rPr>
          <w:rFonts w:eastAsia="Times New Roman" w:cs="Times New Roman"/>
          <w:color w:val="auto"/>
          <w:sz w:val="22"/>
          <w:szCs w:val="22"/>
          <w:lang w:eastAsia="sk-SK"/>
        </w:rPr>
        <w:t>nákup špeciálnych automobilov</w:t>
      </w:r>
      <w:r w:rsidR="00FF6204">
        <w:rPr>
          <w:sz w:val="20"/>
          <w:szCs w:val="20"/>
        </w:rPr>
        <w:t xml:space="preserve">. </w:t>
      </w:r>
    </w:p>
    <w:p w14:paraId="68F8A3F3" w14:textId="77777777" w:rsidR="00151681" w:rsidRDefault="00151681" w:rsidP="00151681">
      <w:pPr>
        <w:spacing w:line="240" w:lineRule="auto"/>
        <w:jc w:val="both"/>
        <w:rPr>
          <w:b/>
        </w:rPr>
      </w:pPr>
    </w:p>
    <w:p w14:paraId="25B69844" w14:textId="77777777" w:rsidR="004B7756" w:rsidRPr="00B5339F" w:rsidRDefault="004B7756" w:rsidP="00151681">
      <w:pPr>
        <w:spacing w:line="240" w:lineRule="auto"/>
        <w:jc w:val="both"/>
      </w:pPr>
      <w:r w:rsidRPr="007B5C31">
        <w:rPr>
          <w:b/>
        </w:rPr>
        <w:t>029 – Ostatný dlhodobý hmotný majetok</w:t>
      </w:r>
      <w:r w:rsidRPr="00B5339F">
        <w:t xml:space="preserve"> – DHM nezaraditeľný do predchádzajúcich skupín</w:t>
      </w:r>
    </w:p>
    <w:p w14:paraId="68FC2D43" w14:textId="77777777" w:rsidR="00E23DD0" w:rsidRPr="00B5339F" w:rsidRDefault="00080EB6" w:rsidP="008858BA">
      <w:pPr>
        <w:numPr>
          <w:ilvl w:val="0"/>
          <w:numId w:val="16"/>
        </w:numPr>
        <w:spacing w:line="240" w:lineRule="auto"/>
        <w:jc w:val="both"/>
      </w:pPr>
      <w:r>
        <w:t>t</w:t>
      </w:r>
      <w:r w:rsidR="004B7756" w:rsidRPr="00B5339F">
        <w:t xml:space="preserve">echnické rekultivácie (ako sú terénne úpravy, odstránenie následkov vodnej erózie, zdevastovania pôdy po stavebnej činnosti atď.). Od technickej rekultivácie je potrebné odlíšiť biologickú rekultiváciu (hnojenie pôdy, vysiatie trávy, vysadenie kvetín a okrasných kríkov), ktorá je vždy súčasťou podpoložky 633006. </w:t>
      </w:r>
    </w:p>
    <w:p w14:paraId="2D6144E6" w14:textId="77777777" w:rsidR="004B7756" w:rsidRDefault="00F7201B" w:rsidP="00151681">
      <w:pPr>
        <w:spacing w:before="120" w:line="240" w:lineRule="auto"/>
        <w:jc w:val="both"/>
        <w:rPr>
          <w:b/>
        </w:rPr>
      </w:pPr>
      <w:r>
        <w:rPr>
          <w:b/>
        </w:rPr>
        <w:t>Relevantné skupiny oprávnených výdavkov a EKRK v</w:t>
      </w:r>
      <w:r w:rsidR="00351927">
        <w:rPr>
          <w:b/>
        </w:rPr>
        <w:t xml:space="preserve"> účtovnej </w:t>
      </w:r>
      <w:r>
        <w:rPr>
          <w:b/>
        </w:rPr>
        <w:t>triede 02</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765"/>
        <w:gridCol w:w="6224"/>
        <w:gridCol w:w="1081"/>
      </w:tblGrid>
      <w:tr w:rsidR="004B7756" w:rsidRPr="0003730B" w14:paraId="03CB6A43" w14:textId="77777777" w:rsidTr="0003730B">
        <w:trPr>
          <w:tblHeader/>
        </w:trPr>
        <w:tc>
          <w:tcPr>
            <w:tcW w:w="973" w:type="pct"/>
            <w:shd w:val="clear" w:color="auto" w:fill="DBE5F1" w:themeFill="accent1" w:themeFillTint="33"/>
          </w:tcPr>
          <w:p w14:paraId="079CF211" w14:textId="77777777" w:rsidR="004B7756" w:rsidRPr="0003730B" w:rsidRDefault="004B7756" w:rsidP="00151681">
            <w:pPr>
              <w:spacing w:before="60" w:after="60" w:line="240" w:lineRule="auto"/>
              <w:jc w:val="both"/>
              <w:rPr>
                <w:rFonts w:asciiTheme="minorHAnsi" w:hAnsiTheme="minorHAnsi"/>
                <w:b/>
                <w:color w:val="002060"/>
                <w:sz w:val="20"/>
                <w:szCs w:val="20"/>
              </w:rPr>
            </w:pPr>
            <w:r w:rsidRPr="0003730B">
              <w:rPr>
                <w:rFonts w:asciiTheme="minorHAnsi" w:hAnsiTheme="minorHAnsi"/>
                <w:b/>
                <w:color w:val="002060"/>
                <w:sz w:val="20"/>
                <w:szCs w:val="20"/>
              </w:rPr>
              <w:t>Skupina</w:t>
            </w:r>
          </w:p>
        </w:tc>
        <w:tc>
          <w:tcPr>
            <w:tcW w:w="3431" w:type="pct"/>
            <w:shd w:val="clear" w:color="auto" w:fill="DBE5F1" w:themeFill="accent1" w:themeFillTint="33"/>
          </w:tcPr>
          <w:p w14:paraId="2AFF26BB" w14:textId="77777777" w:rsidR="004B7756" w:rsidRPr="0003730B" w:rsidRDefault="004B7756" w:rsidP="00151681">
            <w:pPr>
              <w:spacing w:before="60" w:after="60" w:line="240" w:lineRule="auto"/>
              <w:jc w:val="both"/>
              <w:rPr>
                <w:rFonts w:asciiTheme="minorHAnsi" w:hAnsiTheme="minorHAnsi"/>
                <w:b/>
                <w:color w:val="002060"/>
                <w:sz w:val="20"/>
                <w:szCs w:val="20"/>
              </w:rPr>
            </w:pPr>
            <w:r w:rsidRPr="0003730B">
              <w:rPr>
                <w:rFonts w:asciiTheme="minorHAnsi" w:hAnsiTheme="minorHAnsi"/>
                <w:b/>
                <w:color w:val="002060"/>
                <w:sz w:val="20"/>
                <w:szCs w:val="20"/>
              </w:rPr>
              <w:t>Podpoložka z EKRK</w:t>
            </w:r>
          </w:p>
        </w:tc>
        <w:tc>
          <w:tcPr>
            <w:tcW w:w="596" w:type="pct"/>
            <w:shd w:val="clear" w:color="auto" w:fill="DBE5F1" w:themeFill="accent1" w:themeFillTint="33"/>
          </w:tcPr>
          <w:p w14:paraId="197DA263" w14:textId="77777777" w:rsidR="004B7756" w:rsidRPr="0003730B" w:rsidRDefault="004B7756" w:rsidP="006B742C">
            <w:pPr>
              <w:spacing w:before="60" w:after="60" w:line="240" w:lineRule="auto"/>
              <w:jc w:val="center"/>
              <w:rPr>
                <w:rFonts w:asciiTheme="minorHAnsi" w:hAnsiTheme="minorHAnsi"/>
                <w:b/>
                <w:color w:val="002060"/>
                <w:sz w:val="20"/>
                <w:szCs w:val="20"/>
              </w:rPr>
            </w:pPr>
            <w:r w:rsidRPr="0003730B">
              <w:rPr>
                <w:rFonts w:asciiTheme="minorHAnsi" w:hAnsiTheme="minorHAnsi"/>
                <w:b/>
                <w:color w:val="002060"/>
                <w:sz w:val="20"/>
                <w:szCs w:val="20"/>
              </w:rPr>
              <w:t xml:space="preserve">ŠC </w:t>
            </w:r>
            <w:r w:rsidR="00461D6B" w:rsidRPr="0003730B">
              <w:rPr>
                <w:rFonts w:asciiTheme="minorHAnsi" w:hAnsiTheme="minorHAnsi"/>
                <w:b/>
                <w:color w:val="002060"/>
                <w:sz w:val="20"/>
                <w:szCs w:val="20"/>
              </w:rPr>
              <w:t>2.1.</w:t>
            </w:r>
            <w:r w:rsidR="006B742C">
              <w:rPr>
                <w:rFonts w:asciiTheme="minorHAnsi" w:hAnsiTheme="minorHAnsi"/>
                <w:b/>
                <w:color w:val="002060"/>
                <w:sz w:val="20"/>
                <w:szCs w:val="20"/>
              </w:rPr>
              <w:t>4</w:t>
            </w:r>
          </w:p>
        </w:tc>
      </w:tr>
      <w:tr w:rsidR="007E55F9" w:rsidRPr="0003730B" w14:paraId="282F8388" w14:textId="77777777" w:rsidTr="00AB67C9">
        <w:tc>
          <w:tcPr>
            <w:tcW w:w="973" w:type="pct"/>
            <w:vMerge w:val="restart"/>
          </w:tcPr>
          <w:p w14:paraId="2DB84BF5" w14:textId="77777777" w:rsidR="007E55F9" w:rsidRPr="0003730B" w:rsidRDefault="007E55F9" w:rsidP="00151681">
            <w:pPr>
              <w:spacing w:before="60" w:after="60" w:line="240" w:lineRule="auto"/>
              <w:rPr>
                <w:rFonts w:asciiTheme="minorHAnsi" w:hAnsiTheme="minorHAnsi"/>
                <w:sz w:val="20"/>
                <w:szCs w:val="20"/>
              </w:rPr>
            </w:pPr>
            <w:r w:rsidRPr="0003730B">
              <w:rPr>
                <w:rFonts w:asciiTheme="minorHAnsi" w:hAnsiTheme="minorHAnsi"/>
                <w:sz w:val="20"/>
                <w:szCs w:val="20"/>
              </w:rPr>
              <w:t>021 Stavby</w:t>
            </w:r>
          </w:p>
        </w:tc>
        <w:tc>
          <w:tcPr>
            <w:tcW w:w="3431" w:type="pct"/>
          </w:tcPr>
          <w:p w14:paraId="1246B1A6" w14:textId="77777777" w:rsidR="007E55F9" w:rsidRPr="0003730B" w:rsidRDefault="007E55F9"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717001 Realizácia nových stavieb</w:t>
            </w:r>
          </w:p>
        </w:tc>
        <w:tc>
          <w:tcPr>
            <w:tcW w:w="596" w:type="pct"/>
          </w:tcPr>
          <w:p w14:paraId="3D19F742" w14:textId="77777777" w:rsidR="007E55F9" w:rsidRPr="0003730B" w:rsidRDefault="007E55F9"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7E55F9" w:rsidRPr="0003730B" w14:paraId="572A5618" w14:textId="77777777" w:rsidTr="00AB67C9">
        <w:tc>
          <w:tcPr>
            <w:tcW w:w="973" w:type="pct"/>
            <w:vMerge/>
          </w:tcPr>
          <w:p w14:paraId="41D5C91B" w14:textId="77777777" w:rsidR="007E55F9" w:rsidRPr="0003730B" w:rsidRDefault="007E55F9" w:rsidP="00151681">
            <w:pPr>
              <w:spacing w:before="60" w:after="60" w:line="240" w:lineRule="auto"/>
              <w:rPr>
                <w:rFonts w:asciiTheme="minorHAnsi" w:hAnsiTheme="minorHAnsi"/>
                <w:sz w:val="20"/>
                <w:szCs w:val="20"/>
              </w:rPr>
            </w:pPr>
          </w:p>
        </w:tc>
        <w:tc>
          <w:tcPr>
            <w:tcW w:w="3431" w:type="pct"/>
          </w:tcPr>
          <w:p w14:paraId="4190DC56" w14:textId="77777777" w:rsidR="007E55F9" w:rsidRPr="0003730B" w:rsidRDefault="007E55F9"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717002 Rekonštrukcia a modernizácia stavieb</w:t>
            </w:r>
          </w:p>
        </w:tc>
        <w:tc>
          <w:tcPr>
            <w:tcW w:w="596" w:type="pct"/>
          </w:tcPr>
          <w:p w14:paraId="6D61ACAD" w14:textId="77777777" w:rsidR="007E55F9" w:rsidRPr="0003730B" w:rsidRDefault="007E55F9"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7E55F9" w:rsidRPr="0003730B" w14:paraId="33FC155D" w14:textId="77777777" w:rsidTr="00AB67C9">
        <w:tc>
          <w:tcPr>
            <w:tcW w:w="973" w:type="pct"/>
            <w:vMerge/>
          </w:tcPr>
          <w:p w14:paraId="0E35AA44" w14:textId="77777777" w:rsidR="007E55F9" w:rsidRPr="0003730B" w:rsidRDefault="007E55F9" w:rsidP="00151681">
            <w:pPr>
              <w:spacing w:before="60" w:after="60" w:line="240" w:lineRule="auto"/>
              <w:rPr>
                <w:rFonts w:asciiTheme="minorHAnsi" w:hAnsiTheme="minorHAnsi"/>
                <w:sz w:val="20"/>
                <w:szCs w:val="20"/>
              </w:rPr>
            </w:pPr>
          </w:p>
        </w:tc>
        <w:tc>
          <w:tcPr>
            <w:tcW w:w="3431" w:type="pct"/>
          </w:tcPr>
          <w:p w14:paraId="3BD1BA7C" w14:textId="77777777" w:rsidR="007E55F9" w:rsidRPr="0003730B" w:rsidRDefault="007E55F9"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717003 Prístavby, nadstavby, stavebné úpravy</w:t>
            </w:r>
          </w:p>
        </w:tc>
        <w:tc>
          <w:tcPr>
            <w:tcW w:w="596" w:type="pct"/>
          </w:tcPr>
          <w:p w14:paraId="77EC0155" w14:textId="77777777" w:rsidR="007E55F9" w:rsidRPr="0003730B" w:rsidRDefault="007E55F9"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7E55F9" w:rsidRPr="0003730B" w14:paraId="232F0C99" w14:textId="77777777" w:rsidTr="00AB67C9">
        <w:tc>
          <w:tcPr>
            <w:tcW w:w="973" w:type="pct"/>
            <w:vMerge/>
          </w:tcPr>
          <w:p w14:paraId="68CC5172" w14:textId="77777777" w:rsidR="007E55F9" w:rsidRPr="0003730B" w:rsidRDefault="007E55F9" w:rsidP="00151681">
            <w:pPr>
              <w:spacing w:before="60" w:after="60" w:line="240" w:lineRule="auto"/>
              <w:rPr>
                <w:rFonts w:asciiTheme="minorHAnsi" w:hAnsiTheme="minorHAnsi"/>
                <w:sz w:val="20"/>
                <w:szCs w:val="20"/>
              </w:rPr>
            </w:pPr>
          </w:p>
        </w:tc>
        <w:tc>
          <w:tcPr>
            <w:tcW w:w="3431" w:type="pct"/>
          </w:tcPr>
          <w:p w14:paraId="015D7941" w14:textId="77777777" w:rsidR="007E55F9" w:rsidRPr="0003730B" w:rsidRDefault="007E55F9" w:rsidP="00FC45EB">
            <w:pPr>
              <w:spacing w:before="60" w:after="60" w:line="240" w:lineRule="auto"/>
              <w:jc w:val="both"/>
              <w:rPr>
                <w:rFonts w:asciiTheme="minorHAnsi" w:hAnsiTheme="minorHAnsi"/>
                <w:sz w:val="20"/>
                <w:szCs w:val="20"/>
              </w:rPr>
            </w:pPr>
            <w:r>
              <w:rPr>
                <w:rFonts w:asciiTheme="minorHAnsi" w:hAnsiTheme="minorHAnsi"/>
                <w:sz w:val="20"/>
                <w:szCs w:val="20"/>
              </w:rPr>
              <w:t xml:space="preserve">716 </w:t>
            </w:r>
            <w:r w:rsidR="007A52E6">
              <w:rPr>
                <w:rFonts w:asciiTheme="minorHAnsi" w:hAnsiTheme="minorHAnsi"/>
                <w:sz w:val="20"/>
                <w:szCs w:val="20"/>
              </w:rPr>
              <w:t xml:space="preserve">       </w:t>
            </w:r>
            <w:r>
              <w:rPr>
                <w:rFonts w:asciiTheme="minorHAnsi" w:hAnsiTheme="minorHAnsi"/>
                <w:sz w:val="20"/>
                <w:szCs w:val="20"/>
              </w:rPr>
              <w:t>Prípravná a </w:t>
            </w:r>
            <w:r w:rsidR="00FC45EB">
              <w:rPr>
                <w:rFonts w:asciiTheme="minorHAnsi" w:hAnsiTheme="minorHAnsi"/>
                <w:sz w:val="20"/>
                <w:szCs w:val="20"/>
              </w:rPr>
              <w:t>projektová</w:t>
            </w:r>
            <w:r>
              <w:rPr>
                <w:rFonts w:asciiTheme="minorHAnsi" w:hAnsiTheme="minorHAnsi"/>
                <w:sz w:val="20"/>
                <w:szCs w:val="20"/>
              </w:rPr>
              <w:t xml:space="preserve"> dokumentácia</w:t>
            </w:r>
          </w:p>
        </w:tc>
        <w:tc>
          <w:tcPr>
            <w:tcW w:w="596" w:type="pct"/>
          </w:tcPr>
          <w:p w14:paraId="7A01693C" w14:textId="77777777" w:rsidR="007E55F9" w:rsidRPr="0003730B" w:rsidRDefault="00B654F0" w:rsidP="00151681">
            <w:pPr>
              <w:spacing w:before="60" w:after="60" w:line="240" w:lineRule="auto"/>
              <w:jc w:val="center"/>
              <w:rPr>
                <w:rFonts w:asciiTheme="minorHAnsi" w:hAnsiTheme="minorHAnsi"/>
                <w:sz w:val="20"/>
                <w:szCs w:val="20"/>
              </w:rPr>
            </w:pPr>
            <w:r>
              <w:rPr>
                <w:rFonts w:asciiTheme="minorHAnsi" w:hAnsiTheme="minorHAnsi"/>
                <w:sz w:val="20"/>
                <w:szCs w:val="20"/>
              </w:rPr>
              <w:t>x</w:t>
            </w:r>
          </w:p>
        </w:tc>
      </w:tr>
      <w:tr w:rsidR="004B7756" w:rsidRPr="0003730B" w14:paraId="6EF19597" w14:textId="77777777" w:rsidTr="00AB67C9">
        <w:tc>
          <w:tcPr>
            <w:tcW w:w="973" w:type="pct"/>
            <w:vMerge w:val="restart"/>
          </w:tcPr>
          <w:p w14:paraId="5F031AE1" w14:textId="77777777" w:rsidR="004B7756" w:rsidRPr="0003730B" w:rsidRDefault="004B7756" w:rsidP="00151681">
            <w:pPr>
              <w:spacing w:before="60" w:after="60" w:line="240" w:lineRule="auto"/>
              <w:rPr>
                <w:rFonts w:asciiTheme="minorHAnsi" w:hAnsiTheme="minorHAnsi"/>
                <w:sz w:val="20"/>
                <w:szCs w:val="20"/>
              </w:rPr>
            </w:pPr>
            <w:r w:rsidRPr="0003730B">
              <w:rPr>
                <w:rFonts w:asciiTheme="minorHAnsi" w:hAnsiTheme="minorHAnsi"/>
                <w:sz w:val="20"/>
                <w:szCs w:val="20"/>
              </w:rPr>
              <w:t>022 Samostatné hnuteľné veci a súbory hnuteľných vecí</w:t>
            </w:r>
          </w:p>
        </w:tc>
        <w:tc>
          <w:tcPr>
            <w:tcW w:w="3431" w:type="pct"/>
          </w:tcPr>
          <w:p w14:paraId="152B06A7"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713001 Nákup interiérového vybavenia</w:t>
            </w:r>
          </w:p>
        </w:tc>
        <w:tc>
          <w:tcPr>
            <w:tcW w:w="596" w:type="pct"/>
          </w:tcPr>
          <w:p w14:paraId="2EAAF123"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206BD1ED" w14:textId="77777777" w:rsidTr="00AB67C9">
        <w:tc>
          <w:tcPr>
            <w:tcW w:w="973" w:type="pct"/>
            <w:vMerge/>
          </w:tcPr>
          <w:p w14:paraId="4504C5CE"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632544BA"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713002 Nákup výpočtovej techniky</w:t>
            </w:r>
          </w:p>
        </w:tc>
        <w:tc>
          <w:tcPr>
            <w:tcW w:w="596" w:type="pct"/>
          </w:tcPr>
          <w:p w14:paraId="27CA8C0F"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0DDB3FF3" w14:textId="77777777" w:rsidTr="00AB67C9">
        <w:tc>
          <w:tcPr>
            <w:tcW w:w="973" w:type="pct"/>
            <w:vMerge/>
          </w:tcPr>
          <w:p w14:paraId="63612698"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21128996"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713003 Nákup telekomunikačnej techniky</w:t>
            </w:r>
          </w:p>
        </w:tc>
        <w:tc>
          <w:tcPr>
            <w:tcW w:w="596" w:type="pct"/>
          </w:tcPr>
          <w:p w14:paraId="5F34F657"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3A58C764" w14:textId="77777777" w:rsidTr="00AB67C9">
        <w:tc>
          <w:tcPr>
            <w:tcW w:w="973" w:type="pct"/>
            <w:vMerge/>
          </w:tcPr>
          <w:p w14:paraId="2F3106AC"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06D9D392" w14:textId="77777777" w:rsidR="004B7756" w:rsidRPr="0003730B" w:rsidRDefault="004B7756" w:rsidP="00151681">
            <w:pPr>
              <w:spacing w:before="60" w:after="60" w:line="240" w:lineRule="auto"/>
              <w:ind w:left="743" w:hanging="743"/>
              <w:jc w:val="both"/>
              <w:rPr>
                <w:rFonts w:asciiTheme="minorHAnsi" w:hAnsiTheme="minorHAnsi"/>
                <w:sz w:val="20"/>
                <w:szCs w:val="20"/>
              </w:rPr>
            </w:pPr>
            <w:r w:rsidRPr="0003730B">
              <w:rPr>
                <w:rFonts w:asciiTheme="minorHAnsi" w:hAnsiTheme="minorHAnsi"/>
                <w:sz w:val="20"/>
                <w:szCs w:val="20"/>
              </w:rPr>
              <w:t>713004 Nákup prevádzkových strojov, prístrojov, zariadení, techniky a náradia</w:t>
            </w:r>
          </w:p>
        </w:tc>
        <w:tc>
          <w:tcPr>
            <w:tcW w:w="596" w:type="pct"/>
          </w:tcPr>
          <w:p w14:paraId="6D964EC5"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4ED9391B" w14:textId="77777777" w:rsidTr="00AB67C9">
        <w:tc>
          <w:tcPr>
            <w:tcW w:w="973" w:type="pct"/>
            <w:vMerge/>
          </w:tcPr>
          <w:p w14:paraId="7AE6097D"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6606E928" w14:textId="77777777" w:rsidR="004B7756" w:rsidRPr="0003730B" w:rsidRDefault="004B7756" w:rsidP="00151681">
            <w:pPr>
              <w:spacing w:before="60" w:after="60" w:line="240" w:lineRule="auto"/>
              <w:ind w:left="743" w:hanging="743"/>
              <w:jc w:val="both"/>
              <w:rPr>
                <w:rFonts w:asciiTheme="minorHAnsi" w:hAnsiTheme="minorHAnsi"/>
                <w:sz w:val="20"/>
                <w:szCs w:val="20"/>
              </w:rPr>
            </w:pPr>
            <w:r w:rsidRPr="0003730B">
              <w:rPr>
                <w:rFonts w:asciiTheme="minorHAnsi" w:hAnsiTheme="minorHAnsi"/>
                <w:sz w:val="20"/>
                <w:szCs w:val="20"/>
              </w:rPr>
              <w:t>713005 Nákup špeciálnych strojov, prístrojov, zariadení, techniky, náradia a materiálu</w:t>
            </w:r>
          </w:p>
        </w:tc>
        <w:tc>
          <w:tcPr>
            <w:tcW w:w="596" w:type="pct"/>
          </w:tcPr>
          <w:p w14:paraId="322BA156"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55003D0B" w14:textId="77777777" w:rsidTr="00AB67C9">
        <w:tc>
          <w:tcPr>
            <w:tcW w:w="973" w:type="pct"/>
            <w:vMerge/>
          </w:tcPr>
          <w:p w14:paraId="7E70AAFA"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435C47C9"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713006 Nákup komunikačnej infraštruktúry</w:t>
            </w:r>
          </w:p>
        </w:tc>
        <w:tc>
          <w:tcPr>
            <w:tcW w:w="596" w:type="pct"/>
          </w:tcPr>
          <w:p w14:paraId="463AB360"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4D3F5842" w14:textId="77777777" w:rsidTr="00AB67C9">
        <w:tc>
          <w:tcPr>
            <w:tcW w:w="973" w:type="pct"/>
            <w:vMerge/>
          </w:tcPr>
          <w:p w14:paraId="0532C0AB"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0716024B"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718002 Modernizácia výpočtovej techniky</w:t>
            </w:r>
          </w:p>
        </w:tc>
        <w:tc>
          <w:tcPr>
            <w:tcW w:w="596" w:type="pct"/>
          </w:tcPr>
          <w:p w14:paraId="7262A420"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5E437EE9" w14:textId="77777777" w:rsidTr="00AB67C9">
        <w:tc>
          <w:tcPr>
            <w:tcW w:w="973" w:type="pct"/>
            <w:vMerge/>
          </w:tcPr>
          <w:p w14:paraId="1229C6E7"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67C0471C"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718003 Modernizácia telekomunikačnej techniky</w:t>
            </w:r>
          </w:p>
        </w:tc>
        <w:tc>
          <w:tcPr>
            <w:tcW w:w="596" w:type="pct"/>
          </w:tcPr>
          <w:p w14:paraId="5674EA0B"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71ED9917" w14:textId="77777777" w:rsidTr="00AB67C9">
        <w:tc>
          <w:tcPr>
            <w:tcW w:w="973" w:type="pct"/>
            <w:vMerge/>
          </w:tcPr>
          <w:p w14:paraId="5E68A575"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6FA05A29" w14:textId="77777777" w:rsidR="004B7756" w:rsidRPr="0003730B" w:rsidRDefault="004B7756" w:rsidP="00151681">
            <w:pPr>
              <w:spacing w:before="60" w:after="60" w:line="240" w:lineRule="auto"/>
              <w:ind w:left="743" w:hanging="743"/>
              <w:jc w:val="both"/>
              <w:rPr>
                <w:rFonts w:asciiTheme="minorHAnsi" w:hAnsiTheme="minorHAnsi"/>
                <w:sz w:val="20"/>
                <w:szCs w:val="20"/>
              </w:rPr>
            </w:pPr>
            <w:r w:rsidRPr="0003730B">
              <w:rPr>
                <w:rFonts w:asciiTheme="minorHAnsi" w:hAnsiTheme="minorHAnsi"/>
                <w:sz w:val="20"/>
                <w:szCs w:val="20"/>
              </w:rPr>
              <w:t>718004 Modernizácia prevádzkových strojov, prístrojov, zariadení, techniky a náradia</w:t>
            </w:r>
          </w:p>
        </w:tc>
        <w:tc>
          <w:tcPr>
            <w:tcW w:w="596" w:type="pct"/>
          </w:tcPr>
          <w:p w14:paraId="75AFBCDE"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7B7E8B5B" w14:textId="77777777" w:rsidTr="00AB67C9">
        <w:tc>
          <w:tcPr>
            <w:tcW w:w="973" w:type="pct"/>
            <w:vMerge/>
          </w:tcPr>
          <w:p w14:paraId="4316FEB7"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643699F4" w14:textId="77777777" w:rsidR="004B7756" w:rsidRPr="0003730B" w:rsidRDefault="004B7756" w:rsidP="00151681">
            <w:pPr>
              <w:spacing w:before="60" w:after="60" w:line="240" w:lineRule="auto"/>
              <w:ind w:left="743" w:hanging="743"/>
              <w:jc w:val="both"/>
              <w:rPr>
                <w:rFonts w:asciiTheme="minorHAnsi" w:hAnsiTheme="minorHAnsi"/>
                <w:sz w:val="20"/>
                <w:szCs w:val="20"/>
              </w:rPr>
            </w:pPr>
            <w:r w:rsidRPr="0003730B">
              <w:rPr>
                <w:rFonts w:asciiTheme="minorHAnsi" w:hAnsiTheme="minorHAnsi"/>
                <w:sz w:val="20"/>
                <w:szCs w:val="20"/>
              </w:rPr>
              <w:t>718005 Modernizácia špeciálnych strojov, prístrojov, zariadení, techniky a náradia</w:t>
            </w:r>
          </w:p>
        </w:tc>
        <w:tc>
          <w:tcPr>
            <w:tcW w:w="596" w:type="pct"/>
          </w:tcPr>
          <w:p w14:paraId="1DBD1FED"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6310CC4B" w14:textId="77777777" w:rsidTr="00AB67C9">
        <w:tc>
          <w:tcPr>
            <w:tcW w:w="973" w:type="pct"/>
            <w:vMerge/>
          </w:tcPr>
          <w:p w14:paraId="40B50E1B"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7CEAF8F2"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718007 Modernizácia komunikačnej infraštruktúry</w:t>
            </w:r>
          </w:p>
        </w:tc>
        <w:tc>
          <w:tcPr>
            <w:tcW w:w="596" w:type="pct"/>
          </w:tcPr>
          <w:p w14:paraId="5D5D65A1"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335DAE" w:rsidRPr="0003730B" w14:paraId="0ED124A3" w14:textId="77777777" w:rsidTr="00AB67C9">
        <w:tc>
          <w:tcPr>
            <w:tcW w:w="973" w:type="pct"/>
            <w:vMerge w:val="restart"/>
          </w:tcPr>
          <w:p w14:paraId="167A4E49" w14:textId="77777777" w:rsidR="00335DAE" w:rsidRPr="0003730B" w:rsidRDefault="00335DAE" w:rsidP="00151681">
            <w:pPr>
              <w:spacing w:before="60" w:after="60" w:line="240" w:lineRule="auto"/>
              <w:rPr>
                <w:rFonts w:asciiTheme="minorHAnsi" w:hAnsiTheme="minorHAnsi"/>
                <w:sz w:val="20"/>
                <w:szCs w:val="20"/>
              </w:rPr>
            </w:pPr>
            <w:r w:rsidRPr="0003730B">
              <w:rPr>
                <w:rFonts w:asciiTheme="minorHAnsi" w:hAnsiTheme="minorHAnsi"/>
                <w:sz w:val="20"/>
                <w:szCs w:val="20"/>
              </w:rPr>
              <w:t>023 Dopravné prostriedky</w:t>
            </w:r>
          </w:p>
        </w:tc>
        <w:tc>
          <w:tcPr>
            <w:tcW w:w="3431" w:type="pct"/>
          </w:tcPr>
          <w:p w14:paraId="6D1A15B7" w14:textId="77777777" w:rsidR="00335DAE" w:rsidRPr="0003730B" w:rsidRDefault="00335DAE" w:rsidP="006B742C">
            <w:pPr>
              <w:spacing w:before="60" w:after="60" w:line="240" w:lineRule="auto"/>
              <w:rPr>
                <w:rFonts w:asciiTheme="minorHAnsi" w:hAnsiTheme="minorHAnsi"/>
                <w:sz w:val="20"/>
                <w:szCs w:val="20"/>
              </w:rPr>
            </w:pPr>
            <w:r>
              <w:rPr>
                <w:rFonts w:asciiTheme="minorHAnsi" w:hAnsiTheme="minorHAnsi"/>
                <w:sz w:val="20"/>
                <w:szCs w:val="20"/>
              </w:rPr>
              <w:t>714001 Nákup osobných automobilov</w:t>
            </w:r>
          </w:p>
        </w:tc>
        <w:tc>
          <w:tcPr>
            <w:tcW w:w="596" w:type="pct"/>
          </w:tcPr>
          <w:p w14:paraId="1CC00D76" w14:textId="77777777" w:rsidR="00335DAE" w:rsidRPr="0003730B" w:rsidRDefault="00335DAE" w:rsidP="00151681">
            <w:pPr>
              <w:spacing w:before="60" w:after="60" w:line="240" w:lineRule="auto"/>
              <w:jc w:val="center"/>
              <w:rPr>
                <w:rFonts w:asciiTheme="minorHAnsi" w:hAnsiTheme="minorHAnsi"/>
                <w:sz w:val="20"/>
                <w:szCs w:val="20"/>
              </w:rPr>
            </w:pPr>
            <w:r>
              <w:rPr>
                <w:rFonts w:asciiTheme="minorHAnsi" w:hAnsiTheme="minorHAnsi"/>
                <w:sz w:val="20"/>
                <w:szCs w:val="20"/>
              </w:rPr>
              <w:t>x</w:t>
            </w:r>
          </w:p>
        </w:tc>
      </w:tr>
      <w:tr w:rsidR="00335DAE" w:rsidRPr="0003730B" w14:paraId="0F68A74C" w14:textId="77777777" w:rsidTr="00AB67C9">
        <w:tc>
          <w:tcPr>
            <w:tcW w:w="973" w:type="pct"/>
            <w:vMerge/>
          </w:tcPr>
          <w:p w14:paraId="1196C902" w14:textId="77777777" w:rsidR="00335DAE" w:rsidRPr="0003730B" w:rsidRDefault="00335DAE" w:rsidP="00151681">
            <w:pPr>
              <w:spacing w:before="60" w:after="60" w:line="240" w:lineRule="auto"/>
              <w:rPr>
                <w:rFonts w:asciiTheme="minorHAnsi" w:hAnsiTheme="minorHAnsi"/>
                <w:sz w:val="20"/>
                <w:szCs w:val="20"/>
              </w:rPr>
            </w:pPr>
          </w:p>
        </w:tc>
        <w:tc>
          <w:tcPr>
            <w:tcW w:w="3431" w:type="pct"/>
          </w:tcPr>
          <w:p w14:paraId="60AA020E" w14:textId="269C554E" w:rsidR="00335DAE" w:rsidRDefault="00335DAE" w:rsidP="00335DAE">
            <w:pPr>
              <w:spacing w:before="60" w:after="60" w:line="240" w:lineRule="auto"/>
              <w:rPr>
                <w:rFonts w:asciiTheme="minorHAnsi" w:hAnsiTheme="minorHAnsi"/>
                <w:sz w:val="20"/>
                <w:szCs w:val="20"/>
              </w:rPr>
            </w:pPr>
            <w:r>
              <w:rPr>
                <w:rFonts w:asciiTheme="minorHAnsi" w:hAnsiTheme="minorHAnsi"/>
                <w:sz w:val="20"/>
                <w:szCs w:val="20"/>
              </w:rPr>
              <w:t xml:space="preserve">714004 Nákup </w:t>
            </w:r>
            <w:r w:rsidRPr="00335DAE">
              <w:rPr>
                <w:rFonts w:asciiTheme="minorHAnsi" w:hAnsiTheme="minorHAnsi"/>
                <w:sz w:val="20"/>
                <w:szCs w:val="20"/>
              </w:rPr>
              <w:t>nákladných vozidiel, ťahačov, prípojných vozidiel, dopravných pracovných strojov, traktorov</w:t>
            </w:r>
          </w:p>
        </w:tc>
        <w:tc>
          <w:tcPr>
            <w:tcW w:w="596" w:type="pct"/>
          </w:tcPr>
          <w:p w14:paraId="751DB2FE" w14:textId="038199E4" w:rsidR="00335DAE" w:rsidRDefault="00335DAE" w:rsidP="00151681">
            <w:pPr>
              <w:spacing w:before="60" w:after="60" w:line="240" w:lineRule="auto"/>
              <w:jc w:val="center"/>
              <w:rPr>
                <w:rFonts w:asciiTheme="minorHAnsi" w:hAnsiTheme="minorHAnsi"/>
                <w:sz w:val="20"/>
                <w:szCs w:val="20"/>
              </w:rPr>
            </w:pPr>
            <w:r>
              <w:rPr>
                <w:rFonts w:asciiTheme="minorHAnsi" w:hAnsiTheme="minorHAnsi"/>
                <w:sz w:val="20"/>
                <w:szCs w:val="20"/>
              </w:rPr>
              <w:t>x</w:t>
            </w:r>
          </w:p>
        </w:tc>
      </w:tr>
      <w:tr w:rsidR="00335DAE" w:rsidRPr="0003730B" w14:paraId="67F45B4B" w14:textId="77777777" w:rsidTr="00AB67C9">
        <w:tc>
          <w:tcPr>
            <w:tcW w:w="973" w:type="pct"/>
            <w:vMerge/>
          </w:tcPr>
          <w:p w14:paraId="0877409C" w14:textId="77777777" w:rsidR="00335DAE" w:rsidRPr="0003730B" w:rsidRDefault="00335DAE" w:rsidP="00151681">
            <w:pPr>
              <w:spacing w:before="60" w:after="60" w:line="240" w:lineRule="auto"/>
              <w:rPr>
                <w:rFonts w:asciiTheme="minorHAnsi" w:hAnsiTheme="minorHAnsi"/>
                <w:sz w:val="20"/>
                <w:szCs w:val="20"/>
              </w:rPr>
            </w:pPr>
          </w:p>
        </w:tc>
        <w:tc>
          <w:tcPr>
            <w:tcW w:w="3431" w:type="pct"/>
          </w:tcPr>
          <w:p w14:paraId="61F64768" w14:textId="79AA2CDA" w:rsidR="00335DAE" w:rsidRPr="005A04EA" w:rsidRDefault="008D4584" w:rsidP="006B742C">
            <w:pPr>
              <w:spacing w:before="60" w:after="60" w:line="240" w:lineRule="auto"/>
              <w:rPr>
                <w:rFonts w:asciiTheme="minorHAnsi" w:hAnsiTheme="minorHAnsi"/>
                <w:sz w:val="20"/>
                <w:szCs w:val="20"/>
                <w:highlight w:val="yellow"/>
              </w:rPr>
            </w:pPr>
            <w:r w:rsidRPr="008D4584">
              <w:rPr>
                <w:rFonts w:asciiTheme="minorHAnsi" w:hAnsiTheme="minorHAnsi"/>
                <w:sz w:val="20"/>
                <w:szCs w:val="20"/>
              </w:rPr>
              <w:t>714005  Nákup špeciálnych automobilov</w:t>
            </w:r>
          </w:p>
        </w:tc>
        <w:tc>
          <w:tcPr>
            <w:tcW w:w="596" w:type="pct"/>
          </w:tcPr>
          <w:p w14:paraId="401E5D76" w14:textId="49F880E8" w:rsidR="00335DAE" w:rsidRPr="005A04EA" w:rsidRDefault="005A04EA" w:rsidP="00151681">
            <w:pPr>
              <w:spacing w:before="60" w:after="60" w:line="240" w:lineRule="auto"/>
              <w:jc w:val="center"/>
              <w:rPr>
                <w:rFonts w:asciiTheme="minorHAnsi" w:hAnsiTheme="minorHAnsi"/>
                <w:sz w:val="20"/>
                <w:szCs w:val="20"/>
                <w:highlight w:val="yellow"/>
              </w:rPr>
            </w:pPr>
            <w:r w:rsidRPr="00847A64">
              <w:rPr>
                <w:rFonts w:asciiTheme="minorHAnsi" w:hAnsiTheme="minorHAnsi"/>
                <w:sz w:val="20"/>
                <w:szCs w:val="20"/>
              </w:rPr>
              <w:t>x</w:t>
            </w:r>
          </w:p>
        </w:tc>
      </w:tr>
      <w:tr w:rsidR="00335DAE" w:rsidRPr="0003730B" w14:paraId="4B29BCB5" w14:textId="77777777" w:rsidTr="00AB67C9">
        <w:tc>
          <w:tcPr>
            <w:tcW w:w="973" w:type="pct"/>
            <w:vMerge/>
          </w:tcPr>
          <w:p w14:paraId="5DDAFBE2" w14:textId="77777777" w:rsidR="00335DAE" w:rsidRPr="0003730B" w:rsidRDefault="00335DAE" w:rsidP="00151681">
            <w:pPr>
              <w:spacing w:before="60" w:after="60" w:line="240" w:lineRule="auto"/>
              <w:rPr>
                <w:rFonts w:asciiTheme="minorHAnsi" w:hAnsiTheme="minorHAnsi"/>
                <w:sz w:val="20"/>
                <w:szCs w:val="20"/>
              </w:rPr>
            </w:pPr>
          </w:p>
        </w:tc>
        <w:tc>
          <w:tcPr>
            <w:tcW w:w="3431" w:type="pct"/>
          </w:tcPr>
          <w:p w14:paraId="34FE055D" w14:textId="7923BE30" w:rsidR="00335DAE" w:rsidRPr="0003730B" w:rsidRDefault="00335DAE" w:rsidP="006B742C">
            <w:pPr>
              <w:spacing w:before="60" w:after="60" w:line="240" w:lineRule="auto"/>
              <w:rPr>
                <w:rFonts w:asciiTheme="minorHAnsi" w:hAnsiTheme="minorHAnsi"/>
                <w:sz w:val="20"/>
                <w:szCs w:val="20"/>
              </w:rPr>
            </w:pPr>
            <w:r>
              <w:rPr>
                <w:rFonts w:asciiTheme="minorHAnsi" w:hAnsiTheme="minorHAnsi"/>
                <w:sz w:val="20"/>
                <w:szCs w:val="20"/>
              </w:rPr>
              <w:t>714007 Nákup iných dopravných prostriedkov</w:t>
            </w:r>
          </w:p>
        </w:tc>
        <w:tc>
          <w:tcPr>
            <w:tcW w:w="596" w:type="pct"/>
          </w:tcPr>
          <w:p w14:paraId="102088B8" w14:textId="18DF8EC0" w:rsidR="00335DAE" w:rsidRPr="0003730B" w:rsidRDefault="00335DAE" w:rsidP="00151681">
            <w:pPr>
              <w:spacing w:before="60" w:after="60" w:line="240" w:lineRule="auto"/>
              <w:jc w:val="center"/>
              <w:rPr>
                <w:rFonts w:asciiTheme="minorHAnsi" w:hAnsiTheme="minorHAnsi"/>
                <w:sz w:val="20"/>
                <w:szCs w:val="20"/>
              </w:rPr>
            </w:pPr>
            <w:r>
              <w:rPr>
                <w:rFonts w:asciiTheme="minorHAnsi" w:hAnsiTheme="minorHAnsi"/>
                <w:sz w:val="20"/>
                <w:szCs w:val="20"/>
              </w:rPr>
              <w:t>x</w:t>
            </w:r>
          </w:p>
        </w:tc>
      </w:tr>
      <w:tr w:rsidR="004B7756" w:rsidRPr="0003730B" w14:paraId="253685B3" w14:textId="77777777" w:rsidTr="00AB67C9">
        <w:tc>
          <w:tcPr>
            <w:tcW w:w="973" w:type="pct"/>
          </w:tcPr>
          <w:p w14:paraId="245F4DE0" w14:textId="77777777" w:rsidR="004B7756" w:rsidRPr="0003730B" w:rsidRDefault="004B7756" w:rsidP="00151681">
            <w:pPr>
              <w:spacing w:before="60" w:after="60" w:line="240" w:lineRule="auto"/>
              <w:rPr>
                <w:rFonts w:asciiTheme="minorHAnsi" w:hAnsiTheme="minorHAnsi"/>
                <w:sz w:val="20"/>
                <w:szCs w:val="20"/>
              </w:rPr>
            </w:pPr>
            <w:r w:rsidRPr="0003730B">
              <w:rPr>
                <w:rFonts w:asciiTheme="minorHAnsi" w:hAnsiTheme="minorHAnsi"/>
                <w:sz w:val="20"/>
                <w:szCs w:val="20"/>
              </w:rPr>
              <w:t>029 Ostatný dlhodobý hmotný majetok</w:t>
            </w:r>
          </w:p>
        </w:tc>
        <w:tc>
          <w:tcPr>
            <w:tcW w:w="3431" w:type="pct"/>
          </w:tcPr>
          <w:p w14:paraId="773B46FD"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719200 Ostatné</w:t>
            </w:r>
          </w:p>
        </w:tc>
        <w:tc>
          <w:tcPr>
            <w:tcW w:w="596" w:type="pct"/>
          </w:tcPr>
          <w:p w14:paraId="381F5617"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bl>
    <w:p w14:paraId="0E7B26B2" w14:textId="09DEC18C" w:rsidR="00167C54" w:rsidRPr="00167C54" w:rsidRDefault="00167C54" w:rsidP="00167C54">
      <w:pPr>
        <w:pStyle w:val="Nadpis2"/>
        <w:spacing w:line="240" w:lineRule="auto"/>
        <w:rPr>
          <w:rFonts w:asciiTheme="minorHAnsi" w:hAnsiTheme="minorHAnsi"/>
        </w:rPr>
      </w:pPr>
      <w:bookmarkStart w:id="57" w:name="page15"/>
      <w:bookmarkStart w:id="58" w:name="_Toc56090025"/>
      <w:bookmarkStart w:id="59" w:name="_Toc476655624"/>
      <w:bookmarkStart w:id="60" w:name="_Toc505197983"/>
      <w:bookmarkEnd w:id="57"/>
      <w:r w:rsidRPr="00167C54">
        <w:rPr>
          <w:rFonts w:asciiTheme="minorHAnsi" w:hAnsiTheme="minorHAnsi"/>
        </w:rPr>
        <w:t>3.4 Trieda 11 - Zásoby</w:t>
      </w:r>
      <w:bookmarkEnd w:id="58"/>
      <w:r w:rsidRPr="00167C54">
        <w:rPr>
          <w:rFonts w:asciiTheme="minorHAnsi" w:hAnsiTheme="minorHAnsi"/>
        </w:rPr>
        <w:t xml:space="preserve"> </w:t>
      </w:r>
    </w:p>
    <w:p w14:paraId="0BED2BD7" w14:textId="255282BC" w:rsidR="00335DAE" w:rsidRPr="00354C0D" w:rsidRDefault="00167C54" w:rsidP="00C24E87">
      <w:pPr>
        <w:jc w:val="both"/>
      </w:pPr>
      <w:r w:rsidRPr="00167C54">
        <w:t>V rámci triedy sa zaraďujú hnuteľné veci s dobou použiteľnosti najviac jeden rok bez ohľadu na obstarávaciu cenu. V danej triede sa vykazuje aj hmotný majetok</w:t>
      </w:r>
      <w:r w:rsidRPr="00C24E87">
        <w:rPr>
          <w:vertAlign w:val="superscript"/>
        </w:rPr>
        <w:footnoteReference w:id="29"/>
      </w:r>
      <w:r w:rsidRPr="00C24E87">
        <w:rPr>
          <w:vertAlign w:val="superscript"/>
        </w:rPr>
        <w:t>,</w:t>
      </w:r>
      <w:r w:rsidRPr="00167C54">
        <w:t xml:space="preserve"> ktorý nie je definovaný ako dlhodobý hmotný majetok. Ide napríklad o: prevádzkové stroje, prístroje, zariadenia, telekomunikačná a výpočtová technika, špeciálna technika, komunikačná infraštruktúra, technika a náradie; interiérové vybavenie – obstaranie napr. nábytku, ktorý spĺňa kritériá bežných výdavkov;  knihy, časopisy, noviny, učebnice, učebné, kompenzačné pomôcky, normy, mapy; pracovné odevy a pomôcky, obuv; materiál (napr. kancelársky, spotrebný materiál). </w:t>
      </w:r>
    </w:p>
    <w:p w14:paraId="698C1E02" w14:textId="0CB50F86" w:rsidR="00167C54" w:rsidRPr="00C24E87" w:rsidRDefault="00167C54" w:rsidP="00C24E87">
      <w:pPr>
        <w:rPr>
          <w:b/>
        </w:rPr>
      </w:pPr>
      <w:r w:rsidRPr="00C24E87">
        <w:rPr>
          <w:b/>
        </w:rPr>
        <w:t>Skupiny oprávnených výdavkov</w:t>
      </w:r>
    </w:p>
    <w:p w14:paraId="3F6829DD" w14:textId="77777777" w:rsidR="00167C54" w:rsidRPr="00C24E87" w:rsidRDefault="00167C54" w:rsidP="00C24E87">
      <w:pPr>
        <w:rPr>
          <w:b/>
        </w:rPr>
      </w:pPr>
      <w:r w:rsidRPr="00C24E87">
        <w:rPr>
          <w:b/>
        </w:rPr>
        <w:t xml:space="preserve">112 – Zásoby </w:t>
      </w:r>
    </w:p>
    <w:p w14:paraId="1A1AD5C9" w14:textId="77777777" w:rsidR="00167C54" w:rsidRDefault="00167C54" w:rsidP="00C24E87">
      <w:r w:rsidRPr="00167C54">
        <w:t>Vzťah medzi skupinami oprávnených výdavkov a EKRK a ich relevantnosť k</w:t>
      </w:r>
      <w:r>
        <w:t> </w:t>
      </w:r>
      <w:r w:rsidRPr="00167C54">
        <w:t>PO</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765"/>
        <w:gridCol w:w="6224"/>
        <w:gridCol w:w="1081"/>
      </w:tblGrid>
      <w:tr w:rsidR="00167C54" w:rsidRPr="0003730B" w14:paraId="69A843A9" w14:textId="77777777" w:rsidTr="00EF6AC0">
        <w:trPr>
          <w:tblHeader/>
        </w:trPr>
        <w:tc>
          <w:tcPr>
            <w:tcW w:w="973" w:type="pct"/>
            <w:shd w:val="clear" w:color="auto" w:fill="DBE5F1" w:themeFill="accent1" w:themeFillTint="33"/>
          </w:tcPr>
          <w:p w14:paraId="128832F9" w14:textId="77777777" w:rsidR="00167C54" w:rsidRPr="0003730B" w:rsidRDefault="00167C54" w:rsidP="00EF6AC0">
            <w:pPr>
              <w:spacing w:before="60" w:after="60" w:line="240" w:lineRule="auto"/>
              <w:jc w:val="both"/>
              <w:rPr>
                <w:rFonts w:asciiTheme="minorHAnsi" w:hAnsiTheme="minorHAnsi"/>
                <w:b/>
                <w:color w:val="002060"/>
                <w:sz w:val="20"/>
                <w:szCs w:val="20"/>
              </w:rPr>
            </w:pPr>
            <w:r w:rsidRPr="0003730B">
              <w:rPr>
                <w:rFonts w:asciiTheme="minorHAnsi" w:hAnsiTheme="minorHAnsi"/>
                <w:b/>
                <w:color w:val="002060"/>
                <w:sz w:val="20"/>
                <w:szCs w:val="20"/>
              </w:rPr>
              <w:lastRenderedPageBreak/>
              <w:t>Skupina</w:t>
            </w:r>
          </w:p>
        </w:tc>
        <w:tc>
          <w:tcPr>
            <w:tcW w:w="3431" w:type="pct"/>
            <w:shd w:val="clear" w:color="auto" w:fill="DBE5F1" w:themeFill="accent1" w:themeFillTint="33"/>
          </w:tcPr>
          <w:p w14:paraId="0E1841B8" w14:textId="77777777" w:rsidR="00167C54" w:rsidRPr="0003730B" w:rsidRDefault="00167C54" w:rsidP="00EF6AC0">
            <w:pPr>
              <w:spacing w:before="60" w:after="60" w:line="240" w:lineRule="auto"/>
              <w:jc w:val="both"/>
              <w:rPr>
                <w:rFonts w:asciiTheme="minorHAnsi" w:hAnsiTheme="minorHAnsi"/>
                <w:b/>
                <w:color w:val="002060"/>
                <w:sz w:val="20"/>
                <w:szCs w:val="20"/>
              </w:rPr>
            </w:pPr>
            <w:r w:rsidRPr="0003730B">
              <w:rPr>
                <w:rFonts w:asciiTheme="minorHAnsi" w:hAnsiTheme="minorHAnsi"/>
                <w:b/>
                <w:color w:val="002060"/>
                <w:sz w:val="20"/>
                <w:szCs w:val="20"/>
              </w:rPr>
              <w:t>Podpoložka z EKRK</w:t>
            </w:r>
          </w:p>
        </w:tc>
        <w:tc>
          <w:tcPr>
            <w:tcW w:w="596" w:type="pct"/>
            <w:shd w:val="clear" w:color="auto" w:fill="DBE5F1" w:themeFill="accent1" w:themeFillTint="33"/>
          </w:tcPr>
          <w:p w14:paraId="539DD95A" w14:textId="77777777" w:rsidR="00167C54" w:rsidRPr="0003730B" w:rsidRDefault="00167C54" w:rsidP="00EF6AC0">
            <w:pPr>
              <w:spacing w:before="60" w:after="60" w:line="240" w:lineRule="auto"/>
              <w:jc w:val="center"/>
              <w:rPr>
                <w:rFonts w:asciiTheme="minorHAnsi" w:hAnsiTheme="minorHAnsi"/>
                <w:b/>
                <w:color w:val="002060"/>
                <w:sz w:val="20"/>
                <w:szCs w:val="20"/>
              </w:rPr>
            </w:pPr>
            <w:r w:rsidRPr="0003730B">
              <w:rPr>
                <w:rFonts w:asciiTheme="minorHAnsi" w:hAnsiTheme="minorHAnsi"/>
                <w:b/>
                <w:color w:val="002060"/>
                <w:sz w:val="20"/>
                <w:szCs w:val="20"/>
              </w:rPr>
              <w:t>ŠC 2.1.</w:t>
            </w:r>
            <w:r>
              <w:rPr>
                <w:rFonts w:asciiTheme="minorHAnsi" w:hAnsiTheme="minorHAnsi"/>
                <w:b/>
                <w:color w:val="002060"/>
                <w:sz w:val="20"/>
                <w:szCs w:val="20"/>
              </w:rPr>
              <w:t>4</w:t>
            </w:r>
          </w:p>
        </w:tc>
      </w:tr>
      <w:tr w:rsidR="000C7EF0" w:rsidRPr="0003730B" w14:paraId="0D09709B" w14:textId="77777777" w:rsidTr="00EF6AC0">
        <w:tc>
          <w:tcPr>
            <w:tcW w:w="973" w:type="pct"/>
            <w:vMerge w:val="restart"/>
          </w:tcPr>
          <w:p w14:paraId="77388ECC" w14:textId="77777777" w:rsidR="000C7EF0" w:rsidRPr="0003730B" w:rsidRDefault="000C7EF0" w:rsidP="00EF6AC0">
            <w:pPr>
              <w:spacing w:before="60" w:after="60" w:line="240" w:lineRule="auto"/>
              <w:rPr>
                <w:rFonts w:asciiTheme="minorHAnsi" w:hAnsiTheme="minorHAnsi"/>
                <w:sz w:val="20"/>
                <w:szCs w:val="20"/>
              </w:rPr>
            </w:pPr>
            <w:r>
              <w:rPr>
                <w:rFonts w:asciiTheme="minorHAnsi" w:hAnsiTheme="minorHAnsi"/>
                <w:sz w:val="20"/>
                <w:szCs w:val="20"/>
              </w:rPr>
              <w:t>112 Zásoby</w:t>
            </w:r>
          </w:p>
          <w:p w14:paraId="4FCB113C" w14:textId="77777777" w:rsidR="000C7EF0" w:rsidRPr="0003730B" w:rsidRDefault="000C7EF0" w:rsidP="00EF6AC0">
            <w:pPr>
              <w:spacing w:before="60" w:after="60" w:line="240" w:lineRule="auto"/>
              <w:rPr>
                <w:rFonts w:asciiTheme="minorHAnsi" w:hAnsiTheme="minorHAnsi"/>
                <w:sz w:val="20"/>
                <w:szCs w:val="20"/>
              </w:rPr>
            </w:pPr>
          </w:p>
        </w:tc>
        <w:tc>
          <w:tcPr>
            <w:tcW w:w="3431" w:type="pct"/>
          </w:tcPr>
          <w:p w14:paraId="3C60FEA4" w14:textId="77777777" w:rsidR="000C7EF0" w:rsidRPr="0003730B" w:rsidRDefault="000C7EF0" w:rsidP="00EF6AC0">
            <w:pPr>
              <w:spacing w:before="60" w:after="60" w:line="240" w:lineRule="auto"/>
              <w:jc w:val="both"/>
              <w:rPr>
                <w:rFonts w:asciiTheme="minorHAnsi" w:hAnsiTheme="minorHAnsi"/>
                <w:sz w:val="20"/>
                <w:szCs w:val="20"/>
              </w:rPr>
            </w:pPr>
            <w:r w:rsidRPr="00167C54">
              <w:rPr>
                <w:rFonts w:asciiTheme="minorHAnsi" w:hAnsiTheme="minorHAnsi"/>
                <w:sz w:val="20"/>
                <w:szCs w:val="20"/>
              </w:rPr>
              <w:t>633001  Materiál Interiérové vybavenie</w:t>
            </w:r>
          </w:p>
        </w:tc>
        <w:tc>
          <w:tcPr>
            <w:tcW w:w="596" w:type="pct"/>
          </w:tcPr>
          <w:p w14:paraId="7015BD3B" w14:textId="77777777" w:rsidR="000C7EF0" w:rsidRPr="0003730B" w:rsidRDefault="000C7EF0" w:rsidP="00EF6AC0">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0C7EF0" w:rsidRPr="0003730B" w14:paraId="3E903003" w14:textId="77777777" w:rsidTr="00EF6AC0">
        <w:tc>
          <w:tcPr>
            <w:tcW w:w="973" w:type="pct"/>
            <w:vMerge/>
          </w:tcPr>
          <w:p w14:paraId="3E319AA3" w14:textId="77777777" w:rsidR="000C7EF0" w:rsidRPr="0003730B" w:rsidRDefault="000C7EF0" w:rsidP="00EF6AC0">
            <w:pPr>
              <w:spacing w:before="60" w:after="60" w:line="240" w:lineRule="auto"/>
              <w:rPr>
                <w:rFonts w:asciiTheme="minorHAnsi" w:hAnsiTheme="minorHAnsi"/>
                <w:sz w:val="20"/>
                <w:szCs w:val="20"/>
              </w:rPr>
            </w:pPr>
          </w:p>
        </w:tc>
        <w:tc>
          <w:tcPr>
            <w:tcW w:w="3431" w:type="pct"/>
          </w:tcPr>
          <w:p w14:paraId="10063F20" w14:textId="77777777" w:rsidR="000C7EF0" w:rsidRPr="0003730B" w:rsidRDefault="000C7EF0" w:rsidP="00EF6AC0">
            <w:pPr>
              <w:spacing w:before="60" w:after="60" w:line="240" w:lineRule="auto"/>
              <w:jc w:val="both"/>
              <w:rPr>
                <w:rFonts w:asciiTheme="minorHAnsi" w:hAnsiTheme="minorHAnsi"/>
                <w:sz w:val="20"/>
                <w:szCs w:val="20"/>
              </w:rPr>
            </w:pPr>
            <w:r w:rsidRPr="00167C54">
              <w:rPr>
                <w:rFonts w:asciiTheme="minorHAnsi" w:hAnsiTheme="minorHAnsi"/>
                <w:sz w:val="20"/>
                <w:szCs w:val="20"/>
              </w:rPr>
              <w:t>633002  Materiál Výpočtová technika</w:t>
            </w:r>
          </w:p>
        </w:tc>
        <w:tc>
          <w:tcPr>
            <w:tcW w:w="596" w:type="pct"/>
          </w:tcPr>
          <w:p w14:paraId="5AB07548" w14:textId="77777777" w:rsidR="000C7EF0" w:rsidRPr="0003730B" w:rsidRDefault="000C7EF0" w:rsidP="00EF6AC0">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0C7EF0" w:rsidRPr="0003730B" w14:paraId="08A0C721" w14:textId="77777777" w:rsidTr="00EF6AC0">
        <w:tc>
          <w:tcPr>
            <w:tcW w:w="973" w:type="pct"/>
            <w:vMerge/>
          </w:tcPr>
          <w:p w14:paraId="3C8EA94C" w14:textId="77777777" w:rsidR="000C7EF0" w:rsidRPr="0003730B" w:rsidRDefault="000C7EF0" w:rsidP="00EF6AC0">
            <w:pPr>
              <w:spacing w:before="60" w:after="60" w:line="240" w:lineRule="auto"/>
              <w:rPr>
                <w:rFonts w:asciiTheme="minorHAnsi" w:hAnsiTheme="minorHAnsi"/>
                <w:sz w:val="20"/>
                <w:szCs w:val="20"/>
              </w:rPr>
            </w:pPr>
          </w:p>
        </w:tc>
        <w:tc>
          <w:tcPr>
            <w:tcW w:w="3431" w:type="pct"/>
          </w:tcPr>
          <w:p w14:paraId="4801AA04" w14:textId="77777777" w:rsidR="000C7EF0" w:rsidRPr="0003730B" w:rsidRDefault="000C7EF0" w:rsidP="00EF6AC0">
            <w:pPr>
              <w:spacing w:before="60" w:after="60" w:line="240" w:lineRule="auto"/>
              <w:jc w:val="both"/>
              <w:rPr>
                <w:rFonts w:asciiTheme="minorHAnsi" w:hAnsiTheme="minorHAnsi"/>
                <w:sz w:val="20"/>
                <w:szCs w:val="20"/>
              </w:rPr>
            </w:pPr>
            <w:r w:rsidRPr="00167C54">
              <w:rPr>
                <w:rFonts w:asciiTheme="minorHAnsi" w:hAnsiTheme="minorHAnsi"/>
                <w:sz w:val="20"/>
                <w:szCs w:val="20"/>
              </w:rPr>
              <w:t>633003  Materiál Telekomunikačná technika</w:t>
            </w:r>
          </w:p>
        </w:tc>
        <w:tc>
          <w:tcPr>
            <w:tcW w:w="596" w:type="pct"/>
          </w:tcPr>
          <w:p w14:paraId="02E43A64" w14:textId="77777777" w:rsidR="000C7EF0" w:rsidRPr="0003730B" w:rsidRDefault="000C7EF0" w:rsidP="00EF6AC0">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0C7EF0" w:rsidRPr="0003730B" w14:paraId="5190B05E" w14:textId="77777777" w:rsidTr="00EF6AC0">
        <w:tc>
          <w:tcPr>
            <w:tcW w:w="973" w:type="pct"/>
            <w:vMerge/>
          </w:tcPr>
          <w:p w14:paraId="1B03E455" w14:textId="77777777" w:rsidR="000C7EF0" w:rsidRPr="0003730B" w:rsidRDefault="000C7EF0" w:rsidP="00EF6AC0">
            <w:pPr>
              <w:spacing w:before="60" w:after="60" w:line="240" w:lineRule="auto"/>
              <w:rPr>
                <w:rFonts w:asciiTheme="minorHAnsi" w:hAnsiTheme="minorHAnsi"/>
                <w:sz w:val="20"/>
                <w:szCs w:val="20"/>
              </w:rPr>
            </w:pPr>
          </w:p>
        </w:tc>
        <w:tc>
          <w:tcPr>
            <w:tcW w:w="3431" w:type="pct"/>
          </w:tcPr>
          <w:p w14:paraId="7F5B42D8" w14:textId="77777777" w:rsidR="000C7EF0" w:rsidRPr="0003730B" w:rsidRDefault="000C7EF0" w:rsidP="00EF6AC0">
            <w:pPr>
              <w:spacing w:before="60" w:after="60" w:line="240" w:lineRule="auto"/>
              <w:jc w:val="both"/>
              <w:rPr>
                <w:rFonts w:asciiTheme="minorHAnsi" w:hAnsiTheme="minorHAnsi"/>
                <w:sz w:val="20"/>
                <w:szCs w:val="20"/>
              </w:rPr>
            </w:pPr>
            <w:r w:rsidRPr="00167C54">
              <w:rPr>
                <w:rFonts w:asciiTheme="minorHAnsi" w:hAnsiTheme="minorHAnsi"/>
                <w:sz w:val="20"/>
                <w:szCs w:val="20"/>
              </w:rPr>
              <w:t>633004 Materiál Prevádzkové stroje, prístroje, zariadenie, technika a náradie</w:t>
            </w:r>
          </w:p>
        </w:tc>
        <w:tc>
          <w:tcPr>
            <w:tcW w:w="596" w:type="pct"/>
          </w:tcPr>
          <w:p w14:paraId="6B204F57" w14:textId="77777777" w:rsidR="000C7EF0" w:rsidRPr="0003730B" w:rsidRDefault="000C7EF0" w:rsidP="00EF6AC0">
            <w:pPr>
              <w:spacing w:before="60" w:after="60" w:line="240" w:lineRule="auto"/>
              <w:jc w:val="center"/>
              <w:rPr>
                <w:rFonts w:asciiTheme="minorHAnsi" w:hAnsiTheme="minorHAnsi"/>
                <w:sz w:val="20"/>
                <w:szCs w:val="20"/>
              </w:rPr>
            </w:pPr>
            <w:r>
              <w:rPr>
                <w:rFonts w:asciiTheme="minorHAnsi" w:hAnsiTheme="minorHAnsi"/>
                <w:sz w:val="20"/>
                <w:szCs w:val="20"/>
              </w:rPr>
              <w:t>x</w:t>
            </w:r>
          </w:p>
        </w:tc>
      </w:tr>
      <w:tr w:rsidR="000C7EF0" w:rsidRPr="0003730B" w14:paraId="13D665A5" w14:textId="77777777" w:rsidTr="00EF6AC0">
        <w:tc>
          <w:tcPr>
            <w:tcW w:w="973" w:type="pct"/>
            <w:vMerge/>
          </w:tcPr>
          <w:p w14:paraId="36CAF86A" w14:textId="77777777" w:rsidR="000C7EF0" w:rsidRPr="0003730B" w:rsidRDefault="000C7EF0" w:rsidP="00EF6AC0">
            <w:pPr>
              <w:spacing w:before="60" w:after="60" w:line="240" w:lineRule="auto"/>
              <w:rPr>
                <w:rFonts w:asciiTheme="minorHAnsi" w:hAnsiTheme="minorHAnsi"/>
                <w:sz w:val="20"/>
                <w:szCs w:val="20"/>
              </w:rPr>
            </w:pPr>
          </w:p>
        </w:tc>
        <w:tc>
          <w:tcPr>
            <w:tcW w:w="3431" w:type="pct"/>
          </w:tcPr>
          <w:p w14:paraId="23A8D46C" w14:textId="77777777" w:rsidR="000C7EF0" w:rsidRDefault="000C7EF0" w:rsidP="00EF6AC0">
            <w:pPr>
              <w:spacing w:before="60" w:after="60" w:line="240" w:lineRule="auto"/>
              <w:jc w:val="both"/>
              <w:rPr>
                <w:rFonts w:asciiTheme="minorHAnsi" w:hAnsiTheme="minorHAnsi"/>
                <w:sz w:val="20"/>
                <w:szCs w:val="20"/>
              </w:rPr>
            </w:pPr>
            <w:r w:rsidRPr="00167C54">
              <w:rPr>
                <w:rFonts w:asciiTheme="minorHAnsi" w:hAnsiTheme="minorHAnsi"/>
                <w:sz w:val="20"/>
                <w:szCs w:val="20"/>
              </w:rPr>
              <w:t>633005 Materiál Špeciálne stroje, prístroje, zariadenie, technika a náradie</w:t>
            </w:r>
          </w:p>
        </w:tc>
        <w:tc>
          <w:tcPr>
            <w:tcW w:w="596" w:type="pct"/>
          </w:tcPr>
          <w:p w14:paraId="1EEA0BE0" w14:textId="77777777" w:rsidR="000C7EF0" w:rsidRDefault="000C7EF0" w:rsidP="00EF6AC0">
            <w:pPr>
              <w:spacing w:before="60" w:after="60" w:line="240" w:lineRule="auto"/>
              <w:jc w:val="center"/>
              <w:rPr>
                <w:rFonts w:asciiTheme="minorHAnsi" w:hAnsiTheme="minorHAnsi"/>
                <w:sz w:val="20"/>
                <w:szCs w:val="20"/>
              </w:rPr>
            </w:pPr>
            <w:r>
              <w:rPr>
                <w:rFonts w:asciiTheme="minorHAnsi" w:hAnsiTheme="minorHAnsi"/>
                <w:sz w:val="20"/>
                <w:szCs w:val="20"/>
              </w:rPr>
              <w:t>x</w:t>
            </w:r>
          </w:p>
        </w:tc>
      </w:tr>
      <w:tr w:rsidR="000C7EF0" w:rsidRPr="0003730B" w14:paraId="0D29D518" w14:textId="77777777" w:rsidTr="00EF6AC0">
        <w:tc>
          <w:tcPr>
            <w:tcW w:w="973" w:type="pct"/>
            <w:vMerge/>
          </w:tcPr>
          <w:p w14:paraId="2306398B" w14:textId="77777777" w:rsidR="000C7EF0" w:rsidRPr="0003730B" w:rsidRDefault="000C7EF0" w:rsidP="00EF6AC0">
            <w:pPr>
              <w:spacing w:before="60" w:after="60" w:line="240" w:lineRule="auto"/>
              <w:rPr>
                <w:rFonts w:asciiTheme="minorHAnsi" w:hAnsiTheme="minorHAnsi"/>
                <w:sz w:val="20"/>
                <w:szCs w:val="20"/>
              </w:rPr>
            </w:pPr>
          </w:p>
        </w:tc>
        <w:tc>
          <w:tcPr>
            <w:tcW w:w="3431" w:type="pct"/>
          </w:tcPr>
          <w:p w14:paraId="40DA51BA" w14:textId="77777777" w:rsidR="000C7EF0" w:rsidRDefault="000C7EF0" w:rsidP="000C7EF0">
            <w:pPr>
              <w:spacing w:before="60" w:after="60" w:line="240" w:lineRule="auto"/>
              <w:jc w:val="both"/>
              <w:rPr>
                <w:rFonts w:asciiTheme="minorHAnsi" w:hAnsiTheme="minorHAnsi"/>
                <w:sz w:val="20"/>
                <w:szCs w:val="20"/>
              </w:rPr>
            </w:pPr>
            <w:r w:rsidRPr="00167C54">
              <w:rPr>
                <w:rFonts w:asciiTheme="minorHAnsi" w:hAnsiTheme="minorHAnsi"/>
                <w:sz w:val="20"/>
                <w:szCs w:val="20"/>
              </w:rPr>
              <w:t xml:space="preserve">633006  Materiál </w:t>
            </w:r>
            <w:r>
              <w:rPr>
                <w:rFonts w:asciiTheme="minorHAnsi" w:hAnsiTheme="minorHAnsi"/>
                <w:sz w:val="20"/>
                <w:szCs w:val="20"/>
              </w:rPr>
              <w:t>V</w:t>
            </w:r>
            <w:r w:rsidRPr="00167C54">
              <w:rPr>
                <w:rFonts w:asciiTheme="minorHAnsi" w:hAnsiTheme="minorHAnsi"/>
                <w:sz w:val="20"/>
                <w:szCs w:val="20"/>
              </w:rPr>
              <w:t>šeobecný</w:t>
            </w:r>
          </w:p>
        </w:tc>
        <w:tc>
          <w:tcPr>
            <w:tcW w:w="596" w:type="pct"/>
          </w:tcPr>
          <w:p w14:paraId="127E2A4F" w14:textId="77777777" w:rsidR="000C7EF0" w:rsidRDefault="000C7EF0" w:rsidP="00EF6AC0">
            <w:pPr>
              <w:spacing w:before="60" w:after="60" w:line="240" w:lineRule="auto"/>
              <w:jc w:val="center"/>
              <w:rPr>
                <w:rFonts w:asciiTheme="minorHAnsi" w:hAnsiTheme="minorHAnsi"/>
                <w:sz w:val="20"/>
                <w:szCs w:val="20"/>
              </w:rPr>
            </w:pPr>
            <w:r>
              <w:rPr>
                <w:rFonts w:asciiTheme="minorHAnsi" w:hAnsiTheme="minorHAnsi"/>
                <w:sz w:val="20"/>
                <w:szCs w:val="20"/>
              </w:rPr>
              <w:t>x</w:t>
            </w:r>
          </w:p>
        </w:tc>
      </w:tr>
      <w:tr w:rsidR="000C7EF0" w:rsidRPr="0003730B" w14:paraId="197E375A" w14:textId="77777777" w:rsidTr="00EF6AC0">
        <w:tc>
          <w:tcPr>
            <w:tcW w:w="973" w:type="pct"/>
            <w:vMerge/>
          </w:tcPr>
          <w:p w14:paraId="18E0BCA2" w14:textId="77777777" w:rsidR="000C7EF0" w:rsidRPr="0003730B" w:rsidRDefault="000C7EF0" w:rsidP="00EF6AC0">
            <w:pPr>
              <w:spacing w:before="60" w:after="60" w:line="240" w:lineRule="auto"/>
              <w:rPr>
                <w:rFonts w:asciiTheme="minorHAnsi" w:hAnsiTheme="minorHAnsi"/>
                <w:sz w:val="20"/>
                <w:szCs w:val="20"/>
              </w:rPr>
            </w:pPr>
          </w:p>
        </w:tc>
        <w:tc>
          <w:tcPr>
            <w:tcW w:w="3431" w:type="pct"/>
          </w:tcPr>
          <w:p w14:paraId="00B14E33" w14:textId="77777777" w:rsidR="000C7EF0" w:rsidRPr="0003730B" w:rsidRDefault="000C7EF0" w:rsidP="00EF6AC0">
            <w:pPr>
              <w:spacing w:before="60" w:after="60" w:line="240" w:lineRule="auto"/>
              <w:jc w:val="both"/>
              <w:rPr>
                <w:rFonts w:asciiTheme="minorHAnsi" w:hAnsiTheme="minorHAnsi"/>
                <w:sz w:val="20"/>
                <w:szCs w:val="20"/>
              </w:rPr>
            </w:pPr>
            <w:r w:rsidRPr="00167C54">
              <w:rPr>
                <w:rFonts w:asciiTheme="minorHAnsi" w:hAnsiTheme="minorHAnsi"/>
                <w:sz w:val="20"/>
                <w:szCs w:val="20"/>
              </w:rPr>
              <w:t>633007  Materiál Špeciálny</w:t>
            </w:r>
          </w:p>
        </w:tc>
        <w:tc>
          <w:tcPr>
            <w:tcW w:w="596" w:type="pct"/>
          </w:tcPr>
          <w:p w14:paraId="2D11A89C" w14:textId="77777777" w:rsidR="000C7EF0" w:rsidRPr="0003730B" w:rsidRDefault="000C7EF0" w:rsidP="00EF6AC0">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0C7EF0" w:rsidRPr="0003730B" w14:paraId="75B00DCA" w14:textId="77777777" w:rsidTr="00EF6AC0">
        <w:tc>
          <w:tcPr>
            <w:tcW w:w="973" w:type="pct"/>
            <w:vMerge/>
          </w:tcPr>
          <w:p w14:paraId="1A1E2C09" w14:textId="77777777" w:rsidR="000C7EF0" w:rsidRPr="0003730B" w:rsidRDefault="000C7EF0" w:rsidP="00EF6AC0">
            <w:pPr>
              <w:spacing w:before="60" w:after="60" w:line="240" w:lineRule="auto"/>
              <w:jc w:val="both"/>
              <w:rPr>
                <w:rFonts w:asciiTheme="minorHAnsi" w:hAnsiTheme="minorHAnsi"/>
                <w:sz w:val="20"/>
                <w:szCs w:val="20"/>
              </w:rPr>
            </w:pPr>
          </w:p>
        </w:tc>
        <w:tc>
          <w:tcPr>
            <w:tcW w:w="3431" w:type="pct"/>
          </w:tcPr>
          <w:p w14:paraId="128C172C" w14:textId="77777777" w:rsidR="000C7EF0" w:rsidRPr="0003730B" w:rsidRDefault="000C7EF0" w:rsidP="00EF6AC0">
            <w:pPr>
              <w:spacing w:before="60" w:after="60" w:line="240" w:lineRule="auto"/>
              <w:jc w:val="both"/>
              <w:rPr>
                <w:rFonts w:asciiTheme="minorHAnsi" w:hAnsiTheme="minorHAnsi"/>
                <w:sz w:val="20"/>
                <w:szCs w:val="20"/>
              </w:rPr>
            </w:pPr>
            <w:r w:rsidRPr="00167C54">
              <w:rPr>
                <w:rFonts w:asciiTheme="minorHAnsi" w:hAnsiTheme="minorHAnsi"/>
                <w:sz w:val="20"/>
                <w:szCs w:val="20"/>
              </w:rPr>
              <w:t>633009  Materiál Knihy, časopisy, noviny , učebnice, učebné pomôcky a kompenzačné pomôcky</w:t>
            </w:r>
          </w:p>
        </w:tc>
        <w:tc>
          <w:tcPr>
            <w:tcW w:w="596" w:type="pct"/>
          </w:tcPr>
          <w:p w14:paraId="2361B02A" w14:textId="77777777" w:rsidR="000C7EF0" w:rsidRPr="0003730B" w:rsidRDefault="000C7EF0" w:rsidP="00EF6AC0">
            <w:pPr>
              <w:spacing w:before="60" w:after="60" w:line="240" w:lineRule="auto"/>
              <w:jc w:val="center"/>
              <w:rPr>
                <w:rFonts w:asciiTheme="minorHAnsi" w:hAnsiTheme="minorHAnsi"/>
                <w:sz w:val="20"/>
                <w:szCs w:val="20"/>
              </w:rPr>
            </w:pPr>
          </w:p>
        </w:tc>
      </w:tr>
      <w:tr w:rsidR="000C7EF0" w:rsidRPr="0003730B" w14:paraId="345D0F6A" w14:textId="77777777" w:rsidTr="00EF6AC0">
        <w:tc>
          <w:tcPr>
            <w:tcW w:w="973" w:type="pct"/>
            <w:vMerge/>
          </w:tcPr>
          <w:p w14:paraId="7E0DEE5C" w14:textId="77777777" w:rsidR="000C7EF0" w:rsidRPr="0003730B" w:rsidRDefault="000C7EF0" w:rsidP="00EF6AC0">
            <w:pPr>
              <w:spacing w:before="60" w:after="60" w:line="240" w:lineRule="auto"/>
              <w:jc w:val="both"/>
              <w:rPr>
                <w:rFonts w:asciiTheme="minorHAnsi" w:hAnsiTheme="minorHAnsi"/>
                <w:sz w:val="20"/>
                <w:szCs w:val="20"/>
              </w:rPr>
            </w:pPr>
          </w:p>
        </w:tc>
        <w:tc>
          <w:tcPr>
            <w:tcW w:w="3431" w:type="pct"/>
          </w:tcPr>
          <w:p w14:paraId="777E3E46" w14:textId="77777777" w:rsidR="000C7EF0" w:rsidRPr="0003730B" w:rsidRDefault="000C7EF0" w:rsidP="00EF6AC0">
            <w:pPr>
              <w:spacing w:before="60" w:after="60" w:line="240" w:lineRule="auto"/>
              <w:jc w:val="both"/>
              <w:rPr>
                <w:rFonts w:asciiTheme="minorHAnsi" w:hAnsiTheme="minorHAnsi"/>
                <w:sz w:val="20"/>
                <w:szCs w:val="20"/>
              </w:rPr>
            </w:pPr>
            <w:r w:rsidRPr="00167C54">
              <w:rPr>
                <w:rFonts w:asciiTheme="minorHAnsi" w:hAnsiTheme="minorHAnsi"/>
                <w:sz w:val="20"/>
                <w:szCs w:val="20"/>
              </w:rPr>
              <w:t>633010  Materiál Pracovné odevy, obuv a pracovné pomôcky</w:t>
            </w:r>
          </w:p>
        </w:tc>
        <w:tc>
          <w:tcPr>
            <w:tcW w:w="596" w:type="pct"/>
          </w:tcPr>
          <w:p w14:paraId="4127F133" w14:textId="77777777" w:rsidR="000C7EF0" w:rsidRPr="0003730B" w:rsidRDefault="000C7EF0" w:rsidP="00EF6AC0">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0C7EF0" w:rsidRPr="0003730B" w14:paraId="208DB63D" w14:textId="77777777" w:rsidTr="00EF6AC0">
        <w:tc>
          <w:tcPr>
            <w:tcW w:w="973" w:type="pct"/>
            <w:vMerge/>
          </w:tcPr>
          <w:p w14:paraId="71251FD6" w14:textId="77777777" w:rsidR="000C7EF0" w:rsidRPr="0003730B" w:rsidRDefault="000C7EF0" w:rsidP="00EF6AC0">
            <w:pPr>
              <w:spacing w:before="60" w:after="60" w:line="240" w:lineRule="auto"/>
              <w:jc w:val="both"/>
              <w:rPr>
                <w:rFonts w:asciiTheme="minorHAnsi" w:hAnsiTheme="minorHAnsi"/>
                <w:sz w:val="20"/>
                <w:szCs w:val="20"/>
              </w:rPr>
            </w:pPr>
          </w:p>
        </w:tc>
        <w:tc>
          <w:tcPr>
            <w:tcW w:w="3431" w:type="pct"/>
          </w:tcPr>
          <w:p w14:paraId="384335C6" w14:textId="77777777" w:rsidR="000C7EF0" w:rsidRPr="0003730B" w:rsidRDefault="000C7EF0" w:rsidP="00EF6AC0">
            <w:pPr>
              <w:spacing w:before="60" w:after="60" w:line="240" w:lineRule="auto"/>
              <w:ind w:left="743" w:hanging="743"/>
              <w:jc w:val="both"/>
              <w:rPr>
                <w:rFonts w:asciiTheme="minorHAnsi" w:hAnsiTheme="minorHAnsi"/>
                <w:sz w:val="20"/>
                <w:szCs w:val="20"/>
              </w:rPr>
            </w:pPr>
            <w:r w:rsidRPr="000C7EF0">
              <w:rPr>
                <w:rFonts w:asciiTheme="minorHAnsi" w:hAnsiTheme="minorHAnsi"/>
                <w:sz w:val="20"/>
                <w:szCs w:val="20"/>
              </w:rPr>
              <w:t>633013 Materiál softvér</w:t>
            </w:r>
          </w:p>
        </w:tc>
        <w:tc>
          <w:tcPr>
            <w:tcW w:w="596" w:type="pct"/>
          </w:tcPr>
          <w:p w14:paraId="0572CF77" w14:textId="77777777" w:rsidR="000C7EF0" w:rsidRPr="0003730B" w:rsidRDefault="000C7EF0" w:rsidP="00EF6AC0">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0C7EF0" w:rsidRPr="0003730B" w14:paraId="1FD2F688" w14:textId="77777777" w:rsidTr="00EF6AC0">
        <w:tc>
          <w:tcPr>
            <w:tcW w:w="973" w:type="pct"/>
            <w:vMerge/>
          </w:tcPr>
          <w:p w14:paraId="779509DD" w14:textId="77777777" w:rsidR="000C7EF0" w:rsidRPr="0003730B" w:rsidRDefault="000C7EF0" w:rsidP="00EF6AC0">
            <w:pPr>
              <w:spacing w:before="60" w:after="60" w:line="240" w:lineRule="auto"/>
              <w:jc w:val="both"/>
              <w:rPr>
                <w:rFonts w:asciiTheme="minorHAnsi" w:hAnsiTheme="minorHAnsi"/>
                <w:sz w:val="20"/>
                <w:szCs w:val="20"/>
              </w:rPr>
            </w:pPr>
          </w:p>
        </w:tc>
        <w:tc>
          <w:tcPr>
            <w:tcW w:w="3431" w:type="pct"/>
          </w:tcPr>
          <w:p w14:paraId="2BA85CF8" w14:textId="77777777" w:rsidR="000C7EF0" w:rsidRPr="0003730B" w:rsidRDefault="000C7EF0" w:rsidP="00EF6AC0">
            <w:pPr>
              <w:spacing w:before="60" w:after="60" w:line="240" w:lineRule="auto"/>
              <w:ind w:left="743" w:hanging="743"/>
              <w:jc w:val="both"/>
              <w:rPr>
                <w:rFonts w:asciiTheme="minorHAnsi" w:hAnsiTheme="minorHAnsi"/>
                <w:sz w:val="20"/>
                <w:szCs w:val="20"/>
              </w:rPr>
            </w:pPr>
            <w:r w:rsidRPr="000C7EF0">
              <w:rPr>
                <w:rFonts w:asciiTheme="minorHAnsi" w:hAnsiTheme="minorHAnsi"/>
                <w:sz w:val="20"/>
                <w:szCs w:val="20"/>
              </w:rPr>
              <w:t>633016 Reprezentačné</w:t>
            </w:r>
          </w:p>
        </w:tc>
        <w:tc>
          <w:tcPr>
            <w:tcW w:w="596" w:type="pct"/>
          </w:tcPr>
          <w:p w14:paraId="75036F55" w14:textId="77777777" w:rsidR="000C7EF0" w:rsidRPr="0003730B" w:rsidRDefault="000C7EF0" w:rsidP="00EF6AC0">
            <w:pPr>
              <w:spacing w:before="60" w:after="60" w:line="240" w:lineRule="auto"/>
              <w:jc w:val="center"/>
              <w:rPr>
                <w:rFonts w:asciiTheme="minorHAnsi" w:hAnsiTheme="minorHAnsi"/>
                <w:sz w:val="20"/>
                <w:szCs w:val="20"/>
              </w:rPr>
            </w:pPr>
          </w:p>
        </w:tc>
      </w:tr>
      <w:tr w:rsidR="000C7EF0" w:rsidRPr="0003730B" w14:paraId="3E9C622A" w14:textId="77777777" w:rsidTr="00EF6AC0">
        <w:tc>
          <w:tcPr>
            <w:tcW w:w="973" w:type="pct"/>
            <w:vMerge/>
          </w:tcPr>
          <w:p w14:paraId="7B48938C" w14:textId="77777777" w:rsidR="000C7EF0" w:rsidRPr="0003730B" w:rsidRDefault="000C7EF0" w:rsidP="00EF6AC0">
            <w:pPr>
              <w:spacing w:before="60" w:after="60" w:line="240" w:lineRule="auto"/>
              <w:jc w:val="both"/>
              <w:rPr>
                <w:rFonts w:asciiTheme="minorHAnsi" w:hAnsiTheme="minorHAnsi"/>
                <w:sz w:val="20"/>
                <w:szCs w:val="20"/>
              </w:rPr>
            </w:pPr>
          </w:p>
        </w:tc>
        <w:tc>
          <w:tcPr>
            <w:tcW w:w="3431" w:type="pct"/>
          </w:tcPr>
          <w:p w14:paraId="2A516164" w14:textId="77777777" w:rsidR="000C7EF0" w:rsidRPr="0003730B" w:rsidRDefault="000C7EF0" w:rsidP="00EF6AC0">
            <w:pPr>
              <w:spacing w:before="60" w:after="60" w:line="240" w:lineRule="auto"/>
              <w:jc w:val="both"/>
              <w:rPr>
                <w:rFonts w:asciiTheme="minorHAnsi" w:hAnsiTheme="minorHAnsi"/>
                <w:sz w:val="20"/>
                <w:szCs w:val="20"/>
              </w:rPr>
            </w:pPr>
            <w:r w:rsidRPr="000C7EF0">
              <w:rPr>
                <w:rFonts w:asciiTheme="minorHAnsi" w:hAnsiTheme="minorHAnsi"/>
                <w:sz w:val="20"/>
                <w:szCs w:val="20"/>
              </w:rPr>
              <w:t>633018 Licencie</w:t>
            </w:r>
          </w:p>
        </w:tc>
        <w:tc>
          <w:tcPr>
            <w:tcW w:w="596" w:type="pct"/>
          </w:tcPr>
          <w:p w14:paraId="0F11F2CD" w14:textId="77777777" w:rsidR="000C7EF0" w:rsidRPr="0003730B" w:rsidRDefault="000C7EF0" w:rsidP="00EF6AC0">
            <w:pPr>
              <w:spacing w:before="60" w:after="60" w:line="240" w:lineRule="auto"/>
              <w:jc w:val="center"/>
              <w:rPr>
                <w:rFonts w:asciiTheme="minorHAnsi" w:hAnsiTheme="minorHAnsi"/>
                <w:sz w:val="20"/>
                <w:szCs w:val="20"/>
              </w:rPr>
            </w:pPr>
            <w:r>
              <w:rPr>
                <w:rFonts w:asciiTheme="minorHAnsi" w:hAnsiTheme="minorHAnsi"/>
                <w:sz w:val="20"/>
                <w:szCs w:val="20"/>
              </w:rPr>
              <w:t>x</w:t>
            </w:r>
          </w:p>
        </w:tc>
      </w:tr>
      <w:tr w:rsidR="000C7EF0" w:rsidRPr="0003730B" w14:paraId="5CD4603B" w14:textId="77777777" w:rsidTr="00EF6AC0">
        <w:tc>
          <w:tcPr>
            <w:tcW w:w="973" w:type="pct"/>
            <w:vMerge/>
          </w:tcPr>
          <w:p w14:paraId="106EA7DF" w14:textId="77777777" w:rsidR="000C7EF0" w:rsidRPr="0003730B" w:rsidRDefault="000C7EF0" w:rsidP="00EF6AC0">
            <w:pPr>
              <w:spacing w:before="60" w:after="60" w:line="240" w:lineRule="auto"/>
              <w:jc w:val="both"/>
              <w:rPr>
                <w:rFonts w:asciiTheme="minorHAnsi" w:hAnsiTheme="minorHAnsi"/>
                <w:sz w:val="20"/>
                <w:szCs w:val="20"/>
              </w:rPr>
            </w:pPr>
          </w:p>
        </w:tc>
        <w:tc>
          <w:tcPr>
            <w:tcW w:w="3431" w:type="pct"/>
          </w:tcPr>
          <w:p w14:paraId="002ADBD9" w14:textId="77777777" w:rsidR="000C7EF0" w:rsidRPr="0003730B" w:rsidRDefault="000C7EF0" w:rsidP="00EF6AC0">
            <w:pPr>
              <w:spacing w:before="60" w:after="60" w:line="240" w:lineRule="auto"/>
              <w:jc w:val="both"/>
              <w:rPr>
                <w:rFonts w:asciiTheme="minorHAnsi" w:hAnsiTheme="minorHAnsi"/>
                <w:sz w:val="20"/>
                <w:szCs w:val="20"/>
              </w:rPr>
            </w:pPr>
            <w:r w:rsidRPr="000C7EF0">
              <w:rPr>
                <w:rFonts w:asciiTheme="minorHAnsi" w:hAnsiTheme="minorHAnsi"/>
                <w:sz w:val="20"/>
                <w:szCs w:val="20"/>
              </w:rPr>
              <w:t>633019  Materiál Komunikačná infraštruktúra</w:t>
            </w:r>
          </w:p>
        </w:tc>
        <w:tc>
          <w:tcPr>
            <w:tcW w:w="596" w:type="pct"/>
          </w:tcPr>
          <w:p w14:paraId="0740D267" w14:textId="47C5762F" w:rsidR="000C7EF0" w:rsidRPr="0003730B" w:rsidRDefault="00F62E30" w:rsidP="00EF6AC0">
            <w:pPr>
              <w:spacing w:before="60" w:after="60" w:line="240" w:lineRule="auto"/>
              <w:jc w:val="center"/>
              <w:rPr>
                <w:rFonts w:asciiTheme="minorHAnsi" w:hAnsiTheme="minorHAnsi"/>
                <w:sz w:val="20"/>
                <w:szCs w:val="20"/>
              </w:rPr>
            </w:pPr>
            <w:r>
              <w:rPr>
                <w:rFonts w:asciiTheme="minorHAnsi" w:hAnsiTheme="minorHAnsi"/>
                <w:sz w:val="20"/>
                <w:szCs w:val="20"/>
              </w:rPr>
              <w:t>x</w:t>
            </w:r>
          </w:p>
        </w:tc>
      </w:tr>
      <w:tr w:rsidR="000C7EF0" w:rsidRPr="0003730B" w14:paraId="07FB6092" w14:textId="77777777" w:rsidTr="00EF6AC0">
        <w:tc>
          <w:tcPr>
            <w:tcW w:w="973" w:type="pct"/>
            <w:vMerge/>
          </w:tcPr>
          <w:p w14:paraId="5A7CA318" w14:textId="77777777" w:rsidR="000C7EF0" w:rsidRPr="0003730B" w:rsidRDefault="000C7EF0" w:rsidP="00EF6AC0">
            <w:pPr>
              <w:spacing w:before="60" w:after="60" w:line="240" w:lineRule="auto"/>
              <w:jc w:val="both"/>
              <w:rPr>
                <w:rFonts w:asciiTheme="minorHAnsi" w:hAnsiTheme="minorHAnsi"/>
                <w:sz w:val="20"/>
                <w:szCs w:val="20"/>
              </w:rPr>
            </w:pPr>
          </w:p>
        </w:tc>
        <w:tc>
          <w:tcPr>
            <w:tcW w:w="3431" w:type="pct"/>
          </w:tcPr>
          <w:p w14:paraId="7A89C14F" w14:textId="77777777" w:rsidR="000C7EF0" w:rsidRPr="0003730B" w:rsidRDefault="000C7EF0" w:rsidP="00EF6AC0">
            <w:pPr>
              <w:spacing w:before="60" w:after="60" w:line="240" w:lineRule="auto"/>
              <w:jc w:val="both"/>
              <w:rPr>
                <w:rFonts w:asciiTheme="minorHAnsi" w:hAnsiTheme="minorHAnsi"/>
                <w:sz w:val="20"/>
                <w:szCs w:val="20"/>
              </w:rPr>
            </w:pPr>
            <w:r w:rsidRPr="000C7EF0">
              <w:rPr>
                <w:rFonts w:asciiTheme="minorHAnsi" w:hAnsiTheme="minorHAnsi"/>
                <w:sz w:val="20"/>
                <w:szCs w:val="20"/>
              </w:rPr>
              <w:t>634006  Pracovné odevy, obuv a pracovné pomôcky (dopravné)</w:t>
            </w:r>
          </w:p>
        </w:tc>
        <w:tc>
          <w:tcPr>
            <w:tcW w:w="596" w:type="pct"/>
          </w:tcPr>
          <w:p w14:paraId="11C9DBA1" w14:textId="77777777" w:rsidR="000C7EF0" w:rsidRPr="0003730B" w:rsidRDefault="000C7EF0" w:rsidP="00EF6AC0">
            <w:pPr>
              <w:spacing w:before="60" w:after="60" w:line="240" w:lineRule="auto"/>
              <w:jc w:val="center"/>
              <w:rPr>
                <w:rFonts w:asciiTheme="minorHAnsi" w:hAnsiTheme="minorHAnsi"/>
                <w:sz w:val="20"/>
                <w:szCs w:val="20"/>
              </w:rPr>
            </w:pPr>
          </w:p>
        </w:tc>
      </w:tr>
    </w:tbl>
    <w:p w14:paraId="12C15F4F" w14:textId="77777777" w:rsidR="00167C54" w:rsidRPr="00167C54" w:rsidRDefault="00167C54" w:rsidP="00167C54"/>
    <w:bookmarkStart w:id="61" w:name="_Toc56090026"/>
    <w:p w14:paraId="1F721BF0" w14:textId="6098A7D9" w:rsidR="004B7756" w:rsidRPr="005C05CC" w:rsidRDefault="004B7756" w:rsidP="00151681">
      <w:pPr>
        <w:pStyle w:val="Nadpis2"/>
        <w:spacing w:after="120" w:line="240" w:lineRule="auto"/>
        <w:rPr>
          <w:rFonts w:asciiTheme="minorHAnsi" w:hAnsiTheme="minorHAnsi"/>
        </w:rPr>
      </w:pPr>
      <w:r w:rsidRPr="005C05CC">
        <w:rPr>
          <w:rFonts w:asciiTheme="minorHAnsi" w:hAnsiTheme="minorHAnsi"/>
          <w:noProof/>
        </w:rPr>
        <mc:AlternateContent>
          <mc:Choice Requires="wps">
            <w:drawing>
              <wp:anchor distT="0" distB="0" distL="114300" distR="114300" simplePos="0" relativeHeight="251661312" behindDoc="1" locked="0" layoutInCell="0" allowOverlap="1" wp14:anchorId="52D10D42" wp14:editId="38F67DC9">
                <wp:simplePos x="0" y="0"/>
                <wp:positionH relativeFrom="column">
                  <wp:posOffset>-3810</wp:posOffset>
                </wp:positionH>
                <wp:positionV relativeFrom="paragraph">
                  <wp:posOffset>-497205</wp:posOffset>
                </wp:positionV>
                <wp:extent cx="12065" cy="24765"/>
                <wp:effectExtent l="0" t="0" r="0" b="0"/>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765"/>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A5D1C" id="Rectangle 8" o:spid="_x0000_s1026" style="position:absolute;margin-left:-.3pt;margin-top:-39.15pt;width:.9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662336" behindDoc="1" locked="0" layoutInCell="0" allowOverlap="1" wp14:anchorId="63445592" wp14:editId="4F939BCD">
                <wp:simplePos x="0" y="0"/>
                <wp:positionH relativeFrom="column">
                  <wp:posOffset>1144905</wp:posOffset>
                </wp:positionH>
                <wp:positionV relativeFrom="paragraph">
                  <wp:posOffset>-497205</wp:posOffset>
                </wp:positionV>
                <wp:extent cx="12700" cy="24765"/>
                <wp:effectExtent l="0" t="0" r="0" b="0"/>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4765"/>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CC120" id="Rectangle 9" o:spid="_x0000_s1026" style="position:absolute;margin-left:90.15pt;margin-top:-39.15pt;width:1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663360" behindDoc="1" locked="0" layoutInCell="0" allowOverlap="1" wp14:anchorId="6CCCF889" wp14:editId="0E67A3A6">
                <wp:simplePos x="0" y="0"/>
                <wp:positionH relativeFrom="column">
                  <wp:posOffset>1153795</wp:posOffset>
                </wp:positionH>
                <wp:positionV relativeFrom="paragraph">
                  <wp:posOffset>-481965</wp:posOffset>
                </wp:positionV>
                <wp:extent cx="2553970" cy="0"/>
                <wp:effectExtent l="0" t="0" r="0" b="0"/>
                <wp:wrapNone/>
                <wp:docPr id="4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970"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F4A29"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37.95pt" to="291.9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64384" behindDoc="1" locked="0" layoutInCell="0" allowOverlap="1" wp14:anchorId="38FDBECB" wp14:editId="798D4104">
                <wp:simplePos x="0" y="0"/>
                <wp:positionH relativeFrom="column">
                  <wp:posOffset>3704590</wp:posOffset>
                </wp:positionH>
                <wp:positionV relativeFrom="paragraph">
                  <wp:posOffset>-497205</wp:posOffset>
                </wp:positionV>
                <wp:extent cx="12065" cy="24765"/>
                <wp:effectExtent l="0" t="0" r="0" b="0"/>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765"/>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924DB" id="Rectangle 11" o:spid="_x0000_s1026" style="position:absolute;margin-left:291.7pt;margin-top:-39.15pt;width:.9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665408" behindDoc="1" locked="0" layoutInCell="0" allowOverlap="1" wp14:anchorId="3B043D66" wp14:editId="2CB45124">
                <wp:simplePos x="0" y="0"/>
                <wp:positionH relativeFrom="column">
                  <wp:posOffset>3713480</wp:posOffset>
                </wp:positionH>
                <wp:positionV relativeFrom="paragraph">
                  <wp:posOffset>-481965</wp:posOffset>
                </wp:positionV>
                <wp:extent cx="283845" cy="0"/>
                <wp:effectExtent l="0" t="0" r="0" b="0"/>
                <wp:wrapNone/>
                <wp:docPr id="4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5B06E" id="Line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37.95pt" to="314.7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i4FAIAACoEAAAOAAAAZHJzL2Uyb0RvYy54bWysU02P2yAQvVfqf0DcE3+sN/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66432" behindDoc="1" locked="0" layoutInCell="0" allowOverlap="1" wp14:anchorId="1C9998D0" wp14:editId="4B882905">
                <wp:simplePos x="0" y="0"/>
                <wp:positionH relativeFrom="column">
                  <wp:posOffset>3994150</wp:posOffset>
                </wp:positionH>
                <wp:positionV relativeFrom="paragraph">
                  <wp:posOffset>-497205</wp:posOffset>
                </wp:positionV>
                <wp:extent cx="12065" cy="24765"/>
                <wp:effectExtent l="0" t="0" r="0" b="0"/>
                <wp:wrapNone/>
                <wp:docPr id="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765"/>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1C1EA" id="Rectangle 13" o:spid="_x0000_s1026" style="position:absolute;margin-left:314.5pt;margin-top:-39.15pt;width:.9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667456" behindDoc="1" locked="0" layoutInCell="0" allowOverlap="1" wp14:anchorId="419A8D44" wp14:editId="612A4B7C">
                <wp:simplePos x="0" y="0"/>
                <wp:positionH relativeFrom="column">
                  <wp:posOffset>4282440</wp:posOffset>
                </wp:positionH>
                <wp:positionV relativeFrom="paragraph">
                  <wp:posOffset>-497205</wp:posOffset>
                </wp:positionV>
                <wp:extent cx="12065" cy="24765"/>
                <wp:effectExtent l="0" t="0" r="0" b="0"/>
                <wp:wrapNone/>
                <wp:docPr id="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765"/>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5C3CA" id="Rectangle 14" o:spid="_x0000_s1026" style="position:absolute;margin-left:337.2pt;margin-top:-39.15pt;width:.95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668480" behindDoc="1" locked="0" layoutInCell="0" allowOverlap="1" wp14:anchorId="2E9EAF76" wp14:editId="18BE0C6C">
                <wp:simplePos x="0" y="0"/>
                <wp:positionH relativeFrom="column">
                  <wp:posOffset>4570095</wp:posOffset>
                </wp:positionH>
                <wp:positionV relativeFrom="paragraph">
                  <wp:posOffset>-497205</wp:posOffset>
                </wp:positionV>
                <wp:extent cx="12700" cy="24765"/>
                <wp:effectExtent l="0" t="0" r="0" b="0"/>
                <wp:wrapNone/>
                <wp:docPr id="4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4765"/>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4805F" id="Rectangle 15" o:spid="_x0000_s1026" style="position:absolute;margin-left:359.85pt;margin-top:-39.15pt;width:1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669504" behindDoc="1" locked="0" layoutInCell="0" allowOverlap="1" wp14:anchorId="4DEF5ACF" wp14:editId="727B8D4A">
                <wp:simplePos x="0" y="0"/>
                <wp:positionH relativeFrom="column">
                  <wp:posOffset>4858385</wp:posOffset>
                </wp:positionH>
                <wp:positionV relativeFrom="paragraph">
                  <wp:posOffset>-497205</wp:posOffset>
                </wp:positionV>
                <wp:extent cx="12700" cy="24765"/>
                <wp:effectExtent l="0" t="0" r="0" b="0"/>
                <wp:wrapNone/>
                <wp:docPr id="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4765"/>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54D2F" id="Rectangle 16" o:spid="_x0000_s1026" style="position:absolute;margin-left:382.55pt;margin-top:-39.15pt;width:1pt;height: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" o:allowincell="f" fillcolor="#92d400" stroked="f"/>
            </w:pict>
          </mc:Fallback>
        </mc:AlternateContent>
      </w:r>
      <w:r w:rsidRPr="005C05CC">
        <w:rPr>
          <w:rFonts w:asciiTheme="minorHAnsi" w:hAnsiTheme="minorHAnsi"/>
        </w:rPr>
        <w:t>3.</w:t>
      </w:r>
      <w:r w:rsidR="00BD6F6A">
        <w:rPr>
          <w:rFonts w:asciiTheme="minorHAnsi" w:hAnsiTheme="minorHAnsi"/>
        </w:rPr>
        <w:t>5</w:t>
      </w:r>
      <w:r w:rsidRPr="005C05CC">
        <w:rPr>
          <w:rFonts w:asciiTheme="minorHAnsi" w:hAnsiTheme="minorHAnsi"/>
        </w:rPr>
        <w:t xml:space="preserve"> Trieda 51 </w:t>
      </w:r>
      <w:r w:rsidR="00AB67C9" w:rsidRPr="005C05CC">
        <w:rPr>
          <w:rFonts w:asciiTheme="minorHAnsi" w:hAnsiTheme="minorHAnsi"/>
        </w:rPr>
        <w:t>–</w:t>
      </w:r>
      <w:r w:rsidRPr="005C05CC">
        <w:rPr>
          <w:rFonts w:asciiTheme="minorHAnsi" w:hAnsiTheme="minorHAnsi"/>
        </w:rPr>
        <w:t xml:space="preserve"> Služby</w:t>
      </w:r>
      <w:bookmarkEnd w:id="59"/>
      <w:bookmarkEnd w:id="60"/>
      <w:bookmarkEnd w:id="61"/>
      <w:r w:rsidR="00AB67C9" w:rsidRPr="005C05CC">
        <w:rPr>
          <w:rFonts w:asciiTheme="minorHAnsi" w:hAnsiTheme="minorHAnsi"/>
        </w:rPr>
        <w:t xml:space="preserve"> </w:t>
      </w:r>
    </w:p>
    <w:p w14:paraId="77A68F8A" w14:textId="77777777" w:rsidR="004B7756" w:rsidRPr="0028341A" w:rsidRDefault="004B7756" w:rsidP="00151681">
      <w:pPr>
        <w:spacing w:before="120" w:line="240" w:lineRule="auto"/>
        <w:jc w:val="both"/>
        <w:rPr>
          <w:b/>
        </w:rPr>
      </w:pPr>
      <w:r w:rsidRPr="0028341A">
        <w:rPr>
          <w:b/>
        </w:rPr>
        <w:t>Vecné vymedzenie</w:t>
      </w:r>
    </w:p>
    <w:p w14:paraId="4BDD9AAB" w14:textId="77777777" w:rsidR="004B7756" w:rsidRPr="00B5339F" w:rsidRDefault="004B7756" w:rsidP="00151681">
      <w:pPr>
        <w:spacing w:after="60" w:line="240" w:lineRule="auto"/>
        <w:jc w:val="both"/>
      </w:pPr>
      <w:r>
        <w:t>Do triedy patria najmä:</w:t>
      </w:r>
    </w:p>
    <w:p w14:paraId="0F835D94" w14:textId="77777777" w:rsidR="004B7756" w:rsidRPr="00B5339F" w:rsidRDefault="004B7756" w:rsidP="008858BA">
      <w:pPr>
        <w:numPr>
          <w:ilvl w:val="0"/>
          <w:numId w:val="17"/>
        </w:numPr>
        <w:spacing w:after="60" w:line="240" w:lineRule="auto"/>
        <w:jc w:val="both"/>
      </w:pPr>
      <w:r w:rsidRPr="00B5339F">
        <w:t xml:space="preserve">opravy a udržiavanie; </w:t>
      </w:r>
    </w:p>
    <w:p w14:paraId="3DA9A6DF" w14:textId="77777777" w:rsidR="004B7756" w:rsidRPr="00B5339F" w:rsidRDefault="004B7756" w:rsidP="008858BA">
      <w:pPr>
        <w:numPr>
          <w:ilvl w:val="0"/>
          <w:numId w:val="17"/>
        </w:numPr>
        <w:spacing w:after="60" w:line="240" w:lineRule="auto"/>
        <w:jc w:val="both"/>
      </w:pPr>
      <w:r w:rsidRPr="00B5339F">
        <w:t xml:space="preserve">cestovné náhrady; </w:t>
      </w:r>
    </w:p>
    <w:p w14:paraId="30738404" w14:textId="77777777" w:rsidR="004B7756" w:rsidRPr="00B5339F" w:rsidRDefault="004B7756" w:rsidP="008858BA">
      <w:pPr>
        <w:numPr>
          <w:ilvl w:val="0"/>
          <w:numId w:val="17"/>
        </w:numPr>
        <w:spacing w:after="60" w:line="240" w:lineRule="auto"/>
        <w:jc w:val="both"/>
      </w:pPr>
      <w:r w:rsidRPr="00B5339F">
        <w:t xml:space="preserve">občerstvenie; </w:t>
      </w:r>
    </w:p>
    <w:p w14:paraId="5A9C6079" w14:textId="77777777" w:rsidR="004B7756" w:rsidRPr="00B5339F" w:rsidRDefault="004B7756" w:rsidP="008858BA">
      <w:pPr>
        <w:numPr>
          <w:ilvl w:val="0"/>
          <w:numId w:val="17"/>
        </w:numPr>
        <w:spacing w:after="60" w:line="240" w:lineRule="auto"/>
        <w:jc w:val="both"/>
      </w:pPr>
      <w:r w:rsidRPr="00B5339F">
        <w:t xml:space="preserve">nájomné, skladné; </w:t>
      </w:r>
    </w:p>
    <w:p w14:paraId="3C2DE5B0" w14:textId="77777777" w:rsidR="004B7756" w:rsidRPr="00B5339F" w:rsidRDefault="004B7756" w:rsidP="008858BA">
      <w:pPr>
        <w:numPr>
          <w:ilvl w:val="0"/>
          <w:numId w:val="17"/>
        </w:numPr>
        <w:spacing w:after="60" w:line="240" w:lineRule="auto"/>
        <w:jc w:val="both"/>
      </w:pPr>
      <w:r w:rsidRPr="00B5339F">
        <w:t xml:space="preserve">telekomunikačné poplatky, poštové poplatky; </w:t>
      </w:r>
    </w:p>
    <w:p w14:paraId="47D161B6" w14:textId="77777777" w:rsidR="004B7756" w:rsidRPr="00B5339F" w:rsidRDefault="004B7756" w:rsidP="008858BA">
      <w:pPr>
        <w:numPr>
          <w:ilvl w:val="0"/>
          <w:numId w:val="17"/>
        </w:numPr>
        <w:spacing w:after="60" w:line="240" w:lineRule="auto"/>
        <w:jc w:val="both"/>
      </w:pPr>
      <w:r w:rsidRPr="00B5339F">
        <w:t>výdavky na pre</w:t>
      </w:r>
      <w:r>
        <w:t>pravu a transportné výdavky</w:t>
      </w:r>
      <w:r>
        <w:rPr>
          <w:rStyle w:val="Odkaznapoznmkupodiarou"/>
        </w:rPr>
        <w:footnoteReference w:id="30"/>
      </w:r>
      <w:r>
        <w:t xml:space="preserve">; </w:t>
      </w:r>
    </w:p>
    <w:p w14:paraId="469E559D" w14:textId="77777777" w:rsidR="004B7756" w:rsidRPr="00B5339F" w:rsidRDefault="004B7756" w:rsidP="008858BA">
      <w:pPr>
        <w:numPr>
          <w:ilvl w:val="0"/>
          <w:numId w:val="17"/>
        </w:numPr>
        <w:spacing w:after="60" w:line="240" w:lineRule="auto"/>
        <w:jc w:val="both"/>
      </w:pPr>
      <w:r w:rsidRPr="00B5339F">
        <w:t xml:space="preserve">služby výpočtovej techniky, tlač; </w:t>
      </w:r>
    </w:p>
    <w:p w14:paraId="4347415A" w14:textId="77777777" w:rsidR="004B7756" w:rsidRPr="00B5339F" w:rsidRDefault="004B7756" w:rsidP="008858BA">
      <w:pPr>
        <w:numPr>
          <w:ilvl w:val="0"/>
          <w:numId w:val="17"/>
        </w:numPr>
        <w:spacing w:after="60" w:line="240" w:lineRule="auto"/>
        <w:jc w:val="both"/>
      </w:pPr>
      <w:r w:rsidRPr="00B5339F">
        <w:t xml:space="preserve">poradenské služby, právne služby, tlmočnícke a prekladateľské služby, audit, expertízy, marketingové a podobné štúdie; </w:t>
      </w:r>
    </w:p>
    <w:p w14:paraId="1FA2E0F4" w14:textId="77777777" w:rsidR="004B7756" w:rsidRPr="00B5339F" w:rsidRDefault="004B7756" w:rsidP="008858BA">
      <w:pPr>
        <w:numPr>
          <w:ilvl w:val="0"/>
          <w:numId w:val="17"/>
        </w:numPr>
        <w:spacing w:after="60" w:line="240" w:lineRule="auto"/>
        <w:jc w:val="both"/>
      </w:pPr>
      <w:r w:rsidRPr="00B5339F">
        <w:t xml:space="preserve">vzdelávacie a školiace služby (napr. školenia, kurzy, semináre); </w:t>
      </w:r>
    </w:p>
    <w:p w14:paraId="469CC084" w14:textId="77777777" w:rsidR="004B7756" w:rsidRPr="00B5339F" w:rsidRDefault="004B7756" w:rsidP="008858BA">
      <w:pPr>
        <w:numPr>
          <w:ilvl w:val="0"/>
          <w:numId w:val="17"/>
        </w:numPr>
        <w:spacing w:after="60" w:line="240" w:lineRule="auto"/>
        <w:jc w:val="both"/>
      </w:pPr>
      <w:r w:rsidRPr="00B5339F">
        <w:t xml:space="preserve">konferencie, sympóziá; </w:t>
      </w:r>
    </w:p>
    <w:p w14:paraId="0692538F" w14:textId="77777777" w:rsidR="004B7756" w:rsidRPr="00B5339F" w:rsidRDefault="004B7756" w:rsidP="008858BA">
      <w:pPr>
        <w:numPr>
          <w:ilvl w:val="0"/>
          <w:numId w:val="17"/>
        </w:numPr>
        <w:spacing w:after="60" w:line="240" w:lineRule="auto"/>
        <w:jc w:val="both"/>
      </w:pPr>
      <w:r w:rsidRPr="00B5339F">
        <w:t xml:space="preserve">obstaranie nehmotného majetku, ktorý podľa rozhodnutia účtovnej jednotky nebol zaradený ako dlhodobý nehmotný majetok; </w:t>
      </w:r>
    </w:p>
    <w:p w14:paraId="369C52FE" w14:textId="77777777" w:rsidR="004B7756" w:rsidRPr="00B5339F" w:rsidRDefault="004B7756" w:rsidP="008858BA">
      <w:pPr>
        <w:numPr>
          <w:ilvl w:val="0"/>
          <w:numId w:val="17"/>
        </w:numPr>
        <w:spacing w:after="60" w:line="240" w:lineRule="auto"/>
        <w:jc w:val="both"/>
      </w:pPr>
      <w:r w:rsidRPr="00B5339F">
        <w:t xml:space="preserve">náklady na revízie zariadení, periodické kontroly zariadení, skúšky funkčnosti zariadení, technické kontroly a emisné kontroly; </w:t>
      </w:r>
    </w:p>
    <w:p w14:paraId="26289D09" w14:textId="77777777" w:rsidR="00F7201B" w:rsidRPr="00080EB6" w:rsidRDefault="004B7756" w:rsidP="008858BA">
      <w:pPr>
        <w:numPr>
          <w:ilvl w:val="0"/>
          <w:numId w:val="17"/>
        </w:numPr>
        <w:spacing w:line="240" w:lineRule="auto"/>
        <w:ind w:left="714" w:hanging="357"/>
        <w:jc w:val="both"/>
        <w:rPr>
          <w:b/>
        </w:rPr>
      </w:pPr>
      <w:r w:rsidRPr="00B5339F">
        <w:t xml:space="preserve">náklady na inzerciu, publicitu. </w:t>
      </w:r>
    </w:p>
    <w:p w14:paraId="7F1D3609" w14:textId="77777777" w:rsidR="004B7756" w:rsidRPr="00F827F9" w:rsidRDefault="004B7756" w:rsidP="00151681">
      <w:pPr>
        <w:spacing w:after="60" w:line="240" w:lineRule="auto"/>
        <w:jc w:val="both"/>
      </w:pPr>
      <w:r>
        <w:rPr>
          <w:b/>
        </w:rPr>
        <w:t xml:space="preserve">Skupiny oprávnených výdavkov </w:t>
      </w:r>
      <w:r w:rsidRPr="00A23CD4">
        <w:rPr>
          <w:b/>
        </w:rPr>
        <w:t>518</w:t>
      </w:r>
      <w:r>
        <w:rPr>
          <w:b/>
        </w:rPr>
        <w:t xml:space="preserve"> - Ostatné služby</w:t>
      </w:r>
    </w:p>
    <w:p w14:paraId="6EB9B6D6" w14:textId="76764D0A" w:rsidR="000B188A" w:rsidRDefault="000B188A" w:rsidP="008858BA">
      <w:pPr>
        <w:numPr>
          <w:ilvl w:val="0"/>
          <w:numId w:val="18"/>
        </w:numPr>
        <w:spacing w:after="60" w:line="240" w:lineRule="auto"/>
        <w:jc w:val="both"/>
      </w:pPr>
      <w:r w:rsidRPr="000B188A">
        <w:t>propagácia, reklama a inzercia – služby spojené so zabezpečením informovanosti a komunikácie;</w:t>
      </w:r>
    </w:p>
    <w:p w14:paraId="1EAEFA52" w14:textId="245BBEF6" w:rsidR="004B7756" w:rsidRDefault="00A24EBA" w:rsidP="008858BA">
      <w:pPr>
        <w:numPr>
          <w:ilvl w:val="0"/>
          <w:numId w:val="18"/>
        </w:numPr>
        <w:spacing w:after="60" w:line="240" w:lineRule="auto"/>
        <w:jc w:val="both"/>
      </w:pPr>
      <w:r w:rsidRPr="00A24EBA">
        <w:lastRenderedPageBreak/>
        <w:t>všeobecné  služby, špeciálne služby (dodávateľským  spôsobom) - napr. výroba informačných tabúľ</w:t>
      </w:r>
      <w:r w:rsidR="000D0C5B">
        <w:t>;</w:t>
      </w:r>
    </w:p>
    <w:p w14:paraId="39C5E9CA" w14:textId="77777777" w:rsidR="00A24EBA" w:rsidRPr="000D0C5B" w:rsidRDefault="00A24EBA" w:rsidP="008858BA">
      <w:pPr>
        <w:pStyle w:val="Odsekzoznamu"/>
        <w:numPr>
          <w:ilvl w:val="0"/>
          <w:numId w:val="18"/>
        </w:numPr>
        <w:autoSpaceDE w:val="0"/>
        <w:autoSpaceDN w:val="0"/>
        <w:adjustRightInd w:val="0"/>
        <w:spacing w:after="60" w:line="240" w:lineRule="auto"/>
        <w:ind w:left="714" w:hanging="357"/>
        <w:jc w:val="both"/>
      </w:pPr>
      <w:r w:rsidRPr="00A24EBA">
        <w:t xml:space="preserve">špeciálne služby (dodávateľským spôsobom) – prieskumné a projektové práce, archeologický prieskum, geometrický plán, </w:t>
      </w:r>
    </w:p>
    <w:p w14:paraId="78A6C797" w14:textId="77777777" w:rsidR="00A24EBA" w:rsidRPr="000D0C5B" w:rsidRDefault="004B7756" w:rsidP="008858BA">
      <w:pPr>
        <w:numPr>
          <w:ilvl w:val="0"/>
          <w:numId w:val="18"/>
        </w:numPr>
        <w:spacing w:line="240" w:lineRule="auto"/>
        <w:ind w:left="714" w:hanging="357"/>
        <w:jc w:val="both"/>
      </w:pPr>
      <w:r w:rsidRPr="00B5339F">
        <w:t>štúdie, expertízy, posudky -</w:t>
      </w:r>
      <w:r>
        <w:t xml:space="preserve"> </w:t>
      </w:r>
      <w:r w:rsidRPr="00B5339F">
        <w:t>výdavky za</w:t>
      </w:r>
      <w:r>
        <w:t xml:space="preserve"> energetické certifikáty, energetické audity, tepelno</w:t>
      </w:r>
      <w:r w:rsidR="00A24EBA">
        <w:t>-</w:t>
      </w:r>
      <w:r>
        <w:t xml:space="preserve">technické posudky a pod. vydané pred a po výstavbe/rekonštrukcii, ktoré sú potrebné </w:t>
      </w:r>
      <w:r w:rsidR="00A24EBA">
        <w:t>pre</w:t>
      </w:r>
      <w:r>
        <w:t xml:space="preserve"> výpočet merateľných ukazovateľov </w:t>
      </w:r>
    </w:p>
    <w:p w14:paraId="3143EA8F" w14:textId="4F15C949" w:rsidR="00591103" w:rsidRPr="00B45E7C" w:rsidRDefault="00591103" w:rsidP="00151681">
      <w:pPr>
        <w:spacing w:before="120" w:line="240" w:lineRule="auto"/>
        <w:jc w:val="both"/>
        <w:rPr>
          <w:b/>
        </w:rPr>
      </w:pPr>
    </w:p>
    <w:p w14:paraId="762391B5" w14:textId="77777777" w:rsidR="004B7756" w:rsidRPr="00A24EBA" w:rsidRDefault="00F7201B" w:rsidP="00151681">
      <w:pPr>
        <w:spacing w:before="120" w:line="240" w:lineRule="auto"/>
        <w:jc w:val="both"/>
        <w:rPr>
          <w:b/>
        </w:rPr>
      </w:pPr>
      <w:r>
        <w:rPr>
          <w:b/>
        </w:rPr>
        <w:t>Relevantné skupiny oprávnených výdavkov a EKRK v účtovnej triede 51</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19"/>
        <w:gridCol w:w="5995"/>
        <w:gridCol w:w="1156"/>
      </w:tblGrid>
      <w:tr w:rsidR="004B7756" w:rsidRPr="0003730B" w14:paraId="5C19EF6B" w14:textId="77777777" w:rsidTr="00AB67C9">
        <w:tc>
          <w:tcPr>
            <w:tcW w:w="1058" w:type="pct"/>
            <w:shd w:val="clear" w:color="auto" w:fill="C6D9F1"/>
          </w:tcPr>
          <w:p w14:paraId="4D99B5BA" w14:textId="77777777" w:rsidR="004B7756" w:rsidRPr="0003730B" w:rsidRDefault="004B7756" w:rsidP="00151681">
            <w:pPr>
              <w:spacing w:before="60" w:after="60" w:line="240" w:lineRule="auto"/>
              <w:jc w:val="both"/>
              <w:rPr>
                <w:b/>
                <w:color w:val="002060"/>
                <w:sz w:val="20"/>
                <w:szCs w:val="20"/>
              </w:rPr>
            </w:pPr>
            <w:r w:rsidRPr="0003730B">
              <w:rPr>
                <w:b/>
                <w:color w:val="002060"/>
                <w:sz w:val="20"/>
                <w:szCs w:val="20"/>
              </w:rPr>
              <w:t>Skupina</w:t>
            </w:r>
          </w:p>
        </w:tc>
        <w:tc>
          <w:tcPr>
            <w:tcW w:w="3305" w:type="pct"/>
            <w:shd w:val="clear" w:color="auto" w:fill="C6D9F1"/>
          </w:tcPr>
          <w:p w14:paraId="1CDD8CD8" w14:textId="77777777" w:rsidR="004B7756" w:rsidRPr="0003730B" w:rsidRDefault="004B7756" w:rsidP="00151681">
            <w:pPr>
              <w:spacing w:before="60" w:after="60" w:line="240" w:lineRule="auto"/>
              <w:jc w:val="both"/>
              <w:rPr>
                <w:b/>
                <w:color w:val="002060"/>
                <w:sz w:val="20"/>
                <w:szCs w:val="20"/>
              </w:rPr>
            </w:pPr>
            <w:r w:rsidRPr="0003730B">
              <w:rPr>
                <w:b/>
                <w:color w:val="002060"/>
                <w:sz w:val="20"/>
                <w:szCs w:val="20"/>
              </w:rPr>
              <w:t>Podpoložka z EKRK</w:t>
            </w:r>
          </w:p>
        </w:tc>
        <w:tc>
          <w:tcPr>
            <w:tcW w:w="637" w:type="pct"/>
            <w:shd w:val="clear" w:color="auto" w:fill="C6D9F1"/>
          </w:tcPr>
          <w:p w14:paraId="7A710000" w14:textId="64075B45" w:rsidR="004B7756" w:rsidRPr="0003730B" w:rsidRDefault="004B7756" w:rsidP="008D4584">
            <w:pPr>
              <w:spacing w:before="60" w:after="60" w:line="240" w:lineRule="auto"/>
              <w:jc w:val="both"/>
              <w:rPr>
                <w:b/>
                <w:color w:val="002060"/>
                <w:sz w:val="20"/>
                <w:szCs w:val="20"/>
              </w:rPr>
            </w:pPr>
            <w:r w:rsidRPr="0003730B">
              <w:rPr>
                <w:b/>
                <w:color w:val="002060"/>
                <w:sz w:val="20"/>
                <w:szCs w:val="20"/>
              </w:rPr>
              <w:t xml:space="preserve">ŠC </w:t>
            </w:r>
            <w:r w:rsidR="00461D6B" w:rsidRPr="0003730B">
              <w:rPr>
                <w:b/>
                <w:color w:val="002060"/>
                <w:sz w:val="20"/>
                <w:szCs w:val="20"/>
              </w:rPr>
              <w:t>2.1.</w:t>
            </w:r>
            <w:r w:rsidR="008D4584">
              <w:rPr>
                <w:b/>
                <w:color w:val="002060"/>
                <w:sz w:val="20"/>
                <w:szCs w:val="20"/>
              </w:rPr>
              <w:t>4</w:t>
            </w:r>
          </w:p>
        </w:tc>
      </w:tr>
      <w:tr w:rsidR="00D97D0B" w:rsidRPr="0003730B" w14:paraId="31FA88D5" w14:textId="77777777" w:rsidTr="00AB67C9">
        <w:tc>
          <w:tcPr>
            <w:tcW w:w="1058" w:type="pct"/>
            <w:vMerge w:val="restart"/>
          </w:tcPr>
          <w:p w14:paraId="15EACD62" w14:textId="445F8B76" w:rsidR="00D97D0B" w:rsidRPr="0003730B" w:rsidRDefault="00D97D0B" w:rsidP="00151681">
            <w:pPr>
              <w:spacing w:before="60" w:after="60" w:line="240" w:lineRule="auto"/>
              <w:jc w:val="both"/>
              <w:rPr>
                <w:sz w:val="20"/>
                <w:szCs w:val="20"/>
              </w:rPr>
            </w:pPr>
            <w:r w:rsidRPr="0003730B">
              <w:rPr>
                <w:sz w:val="20"/>
                <w:szCs w:val="20"/>
              </w:rPr>
              <w:t>518 Ostatné služby</w:t>
            </w:r>
          </w:p>
        </w:tc>
        <w:tc>
          <w:tcPr>
            <w:tcW w:w="3305" w:type="pct"/>
          </w:tcPr>
          <w:p w14:paraId="6BD5E84A" w14:textId="34F3EFFE" w:rsidR="00D97D0B" w:rsidRPr="0003730B" w:rsidRDefault="00D97D0B" w:rsidP="006B742C">
            <w:pPr>
              <w:spacing w:before="60" w:after="60" w:line="240" w:lineRule="auto"/>
              <w:jc w:val="both"/>
              <w:rPr>
                <w:sz w:val="20"/>
                <w:szCs w:val="20"/>
              </w:rPr>
            </w:pPr>
            <w:r w:rsidRPr="008D4584">
              <w:rPr>
                <w:rFonts w:asciiTheme="minorHAnsi" w:hAnsiTheme="minorHAnsi"/>
                <w:sz w:val="20"/>
                <w:szCs w:val="20"/>
              </w:rPr>
              <w:t>636001 Nájom budov, objektov alebo ich častí</w:t>
            </w:r>
          </w:p>
        </w:tc>
        <w:tc>
          <w:tcPr>
            <w:tcW w:w="637" w:type="pct"/>
          </w:tcPr>
          <w:p w14:paraId="083D47DC" w14:textId="76B803A7" w:rsidR="00D97D0B" w:rsidRPr="0003730B" w:rsidRDefault="00D97D0B" w:rsidP="00151681">
            <w:pPr>
              <w:spacing w:before="60" w:after="60" w:line="240" w:lineRule="auto"/>
              <w:jc w:val="center"/>
              <w:rPr>
                <w:sz w:val="20"/>
                <w:szCs w:val="20"/>
              </w:rPr>
            </w:pPr>
            <w:r>
              <w:rPr>
                <w:sz w:val="20"/>
                <w:szCs w:val="20"/>
              </w:rPr>
              <w:t>x</w:t>
            </w:r>
          </w:p>
        </w:tc>
      </w:tr>
      <w:tr w:rsidR="00D97D0B" w:rsidRPr="0003730B" w14:paraId="40CB1C49" w14:textId="77777777" w:rsidTr="00AB67C9">
        <w:tc>
          <w:tcPr>
            <w:tcW w:w="1058" w:type="pct"/>
            <w:vMerge/>
          </w:tcPr>
          <w:p w14:paraId="7E38E1DA" w14:textId="4FD1F2E1" w:rsidR="00D97D0B" w:rsidRPr="0003730B" w:rsidRDefault="00D97D0B" w:rsidP="00151681">
            <w:pPr>
              <w:spacing w:before="60" w:after="60" w:line="240" w:lineRule="auto"/>
              <w:jc w:val="both"/>
              <w:rPr>
                <w:sz w:val="20"/>
                <w:szCs w:val="20"/>
              </w:rPr>
            </w:pPr>
          </w:p>
        </w:tc>
        <w:tc>
          <w:tcPr>
            <w:tcW w:w="3305" w:type="pct"/>
          </w:tcPr>
          <w:p w14:paraId="673D6360" w14:textId="668EA245" w:rsidR="00D97D0B" w:rsidRPr="0003730B" w:rsidRDefault="00D97D0B" w:rsidP="006B742C">
            <w:pPr>
              <w:spacing w:before="60" w:after="60" w:line="240" w:lineRule="auto"/>
              <w:jc w:val="both"/>
              <w:rPr>
                <w:sz w:val="20"/>
                <w:szCs w:val="20"/>
              </w:rPr>
            </w:pPr>
            <w:r w:rsidRPr="008D4584">
              <w:rPr>
                <w:sz w:val="20"/>
                <w:szCs w:val="20"/>
              </w:rPr>
              <w:t>636002 Nájom Prevádzkových strojov, prístrojov, zariadení, techniky a náradia</w:t>
            </w:r>
          </w:p>
        </w:tc>
        <w:tc>
          <w:tcPr>
            <w:tcW w:w="637" w:type="pct"/>
          </w:tcPr>
          <w:p w14:paraId="391A4B64" w14:textId="6614BB2B" w:rsidR="00D97D0B" w:rsidRPr="0003730B" w:rsidRDefault="00D97D0B" w:rsidP="00151681">
            <w:pPr>
              <w:spacing w:before="60" w:after="60" w:line="240" w:lineRule="auto"/>
              <w:jc w:val="center"/>
              <w:rPr>
                <w:sz w:val="20"/>
                <w:szCs w:val="20"/>
              </w:rPr>
            </w:pPr>
            <w:r>
              <w:rPr>
                <w:sz w:val="20"/>
                <w:szCs w:val="20"/>
              </w:rPr>
              <w:t>x</w:t>
            </w:r>
          </w:p>
        </w:tc>
      </w:tr>
      <w:tr w:rsidR="00D97D0B" w:rsidRPr="0003730B" w14:paraId="14B647B5" w14:textId="77777777" w:rsidTr="00AB67C9">
        <w:tc>
          <w:tcPr>
            <w:tcW w:w="1058" w:type="pct"/>
            <w:vMerge/>
          </w:tcPr>
          <w:p w14:paraId="6F1844B6" w14:textId="35D20D43" w:rsidR="00D97D0B" w:rsidRPr="0003730B" w:rsidRDefault="00D97D0B" w:rsidP="00151681">
            <w:pPr>
              <w:spacing w:before="60" w:after="60" w:line="240" w:lineRule="auto"/>
              <w:jc w:val="both"/>
              <w:rPr>
                <w:sz w:val="20"/>
                <w:szCs w:val="20"/>
              </w:rPr>
            </w:pPr>
          </w:p>
        </w:tc>
        <w:tc>
          <w:tcPr>
            <w:tcW w:w="3305" w:type="pct"/>
          </w:tcPr>
          <w:p w14:paraId="1110EC50" w14:textId="01631178" w:rsidR="00D97D0B" w:rsidRPr="0003730B" w:rsidRDefault="00D97D0B" w:rsidP="006B742C">
            <w:pPr>
              <w:spacing w:before="60" w:after="60" w:line="240" w:lineRule="auto"/>
              <w:jc w:val="both"/>
              <w:rPr>
                <w:sz w:val="20"/>
                <w:szCs w:val="20"/>
              </w:rPr>
            </w:pPr>
            <w:r w:rsidRPr="008D4584">
              <w:rPr>
                <w:sz w:val="20"/>
                <w:szCs w:val="20"/>
              </w:rPr>
              <w:t>636003 Nájom Špeciálnych strojov, prístrojov, zariadení, techniky, náradia a materiálu</w:t>
            </w:r>
          </w:p>
        </w:tc>
        <w:tc>
          <w:tcPr>
            <w:tcW w:w="637" w:type="pct"/>
          </w:tcPr>
          <w:p w14:paraId="514665A5" w14:textId="330DFED0" w:rsidR="00D97D0B" w:rsidRPr="0003730B" w:rsidRDefault="00D97D0B" w:rsidP="00151681">
            <w:pPr>
              <w:spacing w:before="60" w:after="60" w:line="240" w:lineRule="auto"/>
              <w:jc w:val="center"/>
              <w:rPr>
                <w:sz w:val="20"/>
                <w:szCs w:val="20"/>
              </w:rPr>
            </w:pPr>
            <w:r>
              <w:rPr>
                <w:sz w:val="20"/>
                <w:szCs w:val="20"/>
              </w:rPr>
              <w:t>x</w:t>
            </w:r>
          </w:p>
        </w:tc>
      </w:tr>
      <w:tr w:rsidR="00D97D0B" w:rsidRPr="0003730B" w14:paraId="582B967D" w14:textId="77777777" w:rsidTr="00AB67C9">
        <w:tc>
          <w:tcPr>
            <w:tcW w:w="1058" w:type="pct"/>
            <w:vMerge/>
          </w:tcPr>
          <w:p w14:paraId="621CCBDF" w14:textId="22305A0B" w:rsidR="00D97D0B" w:rsidRPr="0003730B" w:rsidRDefault="00D97D0B" w:rsidP="00151681">
            <w:pPr>
              <w:spacing w:before="60" w:after="60" w:line="240" w:lineRule="auto"/>
              <w:jc w:val="both"/>
              <w:rPr>
                <w:sz w:val="20"/>
                <w:szCs w:val="20"/>
              </w:rPr>
            </w:pPr>
          </w:p>
        </w:tc>
        <w:tc>
          <w:tcPr>
            <w:tcW w:w="3305" w:type="pct"/>
          </w:tcPr>
          <w:p w14:paraId="05C6043B" w14:textId="6616165F" w:rsidR="00D97D0B" w:rsidRPr="0003730B" w:rsidRDefault="00D97D0B" w:rsidP="006B742C">
            <w:pPr>
              <w:spacing w:before="60" w:after="60" w:line="240" w:lineRule="auto"/>
              <w:jc w:val="both"/>
              <w:rPr>
                <w:sz w:val="20"/>
                <w:szCs w:val="20"/>
              </w:rPr>
            </w:pPr>
            <w:r w:rsidRPr="008D4584">
              <w:rPr>
                <w:sz w:val="20"/>
                <w:szCs w:val="20"/>
              </w:rPr>
              <w:t>636005 Nájom zo zmluvy o nájme veci s právom kúpy prenajatej veci</w:t>
            </w:r>
          </w:p>
        </w:tc>
        <w:tc>
          <w:tcPr>
            <w:tcW w:w="637" w:type="pct"/>
          </w:tcPr>
          <w:p w14:paraId="189CF339" w14:textId="3CA342EC" w:rsidR="00D97D0B" w:rsidRPr="0003730B" w:rsidRDefault="00D97D0B" w:rsidP="00151681">
            <w:pPr>
              <w:spacing w:before="60" w:after="60" w:line="240" w:lineRule="auto"/>
              <w:jc w:val="center"/>
              <w:rPr>
                <w:sz w:val="20"/>
                <w:szCs w:val="20"/>
              </w:rPr>
            </w:pPr>
            <w:r>
              <w:rPr>
                <w:sz w:val="20"/>
                <w:szCs w:val="20"/>
              </w:rPr>
              <w:t>x</w:t>
            </w:r>
          </w:p>
        </w:tc>
      </w:tr>
      <w:tr w:rsidR="00D97D0B" w:rsidRPr="0003730B" w14:paraId="7EB342B2" w14:textId="77777777" w:rsidTr="00AB67C9">
        <w:tc>
          <w:tcPr>
            <w:tcW w:w="1058" w:type="pct"/>
            <w:vMerge/>
          </w:tcPr>
          <w:p w14:paraId="6A02B99B" w14:textId="48F153BE" w:rsidR="00D97D0B" w:rsidRPr="0003730B" w:rsidRDefault="00D97D0B" w:rsidP="00151681">
            <w:pPr>
              <w:spacing w:before="60" w:after="60" w:line="240" w:lineRule="auto"/>
              <w:jc w:val="both"/>
              <w:rPr>
                <w:sz w:val="20"/>
                <w:szCs w:val="20"/>
              </w:rPr>
            </w:pPr>
          </w:p>
        </w:tc>
        <w:tc>
          <w:tcPr>
            <w:tcW w:w="3305" w:type="pct"/>
          </w:tcPr>
          <w:p w14:paraId="05975211" w14:textId="754AE0DD" w:rsidR="00D97D0B" w:rsidRPr="0003730B" w:rsidRDefault="00D97D0B" w:rsidP="006B742C">
            <w:pPr>
              <w:spacing w:before="60" w:after="60" w:line="240" w:lineRule="auto"/>
              <w:jc w:val="both"/>
              <w:rPr>
                <w:sz w:val="20"/>
                <w:szCs w:val="20"/>
              </w:rPr>
            </w:pPr>
            <w:r w:rsidRPr="0003730B">
              <w:rPr>
                <w:sz w:val="20"/>
                <w:szCs w:val="20"/>
              </w:rPr>
              <w:t>63700</w:t>
            </w:r>
            <w:r>
              <w:rPr>
                <w:sz w:val="20"/>
                <w:szCs w:val="20"/>
              </w:rPr>
              <w:t>3</w:t>
            </w:r>
            <w:r w:rsidRPr="0003730B">
              <w:rPr>
                <w:sz w:val="20"/>
                <w:szCs w:val="20"/>
              </w:rPr>
              <w:t xml:space="preserve"> </w:t>
            </w:r>
            <w:r w:rsidRPr="006B742C">
              <w:rPr>
                <w:sz w:val="20"/>
                <w:szCs w:val="20"/>
              </w:rPr>
              <w:t>Propagácia, reklama a inzercia</w:t>
            </w:r>
          </w:p>
        </w:tc>
        <w:tc>
          <w:tcPr>
            <w:tcW w:w="637" w:type="pct"/>
          </w:tcPr>
          <w:p w14:paraId="19341917" w14:textId="77777777" w:rsidR="00D97D0B" w:rsidRPr="0003730B" w:rsidRDefault="00D97D0B" w:rsidP="00151681">
            <w:pPr>
              <w:spacing w:before="60" w:after="60" w:line="240" w:lineRule="auto"/>
              <w:jc w:val="center"/>
              <w:rPr>
                <w:sz w:val="20"/>
                <w:szCs w:val="20"/>
              </w:rPr>
            </w:pPr>
            <w:r w:rsidRPr="0003730B">
              <w:rPr>
                <w:sz w:val="20"/>
                <w:szCs w:val="20"/>
              </w:rPr>
              <w:t>x</w:t>
            </w:r>
          </w:p>
        </w:tc>
      </w:tr>
      <w:tr w:rsidR="00D97D0B" w:rsidRPr="0003730B" w14:paraId="10B1C961" w14:textId="77777777" w:rsidTr="00AB67C9">
        <w:tc>
          <w:tcPr>
            <w:tcW w:w="1058" w:type="pct"/>
            <w:vMerge/>
          </w:tcPr>
          <w:p w14:paraId="3E12A179" w14:textId="77777777" w:rsidR="00D97D0B" w:rsidRPr="0003730B" w:rsidRDefault="00D97D0B" w:rsidP="00151681">
            <w:pPr>
              <w:spacing w:before="60" w:after="60" w:line="240" w:lineRule="auto"/>
              <w:jc w:val="both"/>
              <w:rPr>
                <w:sz w:val="20"/>
                <w:szCs w:val="20"/>
              </w:rPr>
            </w:pPr>
          </w:p>
        </w:tc>
        <w:tc>
          <w:tcPr>
            <w:tcW w:w="3305" w:type="pct"/>
          </w:tcPr>
          <w:p w14:paraId="6BC96DB4" w14:textId="464F6EDD" w:rsidR="00D97D0B" w:rsidRPr="0003730B" w:rsidRDefault="00D97D0B" w:rsidP="00167C54">
            <w:pPr>
              <w:spacing w:before="60" w:after="60" w:line="240" w:lineRule="auto"/>
              <w:jc w:val="both"/>
              <w:rPr>
                <w:sz w:val="20"/>
                <w:szCs w:val="20"/>
              </w:rPr>
            </w:pPr>
            <w:r w:rsidRPr="0003730B">
              <w:rPr>
                <w:sz w:val="20"/>
                <w:szCs w:val="20"/>
              </w:rPr>
              <w:t>637004 Všeobecné služby</w:t>
            </w:r>
          </w:p>
        </w:tc>
        <w:tc>
          <w:tcPr>
            <w:tcW w:w="637" w:type="pct"/>
          </w:tcPr>
          <w:p w14:paraId="29828EEC" w14:textId="77777777" w:rsidR="00D97D0B" w:rsidRPr="0003730B" w:rsidRDefault="00D97D0B" w:rsidP="00151681">
            <w:pPr>
              <w:spacing w:before="60" w:after="60" w:line="240" w:lineRule="auto"/>
              <w:jc w:val="center"/>
              <w:rPr>
                <w:sz w:val="20"/>
                <w:szCs w:val="20"/>
              </w:rPr>
            </w:pPr>
            <w:r w:rsidRPr="0003730B">
              <w:rPr>
                <w:sz w:val="20"/>
                <w:szCs w:val="20"/>
              </w:rPr>
              <w:t>x</w:t>
            </w:r>
          </w:p>
        </w:tc>
      </w:tr>
      <w:tr w:rsidR="00D97D0B" w:rsidRPr="0003730B" w14:paraId="1BE42C0C" w14:textId="77777777" w:rsidTr="00AB67C9">
        <w:tc>
          <w:tcPr>
            <w:tcW w:w="1058" w:type="pct"/>
            <w:vMerge/>
          </w:tcPr>
          <w:p w14:paraId="0F875952" w14:textId="77777777" w:rsidR="00D97D0B" w:rsidRPr="0003730B" w:rsidRDefault="00D97D0B" w:rsidP="00151681">
            <w:pPr>
              <w:spacing w:before="60" w:after="60" w:line="240" w:lineRule="auto"/>
              <w:jc w:val="both"/>
              <w:rPr>
                <w:sz w:val="20"/>
                <w:szCs w:val="20"/>
              </w:rPr>
            </w:pPr>
          </w:p>
        </w:tc>
        <w:tc>
          <w:tcPr>
            <w:tcW w:w="3305" w:type="pct"/>
          </w:tcPr>
          <w:p w14:paraId="567A526A" w14:textId="77777777" w:rsidR="00D97D0B" w:rsidRPr="0003730B" w:rsidRDefault="00D97D0B" w:rsidP="00151681">
            <w:pPr>
              <w:spacing w:before="60" w:after="60" w:line="240" w:lineRule="auto"/>
              <w:jc w:val="both"/>
              <w:rPr>
                <w:sz w:val="20"/>
                <w:szCs w:val="20"/>
              </w:rPr>
            </w:pPr>
            <w:r w:rsidRPr="0003730B">
              <w:rPr>
                <w:sz w:val="20"/>
                <w:szCs w:val="20"/>
              </w:rPr>
              <w:t>637005 Špeciálne služby</w:t>
            </w:r>
          </w:p>
        </w:tc>
        <w:tc>
          <w:tcPr>
            <w:tcW w:w="637" w:type="pct"/>
          </w:tcPr>
          <w:p w14:paraId="2DB88C1E" w14:textId="77777777" w:rsidR="00D97D0B" w:rsidRPr="0003730B" w:rsidRDefault="00D97D0B" w:rsidP="00151681">
            <w:pPr>
              <w:spacing w:before="60" w:after="60" w:line="240" w:lineRule="auto"/>
              <w:jc w:val="center"/>
              <w:rPr>
                <w:sz w:val="20"/>
                <w:szCs w:val="20"/>
              </w:rPr>
            </w:pPr>
            <w:r>
              <w:rPr>
                <w:sz w:val="20"/>
                <w:szCs w:val="20"/>
              </w:rPr>
              <w:t>x</w:t>
            </w:r>
          </w:p>
        </w:tc>
      </w:tr>
      <w:tr w:rsidR="00D97D0B" w:rsidRPr="0003730B" w14:paraId="6419D131" w14:textId="77777777" w:rsidTr="00AB67C9">
        <w:tc>
          <w:tcPr>
            <w:tcW w:w="1058" w:type="pct"/>
            <w:vMerge/>
          </w:tcPr>
          <w:p w14:paraId="1B7A9756" w14:textId="77777777" w:rsidR="00D97D0B" w:rsidRPr="0003730B" w:rsidRDefault="00D97D0B" w:rsidP="00151681">
            <w:pPr>
              <w:spacing w:before="60" w:after="60" w:line="240" w:lineRule="auto"/>
              <w:jc w:val="both"/>
              <w:rPr>
                <w:sz w:val="20"/>
                <w:szCs w:val="20"/>
              </w:rPr>
            </w:pPr>
          </w:p>
        </w:tc>
        <w:tc>
          <w:tcPr>
            <w:tcW w:w="3305" w:type="pct"/>
          </w:tcPr>
          <w:p w14:paraId="490C82F4" w14:textId="77777777" w:rsidR="00D97D0B" w:rsidRPr="0003730B" w:rsidRDefault="00D97D0B" w:rsidP="00151681">
            <w:pPr>
              <w:spacing w:before="60" w:after="60" w:line="240" w:lineRule="auto"/>
              <w:jc w:val="both"/>
              <w:rPr>
                <w:sz w:val="20"/>
                <w:szCs w:val="20"/>
              </w:rPr>
            </w:pPr>
            <w:r w:rsidRPr="0003730B">
              <w:rPr>
                <w:sz w:val="20"/>
                <w:szCs w:val="20"/>
              </w:rPr>
              <w:t>637011 Štúdie, expertízy, posudky</w:t>
            </w:r>
          </w:p>
        </w:tc>
        <w:tc>
          <w:tcPr>
            <w:tcW w:w="637" w:type="pct"/>
          </w:tcPr>
          <w:p w14:paraId="000893C6" w14:textId="77777777" w:rsidR="00D97D0B" w:rsidRPr="0003730B" w:rsidRDefault="00D97D0B" w:rsidP="00151681">
            <w:pPr>
              <w:spacing w:before="60" w:after="60" w:line="240" w:lineRule="auto"/>
              <w:jc w:val="center"/>
              <w:rPr>
                <w:sz w:val="20"/>
                <w:szCs w:val="20"/>
              </w:rPr>
            </w:pPr>
            <w:r w:rsidRPr="0003730B">
              <w:rPr>
                <w:sz w:val="20"/>
                <w:szCs w:val="20"/>
              </w:rPr>
              <w:t>x</w:t>
            </w:r>
          </w:p>
        </w:tc>
      </w:tr>
      <w:tr w:rsidR="00D97D0B" w:rsidRPr="0003730B" w14:paraId="4F166A46" w14:textId="77777777" w:rsidTr="00AB67C9">
        <w:tc>
          <w:tcPr>
            <w:tcW w:w="1058" w:type="pct"/>
            <w:vMerge/>
          </w:tcPr>
          <w:p w14:paraId="52E2D63B" w14:textId="77777777" w:rsidR="00D97D0B" w:rsidRPr="0003730B" w:rsidRDefault="00D97D0B" w:rsidP="00151681">
            <w:pPr>
              <w:spacing w:before="60" w:after="60" w:line="240" w:lineRule="auto"/>
              <w:jc w:val="both"/>
              <w:rPr>
                <w:sz w:val="20"/>
                <w:szCs w:val="20"/>
              </w:rPr>
            </w:pPr>
          </w:p>
        </w:tc>
        <w:tc>
          <w:tcPr>
            <w:tcW w:w="3305" w:type="pct"/>
          </w:tcPr>
          <w:p w14:paraId="634173C4" w14:textId="5690AC7D" w:rsidR="00D97D0B" w:rsidRPr="0003730B" w:rsidRDefault="00D97D0B" w:rsidP="00151681">
            <w:pPr>
              <w:spacing w:before="60" w:after="60" w:line="240" w:lineRule="auto"/>
              <w:jc w:val="both"/>
              <w:rPr>
                <w:sz w:val="20"/>
                <w:szCs w:val="20"/>
              </w:rPr>
            </w:pPr>
            <w:r w:rsidRPr="00D97D0B">
              <w:rPr>
                <w:sz w:val="20"/>
                <w:szCs w:val="20"/>
              </w:rPr>
              <w:t>642029  Transfery Na náhradu</w:t>
            </w:r>
          </w:p>
        </w:tc>
        <w:tc>
          <w:tcPr>
            <w:tcW w:w="637" w:type="pct"/>
          </w:tcPr>
          <w:p w14:paraId="61031A57" w14:textId="63258918" w:rsidR="00D97D0B" w:rsidRPr="0003730B" w:rsidRDefault="00D97D0B" w:rsidP="00151681">
            <w:pPr>
              <w:spacing w:before="60" w:after="60" w:line="240" w:lineRule="auto"/>
              <w:jc w:val="center"/>
              <w:rPr>
                <w:sz w:val="20"/>
                <w:szCs w:val="20"/>
              </w:rPr>
            </w:pPr>
            <w:r>
              <w:rPr>
                <w:sz w:val="20"/>
                <w:szCs w:val="20"/>
              </w:rPr>
              <w:t>x</w:t>
            </w:r>
          </w:p>
        </w:tc>
      </w:tr>
    </w:tbl>
    <w:p w14:paraId="0CBFBA6D" w14:textId="0EADB3FE" w:rsidR="0003730B" w:rsidRDefault="00D97D0B" w:rsidP="00E369EA">
      <w:pPr>
        <w:spacing w:after="60" w:line="240" w:lineRule="auto"/>
        <w:jc w:val="both"/>
      </w:pPr>
      <w:bookmarkStart w:id="62" w:name="_Toc505197984"/>
      <w:r w:rsidRPr="00D97D0B">
        <w:t xml:space="preserve"> </w:t>
      </w:r>
    </w:p>
    <w:p w14:paraId="5F76D144" w14:textId="3743E6F2" w:rsidR="00F3684C" w:rsidRDefault="00F3684C" w:rsidP="0003730B"/>
    <w:p w14:paraId="42FF92F4" w14:textId="3A2F5AE6" w:rsidR="001C713E" w:rsidRDefault="001C713E" w:rsidP="0003730B"/>
    <w:p w14:paraId="45BEF48F" w14:textId="187DCEDD" w:rsidR="001C713E" w:rsidRDefault="001C713E" w:rsidP="0003730B"/>
    <w:p w14:paraId="2D75B70C" w14:textId="488D9848" w:rsidR="001C713E" w:rsidRDefault="001C713E" w:rsidP="0003730B"/>
    <w:p w14:paraId="7B17CECE" w14:textId="5172EC34" w:rsidR="001C713E" w:rsidRDefault="001C713E" w:rsidP="0003730B"/>
    <w:p w14:paraId="40DC6D05" w14:textId="09D9365C" w:rsidR="001C713E" w:rsidRDefault="001C713E" w:rsidP="0003730B"/>
    <w:p w14:paraId="6D072C47" w14:textId="48E5665D" w:rsidR="001C713E" w:rsidRDefault="001C713E" w:rsidP="0003730B"/>
    <w:p w14:paraId="2394C6FE" w14:textId="7489C48E" w:rsidR="001C713E" w:rsidRDefault="001C713E" w:rsidP="0003730B"/>
    <w:p w14:paraId="64466888" w14:textId="1DF63E94" w:rsidR="001C713E" w:rsidRDefault="001C713E" w:rsidP="0003730B"/>
    <w:p w14:paraId="0ACB7D80" w14:textId="2443B09E" w:rsidR="001C713E" w:rsidRDefault="001C713E" w:rsidP="0003730B"/>
    <w:p w14:paraId="53DB6B2C" w14:textId="04450C07" w:rsidR="001C713E" w:rsidRDefault="001C713E" w:rsidP="0003730B"/>
    <w:p w14:paraId="67EB16B2" w14:textId="76A31E4E" w:rsidR="001C713E" w:rsidRDefault="001C713E" w:rsidP="0003730B"/>
    <w:p w14:paraId="6ACE9CC1" w14:textId="5AB21AAE" w:rsidR="001C713E" w:rsidRDefault="001C713E" w:rsidP="0003730B"/>
    <w:p w14:paraId="7DB65980" w14:textId="11B21D78" w:rsidR="001C713E" w:rsidRDefault="001C713E" w:rsidP="0003730B"/>
    <w:p w14:paraId="79214DF2" w14:textId="2FC8C693" w:rsidR="001C713E" w:rsidRDefault="001C713E" w:rsidP="0003730B"/>
    <w:p w14:paraId="4476B17F" w14:textId="5319978C" w:rsidR="001C713E" w:rsidRDefault="001C713E" w:rsidP="0003730B"/>
    <w:p w14:paraId="17D7A7FC" w14:textId="28BC0D94" w:rsidR="001C713E" w:rsidRDefault="001C713E" w:rsidP="0003730B"/>
    <w:p w14:paraId="5161BDFB" w14:textId="77777777" w:rsidR="001C713E" w:rsidRDefault="001C713E" w:rsidP="0003730B"/>
    <w:p w14:paraId="7A7D4F85" w14:textId="707AF7CE" w:rsidR="004B7756" w:rsidRPr="00B5339F" w:rsidRDefault="004B7756" w:rsidP="008858BA">
      <w:pPr>
        <w:pStyle w:val="Nadpis1"/>
        <w:numPr>
          <w:ilvl w:val="0"/>
          <w:numId w:val="9"/>
        </w:numPr>
        <w:spacing w:before="120" w:after="120" w:line="240" w:lineRule="auto"/>
        <w:ind w:left="425" w:hanging="357"/>
      </w:pPr>
      <w:bookmarkStart w:id="63" w:name="page18"/>
      <w:bookmarkStart w:id="64" w:name="page19"/>
      <w:bookmarkStart w:id="65" w:name="page21"/>
      <w:bookmarkStart w:id="66" w:name="_Toc476655626"/>
      <w:bookmarkStart w:id="67" w:name="_Toc505197985"/>
      <w:bookmarkStart w:id="68" w:name="_Toc56090027"/>
      <w:bookmarkEnd w:id="62"/>
      <w:bookmarkEnd w:id="63"/>
      <w:bookmarkEnd w:id="64"/>
      <w:bookmarkEnd w:id="65"/>
      <w:r w:rsidRPr="00B5339F">
        <w:t>PRAVIDLÁ OPRÁVNENOSTI PRE NAJČASTEJŠIE S</w:t>
      </w:r>
      <w:r>
        <w:t>A VYSKYTUJÚCE SKUPINY VÝDAVKOV</w:t>
      </w:r>
      <w:bookmarkEnd w:id="66"/>
      <w:bookmarkEnd w:id="67"/>
      <w:bookmarkEnd w:id="68"/>
      <w:r>
        <w:t xml:space="preserve"> </w:t>
      </w:r>
    </w:p>
    <w:p w14:paraId="3460AC9C" w14:textId="77777777" w:rsidR="0003730B" w:rsidRDefault="0003730B" w:rsidP="00151681">
      <w:pPr>
        <w:spacing w:before="120" w:line="240" w:lineRule="auto"/>
        <w:jc w:val="both"/>
      </w:pPr>
    </w:p>
    <w:p w14:paraId="7BCAA9EB" w14:textId="77777777" w:rsidR="004B7756" w:rsidRPr="00B5339F" w:rsidRDefault="004B7756" w:rsidP="00151681">
      <w:pPr>
        <w:spacing w:before="120" w:line="240" w:lineRule="auto"/>
        <w:jc w:val="both"/>
      </w:pPr>
      <w:r w:rsidRPr="00B5339F">
        <w:t xml:space="preserve">Všeobecné pravidlá oprávnenosti výdavkov pre najčastejšie sa vyskytujúce skupiny výdavkov sú uvedené v </w:t>
      </w:r>
      <w:r w:rsidR="00080EB6">
        <w:t>m</w:t>
      </w:r>
      <w:r w:rsidRPr="00B5339F">
        <w:t>etodickom pokyne CKO č. 6, ktor</w:t>
      </w:r>
      <w:r w:rsidR="00080EB6">
        <w:t>ý</w:t>
      </w:r>
      <w:r w:rsidRPr="00B5339F">
        <w:t xml:space="preserve"> je zverejnen</w:t>
      </w:r>
      <w:r w:rsidR="00080EB6">
        <w:t>ý</w:t>
      </w:r>
      <w:r w:rsidRPr="00B5339F">
        <w:t xml:space="preserve"> na webovom sídle</w:t>
      </w:r>
      <w:hyperlink r:id="rId17" w:history="1">
        <w:r w:rsidRPr="00B5339F">
          <w:rPr>
            <w:rStyle w:val="Hypertextovprepojenie"/>
          </w:rPr>
          <w:t xml:space="preserve"> www.partnerskadohoda.gov.sk</w:t>
        </w:r>
      </w:hyperlink>
      <w:r>
        <w:t>.</w:t>
      </w:r>
    </w:p>
    <w:p w14:paraId="28E5A6FD" w14:textId="77777777" w:rsidR="00A3320D" w:rsidRDefault="004B7756" w:rsidP="00151681">
      <w:pPr>
        <w:spacing w:before="120" w:line="240" w:lineRule="auto"/>
        <w:jc w:val="both"/>
      </w:pPr>
      <w:r w:rsidRPr="00B5339F">
        <w:t xml:space="preserve">V tejto kapitole sú uvedené špecifické pravidlá, resp. podmienky oprávnenosti niektorých najčastejšie sa vyskytujúcich typov, skupín, či tried oprávnených výdavkov v rámci IROP. Predpokladom pre ich oprávnenosť je </w:t>
      </w:r>
      <w:r w:rsidRPr="005A4499">
        <w:rPr>
          <w:b/>
          <w:u w:val="single"/>
        </w:rPr>
        <w:t>splnenie všetkých podmienok</w:t>
      </w:r>
      <w:r w:rsidRPr="00B5339F">
        <w:t xml:space="preserve"> uvedených pr</w:t>
      </w:r>
      <w:r>
        <w:t>i jednotlivých typoch výdavkov.</w:t>
      </w:r>
    </w:p>
    <w:p w14:paraId="0D441340" w14:textId="77777777" w:rsidR="00A3320D" w:rsidRPr="00E513C5" w:rsidRDefault="00A3320D" w:rsidP="00151681">
      <w:pPr>
        <w:spacing w:before="120" w:line="240" w:lineRule="auto"/>
        <w:jc w:val="both"/>
        <w:rPr>
          <w:b/>
        </w:rPr>
      </w:pPr>
      <w:r w:rsidRPr="00E513C5">
        <w:rPr>
          <w:b/>
        </w:rPr>
        <w:t>Finančné a percentuálne limity</w:t>
      </w:r>
    </w:p>
    <w:p w14:paraId="07A341D7" w14:textId="77777777" w:rsidR="004B7756" w:rsidRPr="00B5339F" w:rsidRDefault="004B7756" w:rsidP="00151681">
      <w:pPr>
        <w:spacing w:before="120" w:line="240" w:lineRule="auto"/>
        <w:jc w:val="both"/>
      </w:pPr>
      <w:r w:rsidRPr="00B5339F">
        <w:t xml:space="preserve">Za účelom zabezpečenia hospodárnosti výdavkov táto kapitola odkazuje na </w:t>
      </w:r>
      <w:r w:rsidRPr="005A4499">
        <w:rPr>
          <w:b/>
        </w:rPr>
        <w:t>finančné limity alebo percentuálne limity pre vybrané skupiny výdavkov</w:t>
      </w:r>
      <w:r>
        <w:rPr>
          <w:rStyle w:val="Odkaznapoznmkupodiarou"/>
          <w:b/>
        </w:rPr>
        <w:footnoteReference w:id="31"/>
      </w:r>
      <w:r w:rsidRPr="00B5339F">
        <w:t xml:space="preserve">. </w:t>
      </w:r>
      <w:r w:rsidRPr="00E513C5">
        <w:rPr>
          <w:b/>
        </w:rPr>
        <w:t>Finančné limity</w:t>
      </w:r>
      <w:r w:rsidRPr="00B5339F">
        <w:t xml:space="preserve"> určujú maximálnu výšku vybraných skupín oprávnených výdavkov projektu. </w:t>
      </w:r>
      <w:r w:rsidRPr="00E513C5">
        <w:rPr>
          <w:b/>
        </w:rPr>
        <w:t>Percentuálne limity</w:t>
      </w:r>
      <w:r w:rsidRPr="00B5339F">
        <w:t xml:space="preserve"> určujú maximálne percentuálne podiely jednotlivých skupín výdavkov na celkových oprávnených výdavkoch projektu (pokiaľ nie je v</w:t>
      </w:r>
      <w:r w:rsidR="00080EB6">
        <w:t> týchto pravidlách OV</w:t>
      </w:r>
      <w:r w:rsidRPr="00B5339F">
        <w:t xml:space="preserve"> stanovené inak) v závislosti od špecifík IROP a oblasti podpory, pričom </w:t>
      </w:r>
      <w:r w:rsidRPr="005A4499">
        <w:rPr>
          <w:b/>
        </w:rPr>
        <w:t xml:space="preserve">celková oprávnená výška výdavkov príslušného percentuálneho podielu jednotlivých skupín výdavkov za celé obdobie realizácie projektu sa prepočíta v záverečnej </w:t>
      </w:r>
      <w:r w:rsidR="001E5C25">
        <w:rPr>
          <w:b/>
        </w:rPr>
        <w:t>ŽoP</w:t>
      </w:r>
      <w:r w:rsidRPr="005A4499">
        <w:rPr>
          <w:b/>
        </w:rPr>
        <w:t>.</w:t>
      </w:r>
    </w:p>
    <w:p w14:paraId="1D218271" w14:textId="77777777" w:rsidR="004B7756" w:rsidRPr="00B5339F" w:rsidRDefault="004B7756" w:rsidP="00151681">
      <w:pPr>
        <w:spacing w:before="120" w:line="240" w:lineRule="auto"/>
        <w:jc w:val="both"/>
      </w:pPr>
      <w:r w:rsidRPr="00B5339F">
        <w:t>V prípade, ak sú pre daný typ výdavkov v</w:t>
      </w:r>
      <w:r w:rsidR="00080EB6">
        <w:t> týchto pravidlách OV</w:t>
      </w:r>
      <w:r w:rsidRPr="00B5339F">
        <w:t xml:space="preserve"> stanovené finančné alebo percentuálne limity, sú tieto výdavky oprávnené maximálne do výšky stanoveného limitu. Akékoľvek výdavky nad stanovený limit budú považované za neoprávnené na financovanie z IROP. Stanovením finančných limitov však nie je dotknutá povinnosť prijímateľov dodržiavať a pri realizácii projektov IROP uplatňovať vlastné interné predpisy, ktoré pre rovnaký výdavok stanovujú nižší finančný alebo percentuálny limit, ako je </w:t>
      </w:r>
      <w:r>
        <w:t xml:space="preserve">stanovený pre oprávnené výdavky </w:t>
      </w:r>
      <w:r w:rsidRPr="00B5339F">
        <w:t>IROP.</w:t>
      </w:r>
    </w:p>
    <w:p w14:paraId="2995D868" w14:textId="77777777" w:rsidR="00A3320D" w:rsidRDefault="00A3320D" w:rsidP="00151681">
      <w:pPr>
        <w:spacing w:before="120" w:line="240" w:lineRule="auto"/>
        <w:jc w:val="both"/>
      </w:pPr>
      <w:r>
        <w:rPr>
          <w:b/>
        </w:rPr>
        <w:t>L</w:t>
      </w:r>
      <w:r w:rsidR="004B7756" w:rsidRPr="005A4499">
        <w:rPr>
          <w:b/>
        </w:rPr>
        <w:t>imit</w:t>
      </w:r>
      <w:r>
        <w:rPr>
          <w:b/>
        </w:rPr>
        <w:t>y</w:t>
      </w:r>
      <w:r w:rsidR="004B7756" w:rsidRPr="005A4499">
        <w:rPr>
          <w:b/>
        </w:rPr>
        <w:t xml:space="preserve"> pre nepriame výdavky a limit</w:t>
      </w:r>
      <w:r>
        <w:rPr>
          <w:b/>
        </w:rPr>
        <w:t>y</w:t>
      </w:r>
      <w:r w:rsidR="004B7756" w:rsidRPr="005A4499">
        <w:rPr>
          <w:b/>
        </w:rPr>
        <w:t xml:space="preserve"> pre priame výdavky</w:t>
      </w:r>
      <w:r>
        <w:t xml:space="preserve"> upravujú tieto pravidlá OV</w:t>
      </w:r>
      <w:r w:rsidR="0083195F">
        <w:t>.</w:t>
      </w:r>
      <w:r>
        <w:t xml:space="preserve"> </w:t>
      </w:r>
    </w:p>
    <w:p w14:paraId="749BDFD3" w14:textId="77777777" w:rsidR="004B7756" w:rsidRPr="005A4499" w:rsidRDefault="004B7756" w:rsidP="00151681">
      <w:pPr>
        <w:spacing w:before="120" w:line="240" w:lineRule="auto"/>
        <w:jc w:val="both"/>
        <w:rPr>
          <w:b/>
        </w:rPr>
      </w:pPr>
      <w:r w:rsidRPr="005A4499">
        <w:rPr>
          <w:b/>
        </w:rPr>
        <w:t>Verejné obstarávanie</w:t>
      </w:r>
    </w:p>
    <w:p w14:paraId="1AE69DE3" w14:textId="759A0444" w:rsidR="004B7756" w:rsidRPr="00B5339F" w:rsidRDefault="004B7756" w:rsidP="00151681">
      <w:pPr>
        <w:spacing w:before="120" w:line="240" w:lineRule="auto"/>
        <w:jc w:val="both"/>
      </w:pPr>
      <w:r w:rsidRPr="00B5339F">
        <w:t xml:space="preserve">Ustanoveniami </w:t>
      </w:r>
      <w:r w:rsidR="008517D0">
        <w:t>týchto pravidiel</w:t>
      </w:r>
      <w:r w:rsidRPr="00B5339F">
        <w:t xml:space="preserve"> </w:t>
      </w:r>
      <w:r w:rsidR="007B5EB3">
        <w:t xml:space="preserve">OV </w:t>
      </w:r>
      <w:r w:rsidRPr="00B5339F">
        <w:t>nie sú dotknuté povinnosti žiadateľa</w:t>
      </w:r>
      <w:r w:rsidR="00A3320D">
        <w:t>/</w:t>
      </w:r>
      <w:r w:rsidRPr="00B5339F">
        <w:t xml:space="preserve">prijímateľa vyplývajúce zo </w:t>
      </w:r>
      <w:r w:rsidR="00080EB6">
        <w:t xml:space="preserve">ZVO </w:t>
      </w:r>
      <w:r w:rsidRPr="00B5339F">
        <w:t>a</w:t>
      </w:r>
      <w:r w:rsidR="00080EB6">
        <w:t xml:space="preserve"> SR </w:t>
      </w:r>
      <w:r w:rsidRPr="00B5339F">
        <w:t xml:space="preserve">EŠIF pri </w:t>
      </w:r>
      <w:r w:rsidR="00080EB6">
        <w:t>VO</w:t>
      </w:r>
      <w:r w:rsidRPr="00B5339F">
        <w:t>/obstarávaní zákaziek na dodanie tovarov, poskytnutie služby, uskutočnenie stavebných prác a súťaže návrhov. V tejto súvislosti je potrebné upozorniť osobitne na prípad, ak prijímateľ</w:t>
      </w:r>
      <w:r w:rsidR="00A3320D">
        <w:t>/</w:t>
      </w:r>
      <w:r w:rsidRPr="00B5339F">
        <w:t xml:space="preserve">žiadateľ nepostupoval pri zadávaní zákaziek podľa § 117 </w:t>
      </w:r>
      <w:r w:rsidR="00080EB6">
        <w:t>ZVO</w:t>
      </w:r>
      <w:r w:rsidRPr="00B5339F">
        <w:t xml:space="preserve"> podľa pravidiel </w:t>
      </w:r>
      <w:r w:rsidR="00A3320D">
        <w:t xml:space="preserve">pri </w:t>
      </w:r>
      <w:r w:rsidR="00080EB6">
        <w:t>VO</w:t>
      </w:r>
      <w:r w:rsidR="00A3320D">
        <w:t xml:space="preserve"> </w:t>
      </w:r>
      <w:r w:rsidRPr="00B5339F">
        <w:t>uvedených v</w:t>
      </w:r>
      <w:r w:rsidR="00AB67C9">
        <w:t> </w:t>
      </w:r>
      <w:r w:rsidR="00080EB6">
        <w:t>SR</w:t>
      </w:r>
      <w:r w:rsidRPr="00B5339F">
        <w:t xml:space="preserve"> EŠIF</w:t>
      </w:r>
      <w:r w:rsidR="008E69E7">
        <w:t xml:space="preserve"> alebo výnimky udelenej z uplatňovania týchto pravidiel</w:t>
      </w:r>
      <w:r w:rsidRPr="00B5339F">
        <w:t xml:space="preserve">, výdavky vyplývajúce z takéhoto </w:t>
      </w:r>
      <w:r w:rsidR="00080EB6">
        <w:t>VO</w:t>
      </w:r>
      <w:r w:rsidRPr="00B5339F">
        <w:t xml:space="preserve"> sú neoprávnené v plnom rozsahu.</w:t>
      </w:r>
    </w:p>
    <w:p w14:paraId="1C43C73D" w14:textId="77777777" w:rsidR="004B7756" w:rsidRPr="005A4499" w:rsidRDefault="004B7756" w:rsidP="00151681">
      <w:pPr>
        <w:spacing w:before="120" w:line="240" w:lineRule="auto"/>
        <w:jc w:val="both"/>
        <w:rPr>
          <w:b/>
        </w:rPr>
      </w:pPr>
      <w:r w:rsidRPr="005A4499">
        <w:rPr>
          <w:b/>
        </w:rPr>
        <w:t xml:space="preserve">Výdavky uvedené v tejto kapitole sú oprávnené, ak </w:t>
      </w:r>
      <w:r w:rsidR="00D27A20">
        <w:rPr>
          <w:b/>
        </w:rPr>
        <w:t>VO</w:t>
      </w:r>
      <w:r w:rsidRPr="005A4499">
        <w:rPr>
          <w:b/>
        </w:rPr>
        <w:t xml:space="preserve"> na výber dodávateľa/zhotoviteľa/poskytovateľa služby bolo vykonané v súlade s</w:t>
      </w:r>
      <w:r w:rsidR="00265E25">
        <w:rPr>
          <w:b/>
        </w:rPr>
        <w:t xml:space="preserve"> platným </w:t>
      </w:r>
      <w:r w:rsidR="00D27A20">
        <w:rPr>
          <w:b/>
        </w:rPr>
        <w:t>Z</w:t>
      </w:r>
      <w:r w:rsidRPr="005A4499">
        <w:rPr>
          <w:b/>
        </w:rPr>
        <w:t>VO a v súlade s</w:t>
      </w:r>
      <w:r w:rsidR="00E05FA7">
        <w:rPr>
          <w:b/>
        </w:rPr>
        <w:t xml:space="preserve"> výzvou, </w:t>
      </w:r>
      <w:r w:rsidRPr="005A4499">
        <w:rPr>
          <w:b/>
        </w:rPr>
        <w:t>pokynmi uvedenými v</w:t>
      </w:r>
      <w:r w:rsidR="00D27A20">
        <w:rPr>
          <w:b/>
        </w:rPr>
        <w:t> týchto pravidlách</w:t>
      </w:r>
      <w:r w:rsidR="00E05FA7">
        <w:rPr>
          <w:b/>
        </w:rPr>
        <w:t xml:space="preserve"> </w:t>
      </w:r>
      <w:r w:rsidR="007B5EB3">
        <w:rPr>
          <w:b/>
        </w:rPr>
        <w:t xml:space="preserve">OV </w:t>
      </w:r>
      <w:r w:rsidR="00E05FA7">
        <w:rPr>
          <w:b/>
        </w:rPr>
        <w:t>a príručkou k procesu verejného obstarávania.</w:t>
      </w:r>
      <w:r w:rsidRPr="005A4499">
        <w:rPr>
          <w:b/>
        </w:rPr>
        <w:t xml:space="preserve"> </w:t>
      </w:r>
    </w:p>
    <w:p w14:paraId="6F3F245B" w14:textId="2F25D024" w:rsidR="004B7756" w:rsidRDefault="00D27A20" w:rsidP="00151681">
      <w:pPr>
        <w:spacing w:before="120" w:line="240" w:lineRule="auto"/>
        <w:jc w:val="both"/>
      </w:pPr>
      <w:r>
        <w:t>VO</w:t>
      </w:r>
      <w:r w:rsidR="004B7756" w:rsidRPr="00B5339F">
        <w:t xml:space="preserve"> súvisiace s aktivitami projektu budú overené zo strany SO </w:t>
      </w:r>
      <w:r w:rsidR="004B7756">
        <w:t xml:space="preserve">pre IROP </w:t>
      </w:r>
      <w:r w:rsidR="004B7756" w:rsidRPr="005A4499">
        <w:rPr>
          <w:b/>
        </w:rPr>
        <w:t>počas výkonu finančnej kontroly VO</w:t>
      </w:r>
      <w:r w:rsidR="004B7756" w:rsidRPr="00B5339F">
        <w:t xml:space="preserve"> (ďalej aj „FK VO“). Ak záverom FK VO nebude pripustenie výdavkov súvisiacich s VO do financovania v plnej výške, alebo záverom FK VO </w:t>
      </w:r>
      <w:r w:rsidR="004B7756">
        <w:t>bude udelenie finančnej opravy</w:t>
      </w:r>
      <w:r w:rsidR="004B7756">
        <w:rPr>
          <w:rStyle w:val="Odkaznapoznmkupodiarou"/>
        </w:rPr>
        <w:footnoteReference w:id="32"/>
      </w:r>
      <w:r w:rsidR="004B7756" w:rsidRPr="00B5339F">
        <w:t xml:space="preserve"> na tieto výdavky, môže prijímateľ </w:t>
      </w:r>
      <w:r w:rsidR="004B7756" w:rsidRPr="001D66EC">
        <w:rPr>
          <w:b/>
          <w:u w:val="single"/>
        </w:rPr>
        <w:t>opakovať VO</w:t>
      </w:r>
      <w:r w:rsidR="004B7756" w:rsidRPr="00B5339F">
        <w:t xml:space="preserve"> súvisiace s vyššie uvedenými aktivitami projektu </w:t>
      </w:r>
      <w:r w:rsidR="004B7756" w:rsidRPr="001D66EC">
        <w:rPr>
          <w:b/>
          <w:u w:val="single"/>
        </w:rPr>
        <w:t>maximálne dvak</w:t>
      </w:r>
      <w:r w:rsidR="00E05FA7">
        <w:rPr>
          <w:b/>
          <w:u w:val="single"/>
        </w:rPr>
        <w:t>rát</w:t>
      </w:r>
      <w:r w:rsidR="00E05FA7" w:rsidRPr="00E513C5">
        <w:t xml:space="preserve"> v súlade</w:t>
      </w:r>
      <w:r w:rsidR="00E05FA7">
        <w:rPr>
          <w:b/>
          <w:u w:val="single"/>
        </w:rPr>
        <w:t xml:space="preserve"> </w:t>
      </w:r>
      <w:r w:rsidR="00E05FA7">
        <w:t>so v</w:t>
      </w:r>
      <w:r w:rsidR="004B7756" w:rsidRPr="00B5339F">
        <w:t>šeobecný</w:t>
      </w:r>
      <w:r w:rsidR="00E05FA7">
        <w:t>mi</w:t>
      </w:r>
      <w:r w:rsidR="004B7756" w:rsidRPr="00B5339F">
        <w:t xml:space="preserve"> zmluvný</w:t>
      </w:r>
      <w:r w:rsidR="00E05FA7">
        <w:t>mi</w:t>
      </w:r>
      <w:r w:rsidR="004B7756" w:rsidRPr="00B5339F">
        <w:t xml:space="preserve"> podmi</w:t>
      </w:r>
      <w:r w:rsidR="004B7756">
        <w:t>en</w:t>
      </w:r>
      <w:r w:rsidR="00E05FA7">
        <w:t>kami</w:t>
      </w:r>
      <w:r w:rsidR="004B7756">
        <w:t xml:space="preserve"> k </w:t>
      </w:r>
      <w:r w:rsidR="00E05FA7">
        <w:t>z</w:t>
      </w:r>
      <w:r w:rsidR="004B7756">
        <w:t>mluve o poskytnutí NFP.</w:t>
      </w:r>
      <w:r w:rsidR="008E69E7">
        <w:t xml:space="preserve"> </w:t>
      </w:r>
    </w:p>
    <w:p w14:paraId="39E9996A" w14:textId="77777777" w:rsidR="004B7756" w:rsidRPr="005C05CC" w:rsidRDefault="00B7226E" w:rsidP="00151681">
      <w:pPr>
        <w:pStyle w:val="Nadpis2"/>
        <w:spacing w:after="120" w:line="240" w:lineRule="auto"/>
        <w:rPr>
          <w:rFonts w:asciiTheme="minorHAnsi" w:hAnsiTheme="minorHAnsi"/>
        </w:rPr>
      </w:pPr>
      <w:bookmarkStart w:id="69" w:name="_Toc505197986"/>
      <w:bookmarkStart w:id="70" w:name="_Toc56090028"/>
      <w:r w:rsidRPr="00B7226E">
        <w:rPr>
          <w:rFonts w:asciiTheme="minorHAnsi" w:hAnsiTheme="minorHAnsi"/>
        </w:rPr>
        <w:lastRenderedPageBreak/>
        <w:t xml:space="preserve">4.1 </w:t>
      </w:r>
      <w:bookmarkStart w:id="71" w:name="_Toc476655627"/>
      <w:bookmarkStart w:id="72" w:name="_Toc505197989"/>
      <w:bookmarkEnd w:id="69"/>
      <w:r w:rsidR="004B7756" w:rsidRPr="005C05CC">
        <w:rPr>
          <w:rFonts w:asciiTheme="minorHAnsi" w:hAnsiTheme="minorHAnsi"/>
        </w:rPr>
        <w:t>Obstaranie stavebných prác</w:t>
      </w:r>
      <w:bookmarkEnd w:id="70"/>
      <w:bookmarkEnd w:id="71"/>
      <w:bookmarkEnd w:id="72"/>
    </w:p>
    <w:p w14:paraId="51AF5551" w14:textId="77777777" w:rsidR="004B7756" w:rsidRPr="00DA3256" w:rsidRDefault="004B7756" w:rsidP="00151681">
      <w:pPr>
        <w:spacing w:before="120" w:line="240" w:lineRule="auto"/>
        <w:jc w:val="both"/>
        <w:rPr>
          <w:b/>
        </w:rPr>
      </w:pPr>
      <w:r w:rsidRPr="00DA3256">
        <w:rPr>
          <w:b/>
        </w:rPr>
        <w:t>Oprávnené výdavky</w:t>
      </w:r>
    </w:p>
    <w:p w14:paraId="4E68EE26" w14:textId="77777777" w:rsidR="004B7756" w:rsidRPr="00B5339F" w:rsidRDefault="004B7756" w:rsidP="0003730B">
      <w:pPr>
        <w:spacing w:after="60" w:line="240" w:lineRule="auto"/>
        <w:jc w:val="both"/>
      </w:pPr>
      <w:r w:rsidRPr="00DA3256">
        <w:rPr>
          <w:b/>
        </w:rPr>
        <w:t>Výdavky na stavebné práce</w:t>
      </w:r>
      <w:r w:rsidRPr="00B5339F">
        <w:t xml:space="preserve"> (napr. novostavby, nadstavby, prístavby, stavebné úpravy) sú oprávnenými výdavkami v prípade, že stavebné práce sú nevyhnuté pre splnenie cieľov projektu a sú splnené nasledovné podmienky:</w:t>
      </w:r>
    </w:p>
    <w:p w14:paraId="2A850CF6" w14:textId="77777777" w:rsidR="004B7756" w:rsidRPr="00B5339F" w:rsidRDefault="004B7756" w:rsidP="008858BA">
      <w:pPr>
        <w:numPr>
          <w:ilvl w:val="0"/>
          <w:numId w:val="19"/>
        </w:numPr>
        <w:spacing w:after="60" w:line="240" w:lineRule="auto"/>
        <w:ind w:left="426"/>
        <w:jc w:val="both"/>
      </w:pPr>
      <w:r w:rsidRPr="00B5339F">
        <w:t>ak je pre realizáciu potrebné stavebné povolenie alebo príslušné ohlásenie stavebnému úradu, žiadateľ/prijímateľ predloží právoplatné stavebné povolenie, resp. ohlásenie, na základe ktorých je mo</w:t>
      </w:r>
      <w:r>
        <w:t xml:space="preserve">žné stavebné práce realizovať; </w:t>
      </w:r>
    </w:p>
    <w:p w14:paraId="4D4EF516" w14:textId="77777777" w:rsidR="004B7756" w:rsidRPr="00B5339F" w:rsidRDefault="004B7756" w:rsidP="008858BA">
      <w:pPr>
        <w:numPr>
          <w:ilvl w:val="0"/>
          <w:numId w:val="19"/>
        </w:numPr>
        <w:spacing w:after="60" w:line="240" w:lineRule="auto"/>
        <w:ind w:left="426"/>
        <w:jc w:val="both"/>
      </w:pPr>
      <w:r w:rsidRPr="00B5339F">
        <w:t>ak pre realizáciu stavebných prác nie je potrebné vydanie stavebného povolenia alebo príslušného ohlásenia, žiadateľ/prijímateľ musí vedieť zdôvodniť, že projekt v zmysle stavebného zákona nepodlieha stavebnému povole</w:t>
      </w:r>
      <w:r>
        <w:t xml:space="preserve">niu ani príslušnému ohláseniu; </w:t>
      </w:r>
    </w:p>
    <w:p w14:paraId="691D1DEA" w14:textId="77777777" w:rsidR="004B7756" w:rsidRPr="00B5339F" w:rsidRDefault="004B7756" w:rsidP="008858BA">
      <w:pPr>
        <w:numPr>
          <w:ilvl w:val="0"/>
          <w:numId w:val="19"/>
        </w:numPr>
        <w:spacing w:after="60" w:line="240" w:lineRule="auto"/>
        <w:ind w:left="426"/>
        <w:jc w:val="both"/>
      </w:pPr>
      <w:r w:rsidRPr="00B5339F">
        <w:t xml:space="preserve">VO na výber dodávateľa stavebných prác musí byť vykonané v súlade so </w:t>
      </w:r>
      <w:r w:rsidR="0012602E">
        <w:t>Z</w:t>
      </w:r>
      <w:r w:rsidRPr="00B5339F">
        <w:t>VO a</w:t>
      </w:r>
      <w:r w:rsidR="00E05FA7">
        <w:t> príručkou k procesu verejného obstarávania</w:t>
      </w:r>
      <w:r w:rsidR="0012602E">
        <w:t>;</w:t>
      </w:r>
      <w:r>
        <w:t xml:space="preserve"> </w:t>
      </w:r>
    </w:p>
    <w:p w14:paraId="1D117A71" w14:textId="77777777" w:rsidR="004B7756" w:rsidRDefault="004B7756" w:rsidP="008858BA">
      <w:pPr>
        <w:numPr>
          <w:ilvl w:val="0"/>
          <w:numId w:val="19"/>
        </w:numPr>
        <w:spacing w:line="240" w:lineRule="auto"/>
        <w:ind w:left="425" w:hanging="357"/>
        <w:jc w:val="both"/>
      </w:pPr>
      <w:r w:rsidRPr="00B5339F">
        <w:t>ak je to v zmysle príslušnej právnej úpravy potrebné (zákon č. 24/2006 Z. z. o posudzovaní vplyvov na životné prostredie a o zmene a doplnení niektorých zákonov v znení neskorších predpisov), predloží žiadateľ/prijímateľ vyjadrenie príslušného orgánu štátnej správy k</w:t>
      </w:r>
      <w:r w:rsidR="00CF6344">
        <w:t> </w:t>
      </w:r>
      <w:r w:rsidRPr="00B5339F">
        <w:t xml:space="preserve">posúdeniu vplyvov vybudovania plánovanej stavby na životné prostredie v danej lokalite (EIA). </w:t>
      </w:r>
    </w:p>
    <w:p w14:paraId="513C90AA" w14:textId="77777777" w:rsidR="004B7756" w:rsidRPr="005C05CC" w:rsidRDefault="004B7756" w:rsidP="00151681">
      <w:pPr>
        <w:pStyle w:val="Nadpis2"/>
        <w:spacing w:after="120" w:line="240" w:lineRule="auto"/>
        <w:rPr>
          <w:rFonts w:asciiTheme="minorHAnsi" w:hAnsiTheme="minorHAnsi"/>
        </w:rPr>
      </w:pPr>
      <w:bookmarkStart w:id="73" w:name="_Toc476655628"/>
      <w:bookmarkStart w:id="74" w:name="_Toc505197990"/>
      <w:bookmarkStart w:id="75" w:name="_Toc56090029"/>
      <w:r w:rsidRPr="005C05CC">
        <w:rPr>
          <w:rFonts w:asciiTheme="minorHAnsi" w:hAnsiTheme="minorHAnsi"/>
        </w:rPr>
        <w:t>4.</w:t>
      </w:r>
      <w:r w:rsidR="007B5EB3">
        <w:rPr>
          <w:rFonts w:asciiTheme="minorHAnsi" w:hAnsiTheme="minorHAnsi"/>
        </w:rPr>
        <w:t>2</w:t>
      </w:r>
      <w:r w:rsidRPr="005C05CC">
        <w:rPr>
          <w:rFonts w:asciiTheme="minorHAnsi" w:hAnsiTheme="minorHAnsi"/>
        </w:rPr>
        <w:t xml:space="preserve"> Stavebný dozor</w:t>
      </w:r>
      <w:bookmarkEnd w:id="73"/>
      <w:bookmarkEnd w:id="74"/>
      <w:bookmarkEnd w:id="75"/>
    </w:p>
    <w:p w14:paraId="1B86B608" w14:textId="77777777" w:rsidR="004B7756" w:rsidRPr="00B5339F" w:rsidRDefault="004B7756" w:rsidP="00151681">
      <w:pPr>
        <w:spacing w:before="120" w:line="240" w:lineRule="auto"/>
        <w:jc w:val="both"/>
      </w:pPr>
      <w:r w:rsidRPr="00B5339F">
        <w:t xml:space="preserve">Žiadateľ zabezpečuje externý alebo interný stavebný dozor </w:t>
      </w:r>
      <w:r>
        <w:t>na realizáciu aktivít projektu.</w:t>
      </w:r>
    </w:p>
    <w:p w14:paraId="1A021671" w14:textId="77777777" w:rsidR="004B7756" w:rsidRPr="00B5339F" w:rsidRDefault="004B7756" w:rsidP="00151681">
      <w:pPr>
        <w:spacing w:before="120" w:line="240" w:lineRule="auto"/>
        <w:jc w:val="both"/>
      </w:pPr>
      <w:r w:rsidRPr="00B5339F">
        <w:t xml:space="preserve">Výdavky na stavebný dozor sú oprávnenými výdavkami v prípade, že stavebný dozor je nevyhnutý pre splnenie cieľov projektu a oprávnené výdavky na stavebný dozor </w:t>
      </w:r>
      <w:r w:rsidRPr="0049204E">
        <w:rPr>
          <w:b/>
        </w:rPr>
        <w:t>nepresiahnu percentuálne limity stanovené z celkových oprávnených výdavkov na stavebné práce</w:t>
      </w:r>
      <w:r w:rsidRPr="00B5339F">
        <w:t>, pričom výdavky na stavebný dozor preukázateľne priamo súvisia s realizáciou projektu.</w:t>
      </w:r>
    </w:p>
    <w:p w14:paraId="5D23B61B" w14:textId="77777777" w:rsidR="004B7756" w:rsidRPr="00B5339F" w:rsidRDefault="004B7756" w:rsidP="00151681">
      <w:pPr>
        <w:spacing w:before="120" w:line="240" w:lineRule="auto"/>
        <w:jc w:val="both"/>
      </w:pPr>
      <w:r w:rsidRPr="00B5339F">
        <w:t>V prípade, že dohľad nad realizáciou projektu zabezpečuje externý stavebný dozor, výdavky za</w:t>
      </w:r>
      <w:r w:rsidR="00265E25">
        <w:t> </w:t>
      </w:r>
      <w:r w:rsidRPr="00B5339F">
        <w:t>mesačné správy od zhotoviteľa sa považujú za neoprávnené.</w:t>
      </w:r>
    </w:p>
    <w:p w14:paraId="3E0E0778" w14:textId="77777777" w:rsidR="004B7756" w:rsidRPr="00B5339F" w:rsidRDefault="004B7756" w:rsidP="0003730B">
      <w:pPr>
        <w:spacing w:after="60" w:line="240" w:lineRule="auto"/>
        <w:jc w:val="both"/>
      </w:pPr>
      <w:r w:rsidRPr="00B5339F">
        <w:t>V odôvodnených prípadoch môže zabezpečovať dohľad nad realizáciou projektu interný stavebný dozor žiadateľa/prijímateľa na základe súhlasu SO</w:t>
      </w:r>
      <w:r w:rsidR="00EA6F28">
        <w:t xml:space="preserve"> pre IROP</w:t>
      </w:r>
      <w:r w:rsidRPr="00B5339F">
        <w:t>. V danom prípade prijímateľ:</w:t>
      </w:r>
    </w:p>
    <w:p w14:paraId="3B416262" w14:textId="77777777" w:rsidR="004B7756" w:rsidRPr="00B5339F" w:rsidRDefault="004B7756" w:rsidP="008858BA">
      <w:pPr>
        <w:numPr>
          <w:ilvl w:val="0"/>
          <w:numId w:val="20"/>
        </w:numPr>
        <w:spacing w:after="60" w:line="240" w:lineRule="auto"/>
        <w:ind w:left="426"/>
        <w:jc w:val="both"/>
      </w:pPr>
      <w:r w:rsidRPr="00B5339F">
        <w:t xml:space="preserve">nie je oprávnený žiadať SO </w:t>
      </w:r>
      <w:r w:rsidR="00EA6F28">
        <w:t>pre IROP</w:t>
      </w:r>
      <w:r w:rsidRPr="00B5339F">
        <w:t xml:space="preserve"> o preplatenie výdavkov za činnosť interného stavebného dozoru, </w:t>
      </w:r>
    </w:p>
    <w:p w14:paraId="566810A2" w14:textId="77777777" w:rsidR="004B7756" w:rsidRDefault="004B7756" w:rsidP="008858BA">
      <w:pPr>
        <w:numPr>
          <w:ilvl w:val="0"/>
          <w:numId w:val="20"/>
        </w:numPr>
        <w:spacing w:line="240" w:lineRule="auto"/>
        <w:ind w:left="425" w:hanging="357"/>
        <w:jc w:val="both"/>
      </w:pPr>
      <w:r w:rsidRPr="00B5339F">
        <w:t xml:space="preserve">nie je oprávnený žiadať SO </w:t>
      </w:r>
      <w:r w:rsidR="00EA6F28">
        <w:t xml:space="preserve">pre IROP </w:t>
      </w:r>
      <w:r w:rsidRPr="00B5339F">
        <w:t>o preplatenie dodatočných výdavkov za dodanie tovarov, stavebných prác a služieb potrebných pre realizáciu aktivít projektu, ktoré zvyšujú zmluvnú cenu diela (t.</w:t>
      </w:r>
      <w:r w:rsidR="0012602E">
        <w:t xml:space="preserve"> </w:t>
      </w:r>
      <w:r w:rsidRPr="00B5339F">
        <w:t xml:space="preserve">j. ktoré vznikli na základe dodatkov k zmluve o dielo so zhotoviteľom zvyšujúce zmluvnú cenu). </w:t>
      </w:r>
    </w:p>
    <w:p w14:paraId="28369210" w14:textId="77777777" w:rsidR="0003792A" w:rsidRPr="005C05CC" w:rsidRDefault="00DD66C7" w:rsidP="00151681">
      <w:pPr>
        <w:pStyle w:val="Nadpis2"/>
        <w:spacing w:after="120" w:line="240" w:lineRule="auto"/>
        <w:rPr>
          <w:rFonts w:asciiTheme="minorHAnsi" w:hAnsiTheme="minorHAnsi"/>
        </w:rPr>
      </w:pPr>
      <w:bookmarkStart w:id="76" w:name="_Toc505197991"/>
      <w:bookmarkStart w:id="77" w:name="_Toc56090030"/>
      <w:r w:rsidRPr="009940A9">
        <w:rPr>
          <w:rFonts w:asciiTheme="minorHAnsi" w:hAnsiTheme="minorHAnsi"/>
        </w:rPr>
        <w:t>4</w:t>
      </w:r>
      <w:r w:rsidR="007B5EB3" w:rsidRPr="009940A9">
        <w:rPr>
          <w:rFonts w:asciiTheme="minorHAnsi" w:hAnsiTheme="minorHAnsi"/>
        </w:rPr>
        <w:t>.3</w:t>
      </w:r>
      <w:r w:rsidR="0003792A" w:rsidRPr="009940A9">
        <w:rPr>
          <w:rFonts w:asciiTheme="minorHAnsi" w:hAnsiTheme="minorHAnsi"/>
        </w:rPr>
        <w:t xml:space="preserve"> Odborný autorský dohľad</w:t>
      </w:r>
      <w:bookmarkEnd w:id="76"/>
      <w:bookmarkEnd w:id="77"/>
      <w:r w:rsidR="0003792A" w:rsidRPr="005C05CC">
        <w:rPr>
          <w:rFonts w:asciiTheme="minorHAnsi" w:hAnsiTheme="minorHAnsi"/>
        </w:rPr>
        <w:t xml:space="preserve"> </w:t>
      </w:r>
    </w:p>
    <w:p w14:paraId="508E4B13" w14:textId="77777777" w:rsidR="0003792A" w:rsidRDefault="0003792A" w:rsidP="00151681">
      <w:pPr>
        <w:pStyle w:val="Default"/>
        <w:spacing w:before="120" w:after="120"/>
        <w:jc w:val="both"/>
        <w:rPr>
          <w:rFonts w:eastAsia="Times New Roman" w:cs="Times New Roman"/>
          <w:color w:val="auto"/>
          <w:sz w:val="22"/>
          <w:szCs w:val="22"/>
          <w:lang w:eastAsia="sk-SK"/>
        </w:rPr>
      </w:pPr>
      <w:r w:rsidRPr="0003792A">
        <w:rPr>
          <w:rFonts w:eastAsia="Times New Roman" w:cs="Times New Roman"/>
          <w:color w:val="auto"/>
          <w:sz w:val="22"/>
          <w:szCs w:val="22"/>
          <w:lang w:eastAsia="sk-SK"/>
        </w:rPr>
        <w:t>Výdavky na odborný autorský dohľad sú oprávnenými výdavkami len v rámci investičných projektov, ak odborný autorský dohľad bude obstaraný spolu s projektovou dokumentáciou k danej stavbe (v</w:t>
      </w:r>
      <w:r w:rsidR="00341E77">
        <w:rPr>
          <w:rFonts w:eastAsia="Times New Roman" w:cs="Times New Roman"/>
          <w:color w:val="auto"/>
          <w:sz w:val="22"/>
          <w:szCs w:val="22"/>
          <w:lang w:eastAsia="sk-SK"/>
        </w:rPr>
        <w:t> </w:t>
      </w:r>
      <w:r w:rsidRPr="0003792A">
        <w:rPr>
          <w:rFonts w:eastAsia="Times New Roman" w:cs="Times New Roman"/>
          <w:color w:val="auto"/>
          <w:sz w:val="22"/>
          <w:szCs w:val="22"/>
          <w:lang w:eastAsia="sk-SK"/>
        </w:rPr>
        <w:t>súlade s podmienkami uvedenými v kapitole 4.</w:t>
      </w:r>
      <w:r w:rsidR="007B5EB3">
        <w:rPr>
          <w:rFonts w:eastAsia="Times New Roman" w:cs="Times New Roman"/>
          <w:color w:val="auto"/>
          <w:sz w:val="22"/>
          <w:szCs w:val="22"/>
          <w:lang w:eastAsia="sk-SK"/>
        </w:rPr>
        <w:t>4</w:t>
      </w:r>
      <w:r w:rsidRPr="0003792A">
        <w:rPr>
          <w:rFonts w:eastAsia="Times New Roman" w:cs="Times New Roman"/>
          <w:color w:val="auto"/>
          <w:sz w:val="22"/>
          <w:szCs w:val="22"/>
          <w:lang w:eastAsia="sk-SK"/>
        </w:rPr>
        <w:t xml:space="preserve"> </w:t>
      </w:r>
      <w:r w:rsidR="0012602E">
        <w:rPr>
          <w:rFonts w:eastAsia="Times New Roman" w:cs="Times New Roman"/>
          <w:color w:val="auto"/>
          <w:sz w:val="22"/>
          <w:szCs w:val="22"/>
          <w:lang w:eastAsia="sk-SK"/>
        </w:rPr>
        <w:t>týchto pravidiel</w:t>
      </w:r>
      <w:r w:rsidR="007B5EB3">
        <w:rPr>
          <w:rFonts w:eastAsia="Times New Roman" w:cs="Times New Roman"/>
          <w:color w:val="auto"/>
          <w:sz w:val="22"/>
          <w:szCs w:val="22"/>
          <w:lang w:eastAsia="sk-SK"/>
        </w:rPr>
        <w:t xml:space="preserve"> OV</w:t>
      </w:r>
      <w:r w:rsidRPr="0003792A">
        <w:rPr>
          <w:rFonts w:eastAsia="Times New Roman" w:cs="Times New Roman"/>
          <w:color w:val="auto"/>
          <w:sz w:val="22"/>
          <w:szCs w:val="22"/>
          <w:lang w:eastAsia="sk-SK"/>
        </w:rPr>
        <w:t xml:space="preserve">) a výdavok na odborný autorský dohľad bude v rámci projektovej dokumentácie samostatne vyčíslený. </w:t>
      </w:r>
    </w:p>
    <w:p w14:paraId="59CE17B7" w14:textId="77777777" w:rsidR="0003792A" w:rsidRPr="005C05CC" w:rsidRDefault="00DD66C7" w:rsidP="00151681">
      <w:pPr>
        <w:pStyle w:val="Nadpis2"/>
        <w:spacing w:after="120" w:line="240" w:lineRule="auto"/>
        <w:rPr>
          <w:rFonts w:asciiTheme="minorHAnsi" w:hAnsiTheme="minorHAnsi"/>
        </w:rPr>
      </w:pPr>
      <w:bookmarkStart w:id="78" w:name="_Toc505197992"/>
      <w:bookmarkStart w:id="79" w:name="_Toc56090031"/>
      <w:r w:rsidRPr="009940A9">
        <w:rPr>
          <w:rFonts w:asciiTheme="minorHAnsi" w:hAnsiTheme="minorHAnsi"/>
        </w:rPr>
        <w:t>4.</w:t>
      </w:r>
      <w:r w:rsidR="007B5EB3" w:rsidRPr="009940A9">
        <w:rPr>
          <w:rFonts w:asciiTheme="minorHAnsi" w:hAnsiTheme="minorHAnsi"/>
        </w:rPr>
        <w:t>4</w:t>
      </w:r>
      <w:r w:rsidR="0003792A" w:rsidRPr="009940A9">
        <w:rPr>
          <w:rFonts w:asciiTheme="minorHAnsi" w:hAnsiTheme="minorHAnsi"/>
        </w:rPr>
        <w:t xml:space="preserve"> Prípravná a projektová dokumentácia</w:t>
      </w:r>
      <w:bookmarkEnd w:id="78"/>
      <w:bookmarkEnd w:id="79"/>
      <w:r w:rsidR="0003792A" w:rsidRPr="005C05CC">
        <w:rPr>
          <w:rFonts w:asciiTheme="minorHAnsi" w:hAnsiTheme="minorHAnsi"/>
        </w:rPr>
        <w:t xml:space="preserve"> </w:t>
      </w:r>
    </w:p>
    <w:p w14:paraId="52709D0C" w14:textId="77777777" w:rsidR="0003792A" w:rsidRDefault="0003792A" w:rsidP="00151681">
      <w:pPr>
        <w:pStyle w:val="Default"/>
        <w:spacing w:before="120" w:after="120"/>
        <w:jc w:val="both"/>
        <w:rPr>
          <w:rFonts w:eastAsia="Times New Roman" w:cs="Times New Roman"/>
          <w:color w:val="auto"/>
          <w:sz w:val="22"/>
          <w:szCs w:val="22"/>
          <w:lang w:eastAsia="sk-SK"/>
        </w:rPr>
      </w:pPr>
      <w:r w:rsidRPr="0003792A">
        <w:rPr>
          <w:rFonts w:eastAsia="Times New Roman" w:cs="Times New Roman"/>
          <w:color w:val="auto"/>
          <w:sz w:val="22"/>
          <w:szCs w:val="22"/>
          <w:lang w:eastAsia="sk-SK"/>
        </w:rPr>
        <w:t xml:space="preserve">Výdavky na prípravnú a projektovú dokumentáciu (napr. pre územné rozhodnutie, pre stavebné povolenie, geodetické a prieskumné práce potrebné na spracovanie stavebného projektu, </w:t>
      </w:r>
      <w:r w:rsidR="007B5EB3" w:rsidRPr="009940A9">
        <w:rPr>
          <w:rFonts w:eastAsia="Times New Roman" w:cs="Times New Roman"/>
          <w:color w:val="auto"/>
          <w:sz w:val="22"/>
          <w:szCs w:val="22"/>
          <w:lang w:eastAsia="sk-SK"/>
        </w:rPr>
        <w:t xml:space="preserve">architektonická </w:t>
      </w:r>
      <w:r w:rsidRPr="009940A9">
        <w:rPr>
          <w:rFonts w:eastAsia="Times New Roman" w:cs="Times New Roman"/>
          <w:color w:val="auto"/>
          <w:sz w:val="22"/>
          <w:szCs w:val="22"/>
          <w:lang w:eastAsia="sk-SK"/>
        </w:rPr>
        <w:t>štúdia)</w:t>
      </w:r>
      <w:r w:rsidRPr="0003792A">
        <w:rPr>
          <w:rFonts w:eastAsia="Times New Roman" w:cs="Times New Roman"/>
          <w:color w:val="auto"/>
          <w:sz w:val="22"/>
          <w:szCs w:val="22"/>
          <w:lang w:eastAsia="sk-SK"/>
        </w:rPr>
        <w:t xml:space="preserve"> sú oprávnenými výdavkami v</w:t>
      </w:r>
      <w:r w:rsidR="00341E77">
        <w:rPr>
          <w:rFonts w:eastAsia="Times New Roman" w:cs="Times New Roman"/>
          <w:color w:val="auto"/>
          <w:sz w:val="22"/>
          <w:szCs w:val="22"/>
          <w:lang w:eastAsia="sk-SK"/>
        </w:rPr>
        <w:t> </w:t>
      </w:r>
      <w:r w:rsidRPr="0003792A">
        <w:rPr>
          <w:rFonts w:eastAsia="Times New Roman" w:cs="Times New Roman"/>
          <w:color w:val="auto"/>
          <w:sz w:val="22"/>
          <w:szCs w:val="22"/>
          <w:lang w:eastAsia="sk-SK"/>
        </w:rPr>
        <w:t>prípade, že prípravná a projektová dokumentácia sú nevyhnuté pre splnenie cieľov projektu a</w:t>
      </w:r>
      <w:r w:rsidR="00341E77">
        <w:rPr>
          <w:rFonts w:eastAsia="Times New Roman" w:cs="Times New Roman"/>
          <w:color w:val="auto"/>
          <w:sz w:val="22"/>
          <w:szCs w:val="22"/>
          <w:lang w:eastAsia="sk-SK"/>
        </w:rPr>
        <w:t> </w:t>
      </w:r>
      <w:r w:rsidRPr="0003792A">
        <w:rPr>
          <w:rFonts w:eastAsia="Times New Roman" w:cs="Times New Roman"/>
          <w:color w:val="auto"/>
          <w:sz w:val="22"/>
          <w:szCs w:val="22"/>
          <w:lang w:eastAsia="sk-SK"/>
        </w:rPr>
        <w:t>výdavky spĺňajú všeobecné pravidlá oprávnenosti výdavkov</w:t>
      </w:r>
      <w:r w:rsidR="00E05FA7">
        <w:rPr>
          <w:rFonts w:eastAsia="Times New Roman" w:cs="Times New Roman"/>
          <w:color w:val="auto"/>
          <w:sz w:val="22"/>
          <w:szCs w:val="22"/>
          <w:lang w:eastAsia="sk-SK"/>
        </w:rPr>
        <w:t xml:space="preserve">. </w:t>
      </w:r>
      <w:r w:rsidRPr="0003792A">
        <w:rPr>
          <w:rFonts w:eastAsia="Times New Roman" w:cs="Times New Roman"/>
          <w:color w:val="auto"/>
          <w:sz w:val="22"/>
          <w:szCs w:val="22"/>
          <w:lang w:eastAsia="sk-SK"/>
        </w:rPr>
        <w:t xml:space="preserve"> </w:t>
      </w:r>
    </w:p>
    <w:p w14:paraId="030096A6" w14:textId="77777777" w:rsidR="004B7756" w:rsidRPr="005C05CC" w:rsidRDefault="004B7756" w:rsidP="00151681">
      <w:pPr>
        <w:pStyle w:val="Nadpis2"/>
        <w:spacing w:after="120" w:line="240" w:lineRule="auto"/>
        <w:rPr>
          <w:rFonts w:asciiTheme="minorHAnsi" w:hAnsiTheme="minorHAnsi"/>
        </w:rPr>
      </w:pPr>
      <w:bookmarkStart w:id="80" w:name="page25"/>
      <w:bookmarkStart w:id="81" w:name="_Toc476655629"/>
      <w:bookmarkStart w:id="82" w:name="_Toc505197993"/>
      <w:bookmarkStart w:id="83" w:name="_Toc56090032"/>
      <w:bookmarkEnd w:id="80"/>
      <w:r w:rsidRPr="005C05CC">
        <w:rPr>
          <w:rFonts w:asciiTheme="minorHAnsi" w:hAnsiTheme="minorHAnsi"/>
        </w:rPr>
        <w:lastRenderedPageBreak/>
        <w:t>4.</w:t>
      </w:r>
      <w:r w:rsidR="007B5EB3">
        <w:rPr>
          <w:rFonts w:asciiTheme="minorHAnsi" w:hAnsiTheme="minorHAnsi"/>
        </w:rPr>
        <w:t>5</w:t>
      </w:r>
      <w:r w:rsidRPr="005C05CC">
        <w:rPr>
          <w:rFonts w:asciiTheme="minorHAnsi" w:hAnsiTheme="minorHAnsi"/>
        </w:rPr>
        <w:t xml:space="preserve"> Nákup hmotného a nehmotného majetku (okrem nehnuteľností)</w:t>
      </w:r>
      <w:bookmarkEnd w:id="81"/>
      <w:bookmarkEnd w:id="82"/>
      <w:bookmarkEnd w:id="83"/>
    </w:p>
    <w:p w14:paraId="48A00C9C" w14:textId="77777777" w:rsidR="004B7756" w:rsidRPr="0049204E" w:rsidRDefault="004B7756" w:rsidP="00151681">
      <w:pPr>
        <w:spacing w:before="120" w:line="240" w:lineRule="auto"/>
        <w:jc w:val="both"/>
        <w:rPr>
          <w:b/>
        </w:rPr>
      </w:pPr>
      <w:r w:rsidRPr="0049204E">
        <w:rPr>
          <w:b/>
        </w:rPr>
        <w:t>Oprávnené výdavky</w:t>
      </w:r>
    </w:p>
    <w:p w14:paraId="3F10A041" w14:textId="77777777" w:rsidR="004B7756" w:rsidRPr="00B5339F" w:rsidRDefault="004B7756" w:rsidP="00151681">
      <w:pPr>
        <w:spacing w:before="120" w:line="240" w:lineRule="auto"/>
        <w:jc w:val="both"/>
      </w:pPr>
      <w:r w:rsidRPr="0046729B">
        <w:t>Oprávneným výdavkom je kúpna cena nakupovaného dlhodobého hmotného a nehmotného majetku</w:t>
      </w:r>
      <w:r w:rsidRPr="0046729B">
        <w:rPr>
          <w:rStyle w:val="Odkaznapoznmkupodiarou"/>
        </w:rPr>
        <w:footnoteReference w:id="33"/>
      </w:r>
      <w:r w:rsidRPr="0046729B">
        <w:t>.</w:t>
      </w:r>
    </w:p>
    <w:p w14:paraId="7BE0B773" w14:textId="77777777" w:rsidR="004B7756" w:rsidRPr="00B5339F" w:rsidRDefault="004B7756" w:rsidP="00151681">
      <w:pPr>
        <w:spacing w:before="120" w:line="240" w:lineRule="auto"/>
        <w:jc w:val="both"/>
      </w:pPr>
      <w:r w:rsidRPr="00B5339F">
        <w:t xml:space="preserve">V prípade, ak žiadateľ/prijímateľ využíva nadobudnutý majetok (napr. zariadenie, vybavenie) </w:t>
      </w:r>
      <w:r w:rsidRPr="0049204E">
        <w:rPr>
          <w:u w:val="single"/>
        </w:rPr>
        <w:t>len pre účely projektu</w:t>
      </w:r>
      <w:r w:rsidRPr="00B5339F">
        <w:t>, uplatní si výdavky spojené s ich obstaraním v celkovej výške</w:t>
      </w:r>
      <w:r>
        <w:rPr>
          <w:rStyle w:val="Odkaznapoznmkupodiarou"/>
        </w:rPr>
        <w:footnoteReference w:id="34"/>
      </w:r>
      <w:r w:rsidRPr="00B5339F">
        <w:t xml:space="preserve">. Kúpený majetok musí byť nový, nebol používaný a žiadateľ/prijímateľ s ním v minulosti žiadnym spôsobom nedisponoval (čo i len sčasti, ak bol k dispozícií prijímateľovi). Tento majetok musí byť obstaraný v zmysle </w:t>
      </w:r>
      <w:r w:rsidR="0012602E">
        <w:t>Z</w:t>
      </w:r>
      <w:r w:rsidRPr="00B5339F">
        <w:t xml:space="preserve">VO a pokynov uvedených v </w:t>
      </w:r>
      <w:r w:rsidR="0012602E">
        <w:t>p</w:t>
      </w:r>
      <w:r w:rsidRPr="00B5339F">
        <w:t xml:space="preserve">ríručke pre žiadateľa, resp. </w:t>
      </w:r>
      <w:r w:rsidR="0012602E">
        <w:t xml:space="preserve">v príručke pre </w:t>
      </w:r>
      <w:r w:rsidRPr="00B5339F">
        <w:t>prijímateľa - časť VO.</w:t>
      </w:r>
    </w:p>
    <w:p w14:paraId="76EAAECF" w14:textId="77777777" w:rsidR="004B7756" w:rsidRDefault="004B7756" w:rsidP="00151681">
      <w:pPr>
        <w:spacing w:before="120" w:line="240" w:lineRule="auto"/>
        <w:jc w:val="both"/>
      </w:pPr>
      <w:r>
        <w:t xml:space="preserve">V prípade, že žiadateľ/prijímateľ využíva majetok okrem realizácie projektu </w:t>
      </w:r>
      <w:r w:rsidRPr="00015FBB">
        <w:rPr>
          <w:u w:val="single"/>
        </w:rPr>
        <w:t>aj na iné aktivity nesúvisiace s realizáciou projektu</w:t>
      </w:r>
      <w:r>
        <w:t>, oprávnené sú len pomerné výdavky na jeho obstaranie vypočítané žiadateľom/prijímateľom napríklad pomocou nasledujúcich metód:</w:t>
      </w:r>
    </w:p>
    <w:p w14:paraId="24413B1B" w14:textId="77777777" w:rsidR="004B7756" w:rsidRDefault="004B7756" w:rsidP="008858BA">
      <w:pPr>
        <w:numPr>
          <w:ilvl w:val="0"/>
          <w:numId w:val="21"/>
        </w:numPr>
        <w:spacing w:before="120" w:line="240" w:lineRule="auto"/>
        <w:jc w:val="both"/>
      </w:pPr>
      <w:r w:rsidRPr="00B5339F">
        <w:t xml:space="preserve">ako pomer výšky celkových výdavkov projektu k celkovému obratu žiadateľa/prijímateľa za predchádzajúci kalendárny rok alebo priemerného obratu za posledné 3 kalendárne roky;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B7756" w:rsidRPr="0003730B" w14:paraId="5F67A3BF" w14:textId="77777777" w:rsidTr="00837107">
        <w:trPr>
          <w:trHeight w:val="193"/>
        </w:trPr>
        <w:tc>
          <w:tcPr>
            <w:tcW w:w="9220" w:type="dxa"/>
            <w:shd w:val="clear" w:color="auto" w:fill="C6D9F1"/>
          </w:tcPr>
          <w:p w14:paraId="758530AE" w14:textId="77777777" w:rsidR="004B7756" w:rsidRPr="0003730B" w:rsidRDefault="004B7756" w:rsidP="0003730B">
            <w:pPr>
              <w:spacing w:before="40" w:after="40" w:line="240" w:lineRule="auto"/>
              <w:jc w:val="both"/>
              <w:rPr>
                <w:color w:val="002060"/>
                <w:sz w:val="20"/>
                <w:szCs w:val="20"/>
              </w:rPr>
            </w:pPr>
            <w:r w:rsidRPr="0003730B">
              <w:rPr>
                <w:b/>
                <w:color w:val="002060"/>
                <w:sz w:val="20"/>
                <w:szCs w:val="20"/>
              </w:rPr>
              <w:t>Príklad č. 1</w:t>
            </w:r>
            <w:r w:rsidRPr="0003730B">
              <w:rPr>
                <w:color w:val="002060"/>
                <w:sz w:val="20"/>
                <w:szCs w:val="20"/>
              </w:rPr>
              <w:t>: Výpočet pomernej časti oprávnených výdavkov na nákup hmotného majetku</w:t>
            </w:r>
          </w:p>
          <w:p w14:paraId="11A9740E"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 xml:space="preserve">Žiadateľ/prijímateľ realizuje z prostriedkov EŠIF 3 projekty (v celkovej hodnote 45 000 </w:t>
            </w:r>
            <w:r w:rsidR="0012602E" w:rsidRPr="0003730B">
              <w:rPr>
                <w:color w:val="002060"/>
                <w:sz w:val="20"/>
                <w:szCs w:val="20"/>
              </w:rPr>
              <w:t>eur</w:t>
            </w:r>
            <w:r w:rsidRPr="0003730B">
              <w:rPr>
                <w:color w:val="002060"/>
                <w:sz w:val="20"/>
                <w:szCs w:val="20"/>
              </w:rPr>
              <w:t>), pričom zariadenie využíva pre každý z týchto projektov. Pre výpočet pomernej časti oprávnených výdavkov vypočíta aký je %-ný pomer NFP každého projektu vo vzťahu k celkovej sume NFP, ktorú prostredníctvom projektov získa.</w:t>
            </w:r>
          </w:p>
          <w:p w14:paraId="2CD605D8"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 xml:space="preserve">Projekt č. 1 – NFP =         10 000 </w:t>
            </w:r>
            <w:r w:rsidR="0012602E" w:rsidRPr="0003730B">
              <w:rPr>
                <w:color w:val="002060"/>
                <w:sz w:val="20"/>
                <w:szCs w:val="20"/>
              </w:rPr>
              <w:t>eur</w:t>
            </w:r>
            <w:r w:rsidRPr="0003730B">
              <w:rPr>
                <w:color w:val="002060"/>
                <w:sz w:val="20"/>
                <w:szCs w:val="20"/>
              </w:rPr>
              <w:t>.....pomerná časť = 10 000/45 000*100 = 22,22%</w:t>
            </w:r>
          </w:p>
          <w:p w14:paraId="29AAF142"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 xml:space="preserve">Projekt č. 2 – NFP =         15 000 </w:t>
            </w:r>
            <w:r w:rsidR="0012602E" w:rsidRPr="0003730B">
              <w:rPr>
                <w:color w:val="002060"/>
                <w:sz w:val="20"/>
                <w:szCs w:val="20"/>
              </w:rPr>
              <w:t>eur</w:t>
            </w:r>
            <w:r w:rsidRPr="0003730B">
              <w:rPr>
                <w:color w:val="002060"/>
                <w:sz w:val="20"/>
                <w:szCs w:val="20"/>
              </w:rPr>
              <w:t>.....pomerná časť = 15 000/45 000*100 = 33,33%</w:t>
            </w:r>
          </w:p>
          <w:p w14:paraId="1DF636E3"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u w:val="thick"/>
              </w:rPr>
              <w:t xml:space="preserve">Projekt č. 1 – NFP =          20 000 </w:t>
            </w:r>
            <w:r w:rsidR="0012602E" w:rsidRPr="0003730B">
              <w:rPr>
                <w:color w:val="002060"/>
                <w:sz w:val="20"/>
                <w:szCs w:val="20"/>
                <w:u w:val="thick"/>
              </w:rPr>
              <w:t>eur</w:t>
            </w:r>
            <w:r w:rsidRPr="0003730B">
              <w:rPr>
                <w:color w:val="002060"/>
                <w:sz w:val="20"/>
                <w:szCs w:val="20"/>
              </w:rPr>
              <w:t>.....pomerná časť = 20 000/45 000*100 = 44,44%</w:t>
            </w:r>
          </w:p>
          <w:p w14:paraId="09A46800"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 xml:space="preserve">Ʃ NFP projektov 1 až 3 = 45 000 </w:t>
            </w:r>
            <w:r w:rsidR="0012602E" w:rsidRPr="0003730B">
              <w:rPr>
                <w:color w:val="002060"/>
                <w:sz w:val="20"/>
                <w:szCs w:val="20"/>
              </w:rPr>
              <w:t>eur</w:t>
            </w:r>
          </w:p>
          <w:p w14:paraId="0336910F"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Pozn. Ak prijímateľ používa majetok aj na iné účely ako pre projekt, potom nie je vhodné aplikovať vyššie uvedený príklad a je vhodnejšie aplikovať výpočet napr. podľa počtu hodín, ktoré je využívané dané zariadenie pre ten/ktorý projekt resp. činnosť mimo projektov, alebo % produkcie daného zariadenia v projekte voči celkovej produkcii zariadenia a i.</w:t>
            </w:r>
          </w:p>
        </w:tc>
      </w:tr>
    </w:tbl>
    <w:p w14:paraId="2601B22E" w14:textId="77777777" w:rsidR="004B7756" w:rsidRDefault="004B7756" w:rsidP="008858BA">
      <w:pPr>
        <w:numPr>
          <w:ilvl w:val="0"/>
          <w:numId w:val="21"/>
        </w:numPr>
        <w:spacing w:before="120" w:line="240" w:lineRule="auto"/>
        <w:ind w:left="714" w:hanging="357"/>
        <w:jc w:val="both"/>
      </w:pPr>
      <w:r>
        <w:t>na základe pomeru súčtu osobohodín, ktoré odpracuje zamestnanec/zamestnanci v rámci projektu k celkovému počtu osobohodín všetkých zamestnancov prijímateľa;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B7756" w:rsidRPr="0003730B" w14:paraId="5A0C1E34" w14:textId="77777777" w:rsidTr="0003730B">
        <w:trPr>
          <w:trHeight w:val="2344"/>
        </w:trPr>
        <w:tc>
          <w:tcPr>
            <w:tcW w:w="9220" w:type="dxa"/>
            <w:shd w:val="clear" w:color="auto" w:fill="C6D9F1"/>
          </w:tcPr>
          <w:p w14:paraId="2A1D4662" w14:textId="77777777" w:rsidR="004B7756" w:rsidRPr="0003730B" w:rsidRDefault="004B7756" w:rsidP="0003730B">
            <w:pPr>
              <w:spacing w:before="40" w:after="40" w:line="240" w:lineRule="auto"/>
              <w:jc w:val="both"/>
              <w:rPr>
                <w:color w:val="002060"/>
                <w:sz w:val="20"/>
                <w:szCs w:val="20"/>
              </w:rPr>
            </w:pPr>
            <w:r w:rsidRPr="0003730B">
              <w:rPr>
                <w:b/>
                <w:color w:val="002060"/>
                <w:sz w:val="20"/>
                <w:szCs w:val="20"/>
              </w:rPr>
              <w:t>Príklad č. 2</w:t>
            </w:r>
            <w:r w:rsidRPr="0003730B">
              <w:rPr>
                <w:color w:val="002060"/>
                <w:sz w:val="20"/>
                <w:szCs w:val="20"/>
              </w:rPr>
              <w:t>: Výpočet pomernej časti oprávnených výdavkov na nákup hmotného majetku</w:t>
            </w:r>
          </w:p>
          <w:p w14:paraId="4021F5DE"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Zamestnanci žiadateľa/prijímateľa pracujú na 2 projektoch (celkový odpracovaný počet hodín je 800) podporených z EŠIF súčasne. Pre výpočet pomernej časti oprávnených výdavkov vypočíta, aký je %-ný pomer počtu odpracovaných hodín každého projektu v pomere k súčtu všetkých odpracovaných hodín za oba projekty.</w:t>
            </w:r>
          </w:p>
          <w:p w14:paraId="71E21E70"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 xml:space="preserve">Projekt č. 1 – počet odpracovaných hodín = 300 .... pomerná časť = 300/800*100=37,5% </w:t>
            </w:r>
          </w:p>
          <w:p w14:paraId="0AB691E5"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u w:val="thick"/>
              </w:rPr>
              <w:t>Projekt č. 2 – počet odpracovaných hodín = 500</w:t>
            </w:r>
            <w:r w:rsidRPr="0003730B">
              <w:rPr>
                <w:color w:val="002060"/>
                <w:sz w:val="20"/>
                <w:szCs w:val="20"/>
              </w:rPr>
              <w:t xml:space="preserve"> .... pomerná časť = 500/800*100=62,5%</w:t>
            </w:r>
          </w:p>
          <w:p w14:paraId="1907C48D"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Ʃ odpracovaných hodín na projektoch       = 800</w:t>
            </w:r>
          </w:p>
        </w:tc>
      </w:tr>
    </w:tbl>
    <w:p w14:paraId="1DEF8796" w14:textId="77777777" w:rsidR="004B7756" w:rsidRDefault="004B7756" w:rsidP="008858BA">
      <w:pPr>
        <w:numPr>
          <w:ilvl w:val="0"/>
          <w:numId w:val="21"/>
        </w:numPr>
        <w:spacing w:before="120" w:line="240" w:lineRule="auto"/>
        <w:ind w:left="714" w:hanging="357"/>
        <w:jc w:val="both"/>
      </w:pPr>
      <w:r w:rsidRPr="00B5339F">
        <w:t>iným spôsobom.</w:t>
      </w:r>
    </w:p>
    <w:tbl>
      <w:tblPr>
        <w:tblpPr w:leftFromText="141" w:rightFromText="141"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B7756" w:rsidRPr="0003730B" w14:paraId="414C294A" w14:textId="77777777" w:rsidTr="00BD6F6A">
        <w:tc>
          <w:tcPr>
            <w:tcW w:w="9070" w:type="dxa"/>
            <w:shd w:val="clear" w:color="auto" w:fill="C6D9F1"/>
          </w:tcPr>
          <w:p w14:paraId="09313F0A" w14:textId="77777777" w:rsidR="004B7756" w:rsidRPr="0003730B" w:rsidRDefault="004B7756" w:rsidP="0003730B">
            <w:pPr>
              <w:spacing w:before="60" w:after="60" w:line="240" w:lineRule="auto"/>
              <w:jc w:val="both"/>
              <w:rPr>
                <w:color w:val="002060"/>
                <w:sz w:val="20"/>
                <w:szCs w:val="20"/>
              </w:rPr>
            </w:pPr>
            <w:r w:rsidRPr="0003730B">
              <w:rPr>
                <w:color w:val="002060"/>
                <w:sz w:val="20"/>
                <w:szCs w:val="20"/>
              </w:rPr>
              <w:t>V prípade, že prijímateľ využíva zariadenie/vybavenie okrem realizácie projektu aj na iné aktivity nesúvisiace s realizáciou projektu, oprávnené sú len pomerné výdavky na obstaranie zariadenia/vybavenia. Oprávnené výdavky sa v závislosti od účelu využívania objektu/zariadenia pre projekt a mimo projektu prepočítanú, napr. na podlahovú plochu, počet osôb, m</w:t>
            </w:r>
            <w:r w:rsidRPr="0003730B">
              <w:rPr>
                <w:color w:val="002060"/>
                <w:sz w:val="20"/>
                <w:szCs w:val="20"/>
                <w:vertAlign w:val="superscript"/>
              </w:rPr>
              <w:t>3.</w:t>
            </w:r>
            <w:r w:rsidRPr="0003730B">
              <w:rPr>
                <w:color w:val="002060"/>
                <w:sz w:val="20"/>
                <w:szCs w:val="20"/>
              </w:rPr>
              <w:t xml:space="preserve"> </w:t>
            </w:r>
          </w:p>
        </w:tc>
      </w:tr>
    </w:tbl>
    <w:p w14:paraId="183278DF" w14:textId="77777777" w:rsidR="002F51AD" w:rsidRPr="005C05CC" w:rsidRDefault="002F51AD" w:rsidP="00151681">
      <w:pPr>
        <w:pStyle w:val="Nadpis2"/>
        <w:spacing w:after="120" w:line="240" w:lineRule="auto"/>
      </w:pPr>
      <w:bookmarkStart w:id="84" w:name="page34"/>
      <w:bookmarkStart w:id="85" w:name="page35"/>
      <w:bookmarkStart w:id="86" w:name="_Toc505197994"/>
      <w:bookmarkStart w:id="87" w:name="_Toc56090033"/>
      <w:bookmarkStart w:id="88" w:name="_Toc476655631"/>
      <w:bookmarkEnd w:id="84"/>
      <w:bookmarkEnd w:id="85"/>
      <w:r w:rsidRPr="007B5EB3">
        <w:rPr>
          <w:rFonts w:asciiTheme="minorHAnsi" w:hAnsiTheme="minorHAnsi"/>
        </w:rPr>
        <w:lastRenderedPageBreak/>
        <w:t>4.</w:t>
      </w:r>
      <w:r w:rsidR="007B5EB3" w:rsidRPr="007B5EB3">
        <w:rPr>
          <w:rFonts w:asciiTheme="minorHAnsi" w:hAnsiTheme="minorHAnsi"/>
        </w:rPr>
        <w:t>6</w:t>
      </w:r>
      <w:r w:rsidRPr="007B5EB3">
        <w:rPr>
          <w:rFonts w:asciiTheme="minorHAnsi" w:hAnsiTheme="minorHAnsi"/>
        </w:rPr>
        <w:t xml:space="preserve"> Ostatné výdavky – externé služby (outsourcing)</w:t>
      </w:r>
      <w:bookmarkEnd w:id="86"/>
      <w:bookmarkEnd w:id="87"/>
      <w:r w:rsidRPr="005C05CC">
        <w:t xml:space="preserve"> </w:t>
      </w:r>
    </w:p>
    <w:p w14:paraId="6353BE0E" w14:textId="77777777" w:rsidR="002F51AD" w:rsidRDefault="002F51AD" w:rsidP="00151681">
      <w:pPr>
        <w:spacing w:before="120" w:line="240" w:lineRule="auto"/>
        <w:jc w:val="both"/>
      </w:pPr>
      <w:r>
        <w:t xml:space="preserve">Externé služby zahŕňajú rôzne položky podľa typu projektu, ku ktorému sa viažu. Vybrané služby musia prispievať k dosahovaniu cieľov projektu a byť pre jeho realizáciu nevyhnutné. Pri obstarávaní služieb dodávateľov je prijímateľ povinný postupovať v súlade so </w:t>
      </w:r>
      <w:r w:rsidR="005005DA">
        <w:t>ZVO</w:t>
      </w:r>
      <w:r>
        <w:t xml:space="preserve"> a pokynmi uvedenými </w:t>
      </w:r>
      <w:r w:rsidR="00E45A11">
        <w:t xml:space="preserve">v príručke k procesu verejného obstarávania. </w:t>
      </w:r>
    </w:p>
    <w:p w14:paraId="1EAEFE06" w14:textId="77777777" w:rsidR="002F51AD" w:rsidRDefault="002F51AD" w:rsidP="00151681">
      <w:pPr>
        <w:spacing w:before="120" w:line="240" w:lineRule="auto"/>
        <w:jc w:val="both"/>
      </w:pPr>
      <w:r>
        <w:t xml:space="preserve">Prijímateľ môže využívať služby dodávateľov v tých prípadoch a pre tie činnosti, kedy nie je možné alebo efektívne tieto služby/činnosti zabezpečiť vlastnými kapacitami. Podmienkou zostáva, že tieto služby musia byť preukázateľne nevyhnutné pre realizáciu projektu. </w:t>
      </w:r>
    </w:p>
    <w:p w14:paraId="3A53E4FA" w14:textId="77777777" w:rsidR="008E6E8B" w:rsidRDefault="002F51AD" w:rsidP="0003730B">
      <w:pPr>
        <w:spacing w:after="60" w:line="240" w:lineRule="auto"/>
        <w:jc w:val="both"/>
      </w:pPr>
      <w:r w:rsidRPr="002F51AD">
        <w:t xml:space="preserve">Medzi </w:t>
      </w:r>
      <w:r w:rsidRPr="002F51AD">
        <w:rPr>
          <w:b/>
          <w:bCs/>
        </w:rPr>
        <w:t>najčastejšie typy externých služieb</w:t>
      </w:r>
      <w:r w:rsidR="005517DE">
        <w:rPr>
          <w:rStyle w:val="Odkaznapoznmkupodiarou"/>
          <w:b/>
          <w:bCs/>
        </w:rPr>
        <w:footnoteReference w:id="35"/>
      </w:r>
      <w:r w:rsidRPr="002F51AD">
        <w:t>, ktoré je možné zaradiť pod oprávnené výdavky patria nasledovné:</w:t>
      </w:r>
    </w:p>
    <w:p w14:paraId="3F841885" w14:textId="77777777" w:rsidR="005517DE" w:rsidRDefault="005517DE" w:rsidP="008858BA">
      <w:pPr>
        <w:pStyle w:val="Odsekzoznamu"/>
        <w:numPr>
          <w:ilvl w:val="0"/>
          <w:numId w:val="26"/>
        </w:numPr>
        <w:spacing w:after="60" w:line="240" w:lineRule="auto"/>
        <w:ind w:left="426"/>
        <w:jc w:val="both"/>
      </w:pPr>
      <w:r>
        <w:t xml:space="preserve">odborné služby/štúdie – zahŕňajú napr. výdavky na spracovanie štúdie (napr. štúdie realizovateľnosti), analýzy, zberu dát, zabezpečenie prekladov a tlmočenia a ďalších čiastkových činností potrebných pre realizáciu projektu; </w:t>
      </w:r>
    </w:p>
    <w:p w14:paraId="2D6651FA" w14:textId="3A0F2F79" w:rsidR="00BD6F6A" w:rsidRPr="00F3684C" w:rsidRDefault="005517DE" w:rsidP="008858BA">
      <w:pPr>
        <w:pStyle w:val="Odsekzoznamu"/>
        <w:numPr>
          <w:ilvl w:val="0"/>
          <w:numId w:val="26"/>
        </w:numPr>
        <w:spacing w:line="240" w:lineRule="auto"/>
        <w:ind w:left="425" w:hanging="357"/>
        <w:jc w:val="both"/>
        <w:rPr>
          <w:b/>
        </w:rPr>
      </w:pPr>
      <w:r>
        <w:t>iné výdavky – napríklad znalecké posudky a ďalšie vyššie nešpecifikované služby</w:t>
      </w:r>
      <w:r w:rsidR="005005DA">
        <w:t>,</w:t>
      </w:r>
      <w:r>
        <w:t xml:space="preserve"> ktoré priamo súvisia s realizáciou projektu a sú pre projekt nevyhnutné. </w:t>
      </w:r>
    </w:p>
    <w:p w14:paraId="4963A9A7" w14:textId="77777777" w:rsidR="00730792" w:rsidRPr="005C05CC" w:rsidRDefault="007511D1" w:rsidP="00151681">
      <w:pPr>
        <w:pStyle w:val="Nadpis2"/>
        <w:spacing w:after="120" w:line="240" w:lineRule="auto"/>
        <w:rPr>
          <w:rFonts w:asciiTheme="minorHAnsi" w:hAnsiTheme="minorHAnsi"/>
        </w:rPr>
      </w:pPr>
      <w:bookmarkStart w:id="89" w:name="_Toc476655630"/>
      <w:bookmarkStart w:id="90" w:name="_Toc505197996"/>
      <w:bookmarkStart w:id="91" w:name="_Toc56090034"/>
      <w:r>
        <w:rPr>
          <w:rFonts w:asciiTheme="minorHAnsi" w:hAnsiTheme="minorHAnsi"/>
        </w:rPr>
        <w:t>4.7</w:t>
      </w:r>
      <w:r w:rsidR="00730792" w:rsidRPr="005C05CC">
        <w:rPr>
          <w:rFonts w:asciiTheme="minorHAnsi" w:hAnsiTheme="minorHAnsi"/>
        </w:rPr>
        <w:t xml:space="preserve"> Daň z pridanej hodnoty a iné dane</w:t>
      </w:r>
      <w:bookmarkEnd w:id="89"/>
      <w:bookmarkEnd w:id="90"/>
      <w:bookmarkEnd w:id="91"/>
    </w:p>
    <w:p w14:paraId="0F70509A" w14:textId="77777777" w:rsidR="00730792" w:rsidRPr="00B5339F" w:rsidRDefault="00730792" w:rsidP="00151681">
      <w:pPr>
        <w:spacing w:before="120" w:line="240" w:lineRule="auto"/>
        <w:jc w:val="both"/>
      </w:pPr>
      <w:r w:rsidRPr="00B5339F">
        <w:t xml:space="preserve">V zmysle čl. 69 všeobecného nariadenia je daň z pridanej hodnoty (ďalej aj „DPH“) neoprávneným výdavkom, avšak postup zdaňovania daňou z pridanej hodnoty umožňuje, aby DPH za určitých okolností bola oprávneným výdavkom. </w:t>
      </w:r>
      <w:r w:rsidRPr="00496371">
        <w:rPr>
          <w:b/>
        </w:rPr>
        <w:t>DPH nie je oprávneným výdavkom v prípade, že prijímateľ má nárok na jej odpočet na vstupe</w:t>
      </w:r>
      <w:r w:rsidRPr="00B5339F">
        <w:t>. Nárok na odpočet je vymedzený zákonom o DPH.</w:t>
      </w:r>
    </w:p>
    <w:p w14:paraId="62D0CAC2" w14:textId="77777777" w:rsidR="00730792" w:rsidRPr="00B5339F" w:rsidRDefault="00730792" w:rsidP="00151681">
      <w:pPr>
        <w:spacing w:before="120" w:line="240" w:lineRule="auto"/>
        <w:jc w:val="both"/>
      </w:pPr>
      <w:r w:rsidRPr="00B5339F">
        <w:t>Oprávnená DPH sa vzťahuje len k plneniam, ktoré sú považované za oprávnené. V prípade, ak je výdavok oprávnený iba čiastočne, daň z pridanej hodnoty vzťahujúca sa k tomuto výdavku je oprávneným výdavkom v rovnakom pomere.</w:t>
      </w:r>
    </w:p>
    <w:p w14:paraId="7EFF51C2" w14:textId="77777777" w:rsidR="00730792" w:rsidRPr="00B5339F" w:rsidRDefault="00730792" w:rsidP="00151681">
      <w:pPr>
        <w:spacing w:before="120" w:line="240" w:lineRule="auto"/>
        <w:jc w:val="both"/>
      </w:pPr>
      <w:r w:rsidRPr="00B5339F">
        <w:t>Akákoľvek činnosť vykonávaná počas realizácie projektu, resp. po jeho ukončení súvisiaca s</w:t>
      </w:r>
      <w:r w:rsidR="00AB67C9">
        <w:t> </w:t>
      </w:r>
      <w:r w:rsidRPr="00B5339F">
        <w:t>nadobudnutím/zhodnotením majetku z prostriedkov EŠIF, ktorá bude potenciálne generovať zdaniteľné príjmy zakladá prijímateľovi povinnosť odvádzať DPH, t.</w:t>
      </w:r>
      <w:r w:rsidR="00AB67C9">
        <w:t xml:space="preserve"> </w:t>
      </w:r>
      <w:r w:rsidRPr="00B5339F">
        <w:t>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p>
    <w:p w14:paraId="23F08527" w14:textId="77777777" w:rsidR="00730792" w:rsidRPr="00B5339F" w:rsidRDefault="00730792" w:rsidP="00151681">
      <w:pPr>
        <w:spacing w:before="120" w:line="240" w:lineRule="auto"/>
        <w:jc w:val="both"/>
      </w:pPr>
      <w:r w:rsidRPr="00496371">
        <w:rPr>
          <w:b/>
        </w:rPr>
        <w:t>Iné dane</w:t>
      </w:r>
      <w:r w:rsidRPr="00B5339F">
        <w:t xml:space="preserve"> sú vo všeobecnosti neoprávneným výdavkom. Za neoprávnené výdavky sú považované predovšetkým priame dane (daň z nehnuteľnosti, daň </w:t>
      </w:r>
      <w:r>
        <w:t xml:space="preserve">z motorových vozidiel a pod.). </w:t>
      </w:r>
    </w:p>
    <w:p w14:paraId="5D30DE71" w14:textId="77777777" w:rsidR="004B7756" w:rsidRPr="005C05CC" w:rsidRDefault="004B7756" w:rsidP="00151681">
      <w:pPr>
        <w:pStyle w:val="Nadpis2"/>
        <w:spacing w:after="120" w:line="240" w:lineRule="auto"/>
        <w:rPr>
          <w:rFonts w:asciiTheme="minorHAnsi" w:hAnsiTheme="minorHAnsi"/>
        </w:rPr>
      </w:pPr>
      <w:bookmarkStart w:id="92" w:name="_Toc505197997"/>
      <w:bookmarkStart w:id="93" w:name="_Toc56090035"/>
      <w:r w:rsidRPr="005C05CC">
        <w:rPr>
          <w:rFonts w:asciiTheme="minorHAnsi" w:hAnsiTheme="minorHAnsi"/>
        </w:rPr>
        <w:t>4.</w:t>
      </w:r>
      <w:r w:rsidR="007511D1">
        <w:rPr>
          <w:rFonts w:asciiTheme="minorHAnsi" w:hAnsiTheme="minorHAnsi"/>
        </w:rPr>
        <w:t>8</w:t>
      </w:r>
      <w:r w:rsidRPr="005C05CC">
        <w:rPr>
          <w:rFonts w:asciiTheme="minorHAnsi" w:hAnsiTheme="minorHAnsi"/>
        </w:rPr>
        <w:t xml:space="preserve"> Informovanie a komunikácia</w:t>
      </w:r>
      <w:bookmarkEnd w:id="88"/>
      <w:bookmarkEnd w:id="92"/>
      <w:bookmarkEnd w:id="93"/>
    </w:p>
    <w:p w14:paraId="36D27483" w14:textId="77777777" w:rsidR="004B7756" w:rsidRPr="00B5339F" w:rsidRDefault="004B7756" w:rsidP="00151681">
      <w:pPr>
        <w:spacing w:before="120" w:line="240" w:lineRule="auto"/>
        <w:jc w:val="both"/>
      </w:pPr>
      <w:r w:rsidRPr="00B5339F">
        <w:t>Ide o výdavky na zabezpečenie informovania a komunikácie o podpore získanej z EŠIF na</w:t>
      </w:r>
      <w:r w:rsidR="00AB67C9">
        <w:t> </w:t>
      </w:r>
      <w:r w:rsidRPr="00B5339F">
        <w:t xml:space="preserve">spolufinancovanie projektu. V prípade týchto výdavkov prijímateľ postupuje podľa </w:t>
      </w:r>
      <w:r w:rsidRPr="00496371">
        <w:rPr>
          <w:b/>
        </w:rPr>
        <w:t>Manuálu pre informovanie a komunikáciu</w:t>
      </w:r>
      <w:r w:rsidRPr="00B5339F">
        <w:t xml:space="preserve">, ktorý je prílohou č. 5 </w:t>
      </w:r>
      <w:r w:rsidR="00E77CAC">
        <w:t>m</w:t>
      </w:r>
      <w:r w:rsidRPr="00B5339F">
        <w:t>etodického pokynu CKO č. 16 pre informovanie a komunikáciu EŠIF</w:t>
      </w:r>
      <w:r>
        <w:rPr>
          <w:rStyle w:val="Odkaznapoznmkupodiarou"/>
        </w:rPr>
        <w:footnoteReference w:id="36"/>
      </w:r>
      <w:r w:rsidRPr="00B5339F">
        <w:t xml:space="preserve">, resp. podľa pokynov </w:t>
      </w:r>
      <w:r w:rsidR="00E77CAC">
        <w:t>SO pre</w:t>
      </w:r>
      <w:r w:rsidR="00E77CAC" w:rsidRPr="00B5339F">
        <w:t xml:space="preserve"> </w:t>
      </w:r>
      <w:r w:rsidRPr="00B5339F">
        <w:t xml:space="preserve">IROP. Pri ich obstarávaní žiadateľ/prijímateľ postupuje podľa </w:t>
      </w:r>
      <w:r w:rsidR="00E77CAC">
        <w:t>p</w:t>
      </w:r>
      <w:r w:rsidRPr="00B5339F">
        <w:t>ríručky pre žiadateľa</w:t>
      </w:r>
      <w:r w:rsidR="00E77CAC">
        <w:t xml:space="preserve">, resp. príručky pre </w:t>
      </w:r>
      <w:r w:rsidRPr="00B5339F">
        <w:t>prijímateľa – časť VO.</w:t>
      </w:r>
    </w:p>
    <w:p w14:paraId="42CC88CD" w14:textId="77777777" w:rsidR="004B7756" w:rsidRPr="00B5339F" w:rsidRDefault="004B7756" w:rsidP="00151681">
      <w:pPr>
        <w:spacing w:before="120" w:line="240" w:lineRule="auto"/>
        <w:jc w:val="both"/>
      </w:pPr>
      <w:r w:rsidRPr="00B5339F">
        <w:t xml:space="preserve">Výdavky na informovanie a komunikáciu tvoria </w:t>
      </w:r>
      <w:r w:rsidRPr="00496371">
        <w:rPr>
          <w:b/>
        </w:rPr>
        <w:t>dočasné pútače značnej veľkosti</w:t>
      </w:r>
      <w:r w:rsidRPr="00B5339F">
        <w:t xml:space="preserve"> (ďalej aj „dočasné pútače“), </w:t>
      </w:r>
      <w:r w:rsidRPr="00496371">
        <w:rPr>
          <w:b/>
        </w:rPr>
        <w:t>stále (pamätné) tabule alebo pútače značnej veľkosti</w:t>
      </w:r>
      <w:r w:rsidRPr="00B5339F">
        <w:t xml:space="preserve"> (ďalej aj „stále tabule“), </w:t>
      </w:r>
      <w:r w:rsidR="00837107" w:rsidRPr="00837107">
        <w:rPr>
          <w:b/>
        </w:rPr>
        <w:t>ale nie</w:t>
      </w:r>
      <w:r w:rsidR="00837107">
        <w:t xml:space="preserve"> </w:t>
      </w:r>
      <w:r w:rsidRPr="00496371">
        <w:rPr>
          <w:b/>
        </w:rPr>
        <w:t xml:space="preserve">plagáty </w:t>
      </w:r>
      <w:r w:rsidRPr="00496371">
        <w:rPr>
          <w:b/>
        </w:rPr>
        <w:lastRenderedPageBreak/>
        <w:t>a</w:t>
      </w:r>
      <w:r w:rsidR="00837107">
        <w:rPr>
          <w:b/>
        </w:rPr>
        <w:t> </w:t>
      </w:r>
      <w:r w:rsidRPr="00496371">
        <w:rPr>
          <w:b/>
        </w:rPr>
        <w:t>drobné propagačné predmety</w:t>
      </w:r>
      <w:r w:rsidRPr="00B5339F">
        <w:t xml:space="preserve"> – ich technické vlastnosti a spôsob použitia sú uvedené v</w:t>
      </w:r>
      <w:r w:rsidR="00BF250D">
        <w:t> </w:t>
      </w:r>
      <w:r w:rsidRPr="00B5339F">
        <w:t>Manuáli pre informovanie a komunikáciu.</w:t>
      </w:r>
    </w:p>
    <w:p w14:paraId="3BA8F7B1" w14:textId="77777777" w:rsidR="004B7756" w:rsidRPr="00B5339F" w:rsidRDefault="004B7756" w:rsidP="00151681">
      <w:pPr>
        <w:spacing w:before="120" w:line="240" w:lineRule="auto"/>
        <w:jc w:val="both"/>
      </w:pPr>
      <w:r w:rsidRPr="00496371">
        <w:rPr>
          <w:u w:val="single"/>
        </w:rPr>
        <w:t>Dočasné pútače, stále tabule a plagáty sú v závislosti od charakteru a veľkosti projektu povinnými nástrojmi informovania a komunikácie bez ohľadu na to, či sú/</w:t>
      </w:r>
      <w:r>
        <w:rPr>
          <w:u w:val="single"/>
        </w:rPr>
        <w:t>nie sú financované z projektu</w:t>
      </w:r>
      <w:r>
        <w:rPr>
          <w:rStyle w:val="Odkaznapoznmkupodiarou"/>
          <w:u w:val="single"/>
        </w:rPr>
        <w:footnoteReference w:id="37"/>
      </w:r>
      <w:r w:rsidRPr="00B5339F">
        <w:t>. Podrobnosti o použití jednotlivých nástrojov sú uvedené v Manuáli pre informovanie a komunikáciu.</w:t>
      </w:r>
    </w:p>
    <w:p w14:paraId="5C330542" w14:textId="77777777" w:rsidR="00AB67C9" w:rsidRPr="007511D1" w:rsidRDefault="00AB67C9" w:rsidP="0015168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40" w:lineRule="auto"/>
        <w:jc w:val="both"/>
        <w:rPr>
          <w:b/>
        </w:rPr>
      </w:pPr>
      <w:r w:rsidRPr="007511D1">
        <w:rPr>
          <w:b/>
        </w:rPr>
        <w:t>Výdavky na publicitu projektu žiadateľ zaradí do podporných aktivít projektu a vykoná pre túto aktivitu samostatné obstarávanie</w:t>
      </w:r>
      <w:r w:rsidR="007511D1" w:rsidRPr="007511D1">
        <w:rPr>
          <w:b/>
        </w:rPr>
        <w:t>.</w:t>
      </w:r>
    </w:p>
    <w:p w14:paraId="2C5DAB84" w14:textId="77777777" w:rsidR="00AB67C9" w:rsidRDefault="00AB67C9" w:rsidP="00151681">
      <w:pPr>
        <w:spacing w:before="120" w:line="240" w:lineRule="auto"/>
        <w:jc w:val="both"/>
      </w:pPr>
      <w:r w:rsidRPr="007511D1">
        <w:t>Žiadateľ predloží ako podklad k ŽoNFP opis vecného a cenového rozsahu výdavkov na informovanie a publicitu,</w:t>
      </w:r>
      <w:r>
        <w:t xml:space="preserve"> spôsob obstarania a spôsob stanovenia ceny (napr. formou cenovej ponuky min. od troch dodávateľov alebo ceny min. z troch cenníkov resp. ponúk z internetu, alebo v prípade zrealizovaného verejného obstarávania zmluvou s dodávateľom alebo objednávkou). </w:t>
      </w:r>
    </w:p>
    <w:p w14:paraId="2C1B2945" w14:textId="77777777" w:rsidR="004B7756" w:rsidRPr="00B5339F" w:rsidRDefault="004B7756" w:rsidP="00151681">
      <w:pPr>
        <w:pStyle w:val="Nadpis1"/>
        <w:spacing w:before="120" w:after="120" w:line="240" w:lineRule="auto"/>
      </w:pPr>
      <w:bookmarkStart w:id="94" w:name="page37"/>
      <w:bookmarkEnd w:id="94"/>
      <w:r w:rsidRPr="00BD6F6A">
        <w:rPr>
          <w:strike/>
        </w:rPr>
        <w:br w:type="page"/>
      </w:r>
      <w:bookmarkStart w:id="95" w:name="_Toc476655633"/>
      <w:bookmarkStart w:id="96" w:name="_Toc505197999"/>
      <w:bookmarkStart w:id="97" w:name="_Toc56090036"/>
      <w:r>
        <w:lastRenderedPageBreak/>
        <w:t>5 HOSPODÁRNOSŤ VÝDAVKOV</w:t>
      </w:r>
      <w:bookmarkEnd w:id="95"/>
      <w:bookmarkEnd w:id="96"/>
      <w:bookmarkEnd w:id="97"/>
    </w:p>
    <w:p w14:paraId="290B0E90" w14:textId="77777777" w:rsidR="004B7756" w:rsidRPr="00B5339F" w:rsidRDefault="004B7756" w:rsidP="00151681">
      <w:pPr>
        <w:spacing w:before="120" w:line="240" w:lineRule="auto"/>
        <w:jc w:val="both"/>
      </w:pPr>
      <w:r w:rsidRPr="00367208">
        <w:rPr>
          <w:b/>
        </w:rPr>
        <w:t>Hospodárnosť</w:t>
      </w:r>
      <w:r w:rsidRPr="00B5339F">
        <w:t xml:space="preserve"> - vynaloženie verejných financií na vykonanie činností alebo obstaranie tovarov, prác a</w:t>
      </w:r>
      <w:r w:rsidR="00391AA9">
        <w:t> </w:t>
      </w:r>
      <w:r w:rsidRPr="00B5339F">
        <w:t>služieb v správnom čase, vo vhodnom množstve a kvalite za najlepšiu cenu.</w:t>
      </w:r>
    </w:p>
    <w:p w14:paraId="283A83A1" w14:textId="77777777" w:rsidR="00F120A9" w:rsidRPr="00B5339F" w:rsidRDefault="004B7756" w:rsidP="00151681">
      <w:pPr>
        <w:spacing w:before="120" w:line="240" w:lineRule="auto"/>
        <w:jc w:val="both"/>
      </w:pPr>
      <w:r w:rsidRPr="00B5339F">
        <w:t xml:space="preserve">Žiadateľ/prijímateľ je povinný pri používaní verejných prostriedkov, ktorým je aj NFP, zachovávať zásadu hospodárnosti, a preto bude SO </w:t>
      </w:r>
      <w:r w:rsidR="00EA6F28">
        <w:t xml:space="preserve">pre IROP </w:t>
      </w:r>
      <w:r w:rsidRPr="00B5339F">
        <w:t>v jednotlivých oblastiach implementácie projektu posudzovať, či navrhnuté výdavky projektu s</w:t>
      </w:r>
      <w:r>
        <w:t>pĺňajú podmienku hospodárnosti</w:t>
      </w:r>
      <w:r>
        <w:rPr>
          <w:rStyle w:val="Odkaznapoznmkupodiarou"/>
        </w:rPr>
        <w:footnoteReference w:id="38"/>
      </w:r>
      <w:r w:rsidRPr="00B5339F">
        <w:t xml:space="preserve"> a či zodpovedajú obvyklým cenám v danom mieste a čase.</w:t>
      </w:r>
    </w:p>
    <w:p w14:paraId="767148FB" w14:textId="77777777" w:rsidR="001332D6" w:rsidRDefault="004B7756" w:rsidP="00151681">
      <w:pPr>
        <w:spacing w:before="120" w:line="240" w:lineRule="auto"/>
        <w:jc w:val="both"/>
      </w:pPr>
      <w:r w:rsidRPr="00B5339F">
        <w:t>Východiskom pre posudzovanie oprávnenosti výdavkov projektov IROP z pohľadu ich hospodárnosti je</w:t>
      </w:r>
      <w:r>
        <w:t xml:space="preserve"> </w:t>
      </w:r>
      <w:r w:rsidR="003C211D">
        <w:rPr>
          <w:b/>
        </w:rPr>
        <w:t>m</w:t>
      </w:r>
      <w:r w:rsidRPr="00367208">
        <w:rPr>
          <w:b/>
        </w:rPr>
        <w:t>etodický pokyn CKO č. 18</w:t>
      </w:r>
      <w:r w:rsidR="003C211D">
        <w:rPr>
          <w:b/>
        </w:rPr>
        <w:t xml:space="preserve">, </w:t>
      </w:r>
      <w:r w:rsidRPr="00B5339F">
        <w:t>ktorý formuluje základné pravidlá a postupy pre proces posudzovania zásady hospodárnosti výdavkov projektu, resp. ŽoNFP</w:t>
      </w:r>
      <w:r w:rsidR="001332D6">
        <w:t xml:space="preserve">. </w:t>
      </w:r>
    </w:p>
    <w:p w14:paraId="77833542" w14:textId="657E587D" w:rsidR="004B7756" w:rsidRPr="00B5339F" w:rsidRDefault="004B7756" w:rsidP="00151681">
      <w:pPr>
        <w:spacing w:before="120" w:line="240" w:lineRule="auto"/>
        <w:jc w:val="both"/>
      </w:pPr>
      <w:r w:rsidRPr="00B5339F">
        <w:t>Nastavenie podmienok vzťahujúcich sa na hospodárnosť výdavkov projektov IROP vychádza zo snahy zabezpečiť efektívny spôsob preukazovania (zo strany žiadateľa/prijímateľa) a overovania (zo strany SO</w:t>
      </w:r>
      <w:r w:rsidR="00EA6F28">
        <w:t xml:space="preserve"> pre IROP</w:t>
      </w:r>
      <w:r w:rsidRPr="00B5339F">
        <w:t>) hospodárnosti výdavkov projektu</w:t>
      </w:r>
      <w:r w:rsidR="00BF38E1">
        <w:t xml:space="preserve"> s</w:t>
      </w:r>
      <w:r w:rsidRPr="00B5339F">
        <w:t xml:space="preserve"> dôrazom na dodržiavanie zásady ,,hodnota za peniaze/value for money“.</w:t>
      </w:r>
    </w:p>
    <w:p w14:paraId="389A2ECA" w14:textId="4FE2D569" w:rsidR="00BF38E1" w:rsidRDefault="004B7756" w:rsidP="00A640AC">
      <w:pPr>
        <w:spacing w:after="60" w:line="240" w:lineRule="auto"/>
        <w:jc w:val="both"/>
      </w:pPr>
      <w:r w:rsidRPr="00B5339F">
        <w:t xml:space="preserve">SO </w:t>
      </w:r>
      <w:r w:rsidR="00EA6F28">
        <w:t xml:space="preserve">pre IROP </w:t>
      </w:r>
      <w:r w:rsidRPr="00B5339F">
        <w:t xml:space="preserve">bude posudzovať </w:t>
      </w:r>
      <w:r w:rsidR="00066B94">
        <w:t xml:space="preserve">hospodárnosť </w:t>
      </w:r>
      <w:r w:rsidRPr="00B5339F">
        <w:t xml:space="preserve">výdavkov projektu (ŽoNFP) </w:t>
      </w:r>
      <w:r w:rsidR="00BF38E1">
        <w:t xml:space="preserve"> </w:t>
      </w:r>
      <w:r w:rsidR="008623A4">
        <w:t>s ohľadom na mimoriadnu situáciu v súvislosti s pandémiou koronavírusu spôsobujúceho ochorenie COVID-19</w:t>
      </w:r>
      <w:r w:rsidR="00066B94">
        <w:t>, ktorá vyvolala obrovský nárast dopytu po podob</w:t>
      </w:r>
      <w:r w:rsidR="00BF38E1">
        <w:t>nom</w:t>
      </w:r>
      <w:r w:rsidR="006A023B">
        <w:t>/rovnakom</w:t>
      </w:r>
      <w:r w:rsidR="00BF38E1">
        <w:t xml:space="preserve"> tovare a službách, čím dochádzalo k narušeniu určitých dodávateľských reťazcov a tým aj k úprave cien v neprospech verejného obstarávateľa. </w:t>
      </w:r>
    </w:p>
    <w:p w14:paraId="7F9F16F0" w14:textId="35A08D81" w:rsidR="004B7756" w:rsidRPr="00B5339F" w:rsidRDefault="00025AB0" w:rsidP="00A640AC">
      <w:pPr>
        <w:spacing w:after="60" w:line="240" w:lineRule="auto"/>
        <w:jc w:val="both"/>
      </w:pPr>
      <w:r>
        <w:t xml:space="preserve">Posudzovanie </w:t>
      </w:r>
      <w:r w:rsidR="004B7756" w:rsidRPr="00B5339F">
        <w:t xml:space="preserve">hospodárnosti </w:t>
      </w:r>
      <w:r>
        <w:t xml:space="preserve">sa vykonáva v </w:t>
      </w:r>
      <w:r w:rsidR="004B7756" w:rsidRPr="00B5339F">
        <w:t>nasledujúcich procesných fázach implementácie:</w:t>
      </w:r>
    </w:p>
    <w:p w14:paraId="15400008" w14:textId="6F1F083B" w:rsidR="004B7756" w:rsidRPr="00B5339F" w:rsidRDefault="004B7756" w:rsidP="008858BA">
      <w:pPr>
        <w:numPr>
          <w:ilvl w:val="0"/>
          <w:numId w:val="22"/>
        </w:numPr>
        <w:spacing w:after="60" w:line="240" w:lineRule="auto"/>
        <w:jc w:val="both"/>
      </w:pPr>
      <w:r w:rsidRPr="00B5339F">
        <w:t>konanie o</w:t>
      </w:r>
      <w:r w:rsidR="00F44440">
        <w:t xml:space="preserve"> </w:t>
      </w:r>
      <w:r w:rsidRPr="00B5339F">
        <w:t>ŽoNFP</w:t>
      </w:r>
      <w:r w:rsidR="003C211D">
        <w:t>,</w:t>
      </w:r>
      <w:r w:rsidRPr="00B5339F">
        <w:t xml:space="preserve"> </w:t>
      </w:r>
    </w:p>
    <w:p w14:paraId="534DFCB6" w14:textId="77777777" w:rsidR="0073319C" w:rsidRDefault="003C211D" w:rsidP="008858BA">
      <w:pPr>
        <w:numPr>
          <w:ilvl w:val="0"/>
          <w:numId w:val="22"/>
        </w:numPr>
        <w:spacing w:after="60" w:line="240" w:lineRule="auto"/>
        <w:jc w:val="both"/>
      </w:pPr>
      <w:r>
        <w:t>VO</w:t>
      </w:r>
      <w:r w:rsidR="004B7756" w:rsidRPr="00B5339F">
        <w:t xml:space="preserve"> a obstarávanie nespadajúce pod pravidlá </w:t>
      </w:r>
      <w:r>
        <w:t>VO,</w:t>
      </w:r>
      <w:r w:rsidR="0073319C" w:rsidRPr="0073319C">
        <w:t xml:space="preserve"> </w:t>
      </w:r>
    </w:p>
    <w:p w14:paraId="71E4A8BB" w14:textId="77777777" w:rsidR="00F120A9" w:rsidRDefault="0073319C" w:rsidP="008858BA">
      <w:pPr>
        <w:numPr>
          <w:ilvl w:val="0"/>
          <w:numId w:val="22"/>
        </w:numPr>
        <w:spacing w:line="240" w:lineRule="auto"/>
        <w:ind w:left="714" w:hanging="357"/>
        <w:jc w:val="both"/>
      </w:pPr>
      <w:r w:rsidRPr="00B5339F">
        <w:t>realizácia projektu</w:t>
      </w:r>
      <w:r>
        <w:t xml:space="preserve">. </w:t>
      </w:r>
    </w:p>
    <w:p w14:paraId="6C2A0D3C" w14:textId="73B22894" w:rsidR="004B7756" w:rsidRDefault="004B7756" w:rsidP="00151681">
      <w:pPr>
        <w:spacing w:before="120" w:line="240" w:lineRule="auto"/>
        <w:jc w:val="both"/>
      </w:pPr>
      <w:r w:rsidRPr="00B5339F">
        <w:t>Každá z vyššie uvedených procesných fáz má špecifické zameranie, rozsah, účel a časové začlenenie do implementačného procesu. Z uvedeného vyplýva, že aj rozsah a zameranie posúdenia zásady hospodárnosti je pre jednotlivé fázy diferencované.</w:t>
      </w:r>
    </w:p>
    <w:p w14:paraId="60DD4B55" w14:textId="0E62F4CE" w:rsidR="003D3371" w:rsidRDefault="004B7756" w:rsidP="003D3371">
      <w:pPr>
        <w:spacing w:before="120" w:line="240" w:lineRule="auto"/>
        <w:jc w:val="both"/>
      </w:pPr>
      <w:r w:rsidRPr="00B5339F">
        <w:t xml:space="preserve">Žiadateľ/prijímateľ v zmysle osobitných predpisov pri používaní verejných prostriedkov, ktorým je aj </w:t>
      </w:r>
      <w:r w:rsidR="003C211D">
        <w:t>NFP</w:t>
      </w:r>
      <w:r w:rsidRPr="00B5339F">
        <w:t xml:space="preserve">, </w:t>
      </w:r>
      <w:r>
        <w:t>zachováva zásadu hospodárnosti</w:t>
      </w:r>
      <w:r>
        <w:rPr>
          <w:rStyle w:val="Odkaznapoznmkupodiarou"/>
        </w:rPr>
        <w:footnoteReference w:id="39"/>
      </w:r>
      <w:r w:rsidR="00685CCD">
        <w:t xml:space="preserve"> </w:t>
      </w:r>
      <w:r w:rsidR="008623A4">
        <w:t>v danom čase a</w:t>
      </w:r>
      <w:r w:rsidR="00F44440">
        <w:t> </w:t>
      </w:r>
      <w:r w:rsidR="008623A4">
        <w:t>priestore</w:t>
      </w:r>
      <w:r w:rsidR="00F44440">
        <w:t xml:space="preserve">, pričom poskytovateľ v každej fáze implementácie </w:t>
      </w:r>
      <w:r w:rsidR="00FD1515">
        <w:t xml:space="preserve">pri posudzovaní hospodárnosti a účelnosti </w:t>
      </w:r>
      <w:r w:rsidR="00F44440">
        <w:t xml:space="preserve">zohľadňuje obdobie vzniku výdavku nadväzne na vzniknutú </w:t>
      </w:r>
      <w:r w:rsidR="004E54DB">
        <w:t>mimoriadn</w:t>
      </w:r>
      <w:r w:rsidR="00F44440">
        <w:t>u</w:t>
      </w:r>
      <w:r w:rsidR="008623A4">
        <w:t xml:space="preserve"> situáci</w:t>
      </w:r>
      <w:r w:rsidR="00F44440">
        <w:t>u</w:t>
      </w:r>
      <w:r w:rsidR="00FD1515">
        <w:t xml:space="preserve"> vyvolanú pandémiou COVID-19</w:t>
      </w:r>
      <w:r w:rsidRPr="00B5339F">
        <w:t xml:space="preserve">. Žiadateľ/prijímateľ sa nezbavuje výlučnej a konečnej zodpovednosti za dodržanie zásady hospodárnosti úkonom SO </w:t>
      </w:r>
      <w:r w:rsidR="00EA6F28">
        <w:t xml:space="preserve">pre IROP </w:t>
      </w:r>
      <w:r w:rsidRPr="00B5339F">
        <w:t xml:space="preserve">uskutočneným v rámci jednej z vyššie uvedených procesných fáz implementácie, ktorým neidentifikoval porušenie zásady hospodárnosti. SO </w:t>
      </w:r>
      <w:r w:rsidR="00EA6F28">
        <w:t xml:space="preserve">pre IROP </w:t>
      </w:r>
      <w:r w:rsidRPr="00B5339F">
        <w:t xml:space="preserve">je oprávnený aj na základe nových, resp. opakovaných úkonov (najmä v prípadoch, ak SO </w:t>
      </w:r>
      <w:r w:rsidR="00EA6F28">
        <w:t xml:space="preserve">pre IROP </w:t>
      </w:r>
      <w:r w:rsidRPr="00B5339F">
        <w:t>identifikuje nové skutočnosti, ktoré neboli posúdené v čase pôvodnej kontroly hospodárnosti alebo v prípadoch dodatočného uistenia sa o správnosti výsledku pôvodnej kontroly hospodárnosti) uskutočnených v rámci jednej z vyššie uvedených procesných fáz implementácie uplatniť voči prijímateľovi sankcie za nedodržanie zásady hospodárnosti.</w:t>
      </w:r>
      <w:r w:rsidR="003D3371" w:rsidRPr="003D3371">
        <w:t xml:space="preserve"> </w:t>
      </w:r>
    </w:p>
    <w:p w14:paraId="467D8AA5" w14:textId="5325970B" w:rsidR="003D3371" w:rsidRDefault="003D3371" w:rsidP="003D3371">
      <w:pPr>
        <w:spacing w:before="120" w:line="240" w:lineRule="auto"/>
        <w:jc w:val="both"/>
      </w:pPr>
      <w:r>
        <w:t xml:space="preserve">Rozpočet projektu je považovaný za hospodárny v prípade, ak jednotlivé výdavky majú byť/sú získané v zodpovedajúcej kvalite za najnižšiu cenu na základe použitia pomocných nástrojov na určovanie hospodárnosti uvedené v týchto pravidlách. Pri overovaní hospodárnosti verejného obstarávania sa posudzuje, či vstupy na realizáciu projektu boli získané v zodpovedajúcej kvalite za najnižšiu cenu. </w:t>
      </w:r>
    </w:p>
    <w:p w14:paraId="244AA804" w14:textId="20DC1AF2" w:rsidR="004B7756" w:rsidRPr="00B5339F" w:rsidRDefault="004B7756" w:rsidP="00151681">
      <w:pPr>
        <w:spacing w:before="120" w:line="240" w:lineRule="auto"/>
        <w:jc w:val="both"/>
      </w:pPr>
    </w:p>
    <w:p w14:paraId="1DAC3303" w14:textId="50C68D8A" w:rsidR="003D3371" w:rsidRPr="003D3371" w:rsidRDefault="003D3371" w:rsidP="00A640AC">
      <w:pPr>
        <w:spacing w:after="60" w:line="240" w:lineRule="auto"/>
        <w:jc w:val="both"/>
        <w:rPr>
          <w:b/>
        </w:rPr>
      </w:pPr>
      <w:r w:rsidRPr="003D3371">
        <w:rPr>
          <w:b/>
        </w:rPr>
        <w:lastRenderedPageBreak/>
        <w:t>Pomocné nástroje na preukázanie hospodárnosti projektu</w:t>
      </w:r>
    </w:p>
    <w:p w14:paraId="5F1C669C" w14:textId="7413262B" w:rsidR="004B7756" w:rsidRPr="00B5339F" w:rsidRDefault="004B7756" w:rsidP="00A640AC">
      <w:pPr>
        <w:spacing w:after="60" w:line="240" w:lineRule="auto"/>
        <w:jc w:val="both"/>
      </w:pPr>
      <w:r w:rsidRPr="00B5339F">
        <w:t xml:space="preserve">SO </w:t>
      </w:r>
      <w:r w:rsidR="00EA6F28">
        <w:t>pre IROP</w:t>
      </w:r>
      <w:r w:rsidRPr="00B5339F">
        <w:t xml:space="preserve"> pri posudzovaní hospodárnosti využíva tzv. </w:t>
      </w:r>
      <w:r w:rsidRPr="00367208">
        <w:rPr>
          <w:b/>
        </w:rPr>
        <w:t>pomocné nástroje</w:t>
      </w:r>
      <w:r w:rsidRPr="00B5339F">
        <w:t>. Pomocné nástroje predstavujú prostriedky, resp. opatrenia, ktoré pomáhajú získať primerané uistenie o tom, že výdavky na realizované projekty (resp. výdavky uvádzané v ŽoNFP) sú vynaložené hospodárne. Medzi pomocné nástroje používané v rámci implementácie IROP patria:</w:t>
      </w:r>
    </w:p>
    <w:p w14:paraId="5F99619C" w14:textId="77777777" w:rsidR="004B7756" w:rsidRPr="00B5339F" w:rsidRDefault="004B7756" w:rsidP="008858BA">
      <w:pPr>
        <w:numPr>
          <w:ilvl w:val="0"/>
          <w:numId w:val="23"/>
        </w:numPr>
        <w:spacing w:after="60" w:line="240" w:lineRule="auto"/>
        <w:ind w:left="714" w:hanging="357"/>
        <w:jc w:val="both"/>
      </w:pPr>
      <w:r w:rsidRPr="00B5339F">
        <w:t xml:space="preserve">finančné a percentuálne limity, </w:t>
      </w:r>
    </w:p>
    <w:p w14:paraId="1A428FF1" w14:textId="77777777" w:rsidR="004B7756" w:rsidRPr="00B5339F" w:rsidRDefault="004B7756" w:rsidP="008858BA">
      <w:pPr>
        <w:numPr>
          <w:ilvl w:val="0"/>
          <w:numId w:val="23"/>
        </w:numPr>
        <w:spacing w:after="60" w:line="240" w:lineRule="auto"/>
        <w:ind w:left="714" w:hanging="357"/>
        <w:jc w:val="both"/>
      </w:pPr>
      <w:r w:rsidRPr="00B5339F">
        <w:t xml:space="preserve">benchmarky, </w:t>
      </w:r>
    </w:p>
    <w:p w14:paraId="0698C41B" w14:textId="77777777" w:rsidR="004B7756" w:rsidRPr="00B5339F" w:rsidRDefault="004B7756" w:rsidP="008858BA">
      <w:pPr>
        <w:numPr>
          <w:ilvl w:val="0"/>
          <w:numId w:val="23"/>
        </w:numPr>
        <w:spacing w:after="60" w:line="240" w:lineRule="auto"/>
        <w:ind w:left="714" w:hanging="357"/>
        <w:jc w:val="both"/>
      </w:pPr>
      <w:r w:rsidRPr="00B5339F">
        <w:t xml:space="preserve">znalecký alebo odborný posudok, </w:t>
      </w:r>
    </w:p>
    <w:p w14:paraId="2DA7F216" w14:textId="77777777" w:rsidR="004B7756" w:rsidRPr="00B5339F" w:rsidRDefault="007D0F5B" w:rsidP="008858BA">
      <w:pPr>
        <w:numPr>
          <w:ilvl w:val="0"/>
          <w:numId w:val="23"/>
        </w:numPr>
        <w:spacing w:after="60" w:line="240" w:lineRule="auto"/>
        <w:ind w:left="714" w:hanging="357"/>
        <w:jc w:val="both"/>
      </w:pPr>
      <w:r>
        <w:t xml:space="preserve">začaté, resp. </w:t>
      </w:r>
      <w:r w:rsidR="004B7756" w:rsidRPr="00B5339F">
        <w:t xml:space="preserve">zrealizované verejné obstarávanie, </w:t>
      </w:r>
    </w:p>
    <w:p w14:paraId="1EFF0B43" w14:textId="77777777" w:rsidR="004B7756" w:rsidRPr="00B5339F" w:rsidRDefault="004B7756" w:rsidP="008858BA">
      <w:pPr>
        <w:numPr>
          <w:ilvl w:val="0"/>
          <w:numId w:val="23"/>
        </w:numPr>
        <w:spacing w:after="60" w:line="240" w:lineRule="auto"/>
        <w:ind w:left="714" w:hanging="357"/>
        <w:jc w:val="both"/>
      </w:pPr>
      <w:r w:rsidRPr="00B5339F">
        <w:t xml:space="preserve">prieskum trhu, </w:t>
      </w:r>
    </w:p>
    <w:p w14:paraId="395FD7F1" w14:textId="77777777" w:rsidR="004B7756" w:rsidRPr="00B5339F" w:rsidRDefault="004B7756" w:rsidP="008858BA">
      <w:pPr>
        <w:numPr>
          <w:ilvl w:val="0"/>
          <w:numId w:val="23"/>
        </w:numPr>
        <w:spacing w:after="60" w:line="240" w:lineRule="auto"/>
        <w:ind w:left="714" w:hanging="357"/>
        <w:jc w:val="both"/>
      </w:pPr>
      <w:r w:rsidRPr="00B5339F">
        <w:t xml:space="preserve">štátna expertíza, </w:t>
      </w:r>
    </w:p>
    <w:p w14:paraId="7CBEC983" w14:textId="09511E73" w:rsidR="009F4636" w:rsidRDefault="004B7756" w:rsidP="008858BA">
      <w:pPr>
        <w:numPr>
          <w:ilvl w:val="0"/>
          <w:numId w:val="23"/>
        </w:numPr>
        <w:spacing w:line="240" w:lineRule="auto"/>
        <w:ind w:left="714" w:hanging="357"/>
        <w:jc w:val="both"/>
      </w:pPr>
      <w:r w:rsidRPr="00B5339F">
        <w:t>podklady vypracované autorizovanou osobou</w:t>
      </w:r>
      <w:r w:rsidR="009F4636">
        <w:t>,</w:t>
      </w:r>
    </w:p>
    <w:p w14:paraId="2CEC00C8" w14:textId="3E44B25C" w:rsidR="004B7756" w:rsidRPr="00B5339F" w:rsidRDefault="009F4636" w:rsidP="008858BA">
      <w:pPr>
        <w:numPr>
          <w:ilvl w:val="0"/>
          <w:numId w:val="23"/>
        </w:numPr>
        <w:spacing w:line="240" w:lineRule="auto"/>
        <w:ind w:left="714" w:hanging="357"/>
        <w:jc w:val="both"/>
      </w:pPr>
      <w:r>
        <w:t>iné, napr. cenové mapy</w:t>
      </w:r>
      <w:r w:rsidR="004B7756" w:rsidRPr="00B5339F">
        <w:t xml:space="preserve"> </w:t>
      </w:r>
    </w:p>
    <w:p w14:paraId="74E6D663" w14:textId="1E91D2A0" w:rsidR="00F120A9" w:rsidRDefault="004B7756" w:rsidP="00151681">
      <w:pPr>
        <w:spacing w:before="120" w:line="240" w:lineRule="auto"/>
        <w:jc w:val="both"/>
      </w:pPr>
      <w:r w:rsidRPr="00B5339F">
        <w:t xml:space="preserve">SO </w:t>
      </w:r>
      <w:r w:rsidR="00EA6F28">
        <w:t xml:space="preserve">pre IROP </w:t>
      </w:r>
      <w:r w:rsidRPr="00B5339F">
        <w:t>je oprávnený sa pri posudzovaní hospodárnosti výdavkov spoliehať aj na odbornosť, skúsenosti a znalosti svojich zamestn</w:t>
      </w:r>
      <w:r>
        <w:t>ancov a odborných hodnotiteľov.</w:t>
      </w:r>
    </w:p>
    <w:p w14:paraId="5B4A04A3" w14:textId="77777777" w:rsidR="00685CCD" w:rsidRPr="004E4001" w:rsidRDefault="00685CCD" w:rsidP="00151681">
      <w:pPr>
        <w:spacing w:before="120" w:line="240" w:lineRule="auto"/>
        <w:jc w:val="both"/>
      </w:pPr>
    </w:p>
    <w:p w14:paraId="56BB9D15" w14:textId="77777777" w:rsidR="004B7756" w:rsidRPr="00A640AC" w:rsidRDefault="004B7756" w:rsidP="008858BA">
      <w:pPr>
        <w:pStyle w:val="Odsekzoznamu"/>
        <w:numPr>
          <w:ilvl w:val="0"/>
          <w:numId w:val="27"/>
        </w:numPr>
        <w:spacing w:before="120" w:line="240" w:lineRule="auto"/>
        <w:jc w:val="both"/>
        <w:rPr>
          <w:b/>
          <w:color w:val="002060"/>
        </w:rPr>
      </w:pPr>
      <w:r w:rsidRPr="00A640AC">
        <w:rPr>
          <w:b/>
          <w:color w:val="002060"/>
        </w:rPr>
        <w:t>Finančné a percentuálne limity</w:t>
      </w:r>
    </w:p>
    <w:p w14:paraId="7686180D" w14:textId="77777777" w:rsidR="004B7756" w:rsidRPr="00B5339F" w:rsidRDefault="004B7756" w:rsidP="00151681">
      <w:pPr>
        <w:spacing w:before="120" w:line="240" w:lineRule="auto"/>
        <w:jc w:val="both"/>
      </w:pPr>
      <w:r w:rsidRPr="00B5339F">
        <w:t xml:space="preserve">V prípade výdavkov/skupín výdavkov, pre ktoré sú stanovené finančné/percentuálne limity, sú výdavky oprávnené iba do výšky stanoveného limitu. Akékoľvek prekročenie stanovených limitov bude považované za </w:t>
      </w:r>
      <w:r w:rsidRPr="005605DA">
        <w:rPr>
          <w:b/>
          <w:u w:val="single"/>
        </w:rPr>
        <w:t>neoprávnené</w:t>
      </w:r>
      <w:r w:rsidRPr="00B5339F">
        <w:t>.</w:t>
      </w:r>
    </w:p>
    <w:p w14:paraId="11559A5E" w14:textId="77777777" w:rsidR="004B7756" w:rsidRPr="00B5339F" w:rsidRDefault="004B7756" w:rsidP="00A640AC">
      <w:pPr>
        <w:spacing w:after="60" w:line="240" w:lineRule="auto"/>
        <w:jc w:val="both"/>
      </w:pPr>
      <w:r w:rsidRPr="00B5339F">
        <w:t>Limitovanie oprávnenej výšky výdavkov sa používajú v nasledovných prípadoch:</w:t>
      </w:r>
    </w:p>
    <w:p w14:paraId="1C0FD481" w14:textId="03456A6E" w:rsidR="004B7756" w:rsidRPr="000A362A" w:rsidRDefault="004B7756" w:rsidP="008858BA">
      <w:pPr>
        <w:pStyle w:val="Default"/>
        <w:numPr>
          <w:ilvl w:val="0"/>
          <w:numId w:val="30"/>
        </w:numPr>
        <w:jc w:val="both"/>
        <w:rPr>
          <w:sz w:val="22"/>
          <w:szCs w:val="22"/>
        </w:rPr>
      </w:pPr>
      <w:r w:rsidRPr="000A362A">
        <w:rPr>
          <w:sz w:val="22"/>
          <w:szCs w:val="22"/>
        </w:rPr>
        <w:t xml:space="preserve">stanovenie </w:t>
      </w:r>
      <w:r w:rsidRPr="000A362A">
        <w:rPr>
          <w:b/>
          <w:sz w:val="22"/>
          <w:szCs w:val="22"/>
        </w:rPr>
        <w:t>finančných limitov na úrovni jednotkových výdavkov</w:t>
      </w:r>
      <w:r w:rsidRPr="000A362A">
        <w:rPr>
          <w:sz w:val="22"/>
          <w:szCs w:val="22"/>
        </w:rPr>
        <w:t xml:space="preserve"> (napr. finančný limit na dodanie a inštaláciu veľkoplošnej reklamnej tabule, </w:t>
      </w:r>
      <w:r w:rsidR="00FD1515">
        <w:rPr>
          <w:sz w:val="22"/>
          <w:szCs w:val="22"/>
        </w:rPr>
        <w:t xml:space="preserve">finančný limit na nákup osobných ochranných pracovných prostriedkov; </w:t>
      </w:r>
      <w:r w:rsidRPr="000A362A">
        <w:rPr>
          <w:sz w:val="22"/>
          <w:szCs w:val="22"/>
        </w:rPr>
        <w:t xml:space="preserve">atď.); </w:t>
      </w:r>
    </w:p>
    <w:p w14:paraId="26580FDD" w14:textId="77777777" w:rsidR="004B7756" w:rsidRPr="000A362A" w:rsidRDefault="004B7756" w:rsidP="008858BA">
      <w:pPr>
        <w:numPr>
          <w:ilvl w:val="0"/>
          <w:numId w:val="24"/>
        </w:numPr>
        <w:spacing w:line="240" w:lineRule="auto"/>
        <w:ind w:left="714" w:hanging="357"/>
        <w:jc w:val="both"/>
      </w:pPr>
      <w:r w:rsidRPr="000A362A">
        <w:t>stanovenie percentuálnych limitov pre skupinu výdavkov (napr. percentuálny limit na výšku nepriamych výdavkov projektu s ohľadom na priame výdavky projektu, na rezervu na</w:t>
      </w:r>
      <w:r w:rsidR="00391AA9" w:rsidRPr="000A362A">
        <w:t> </w:t>
      </w:r>
      <w:r w:rsidRPr="000A362A">
        <w:t>nepredvídané výdavky, atď.)</w:t>
      </w:r>
      <w:r w:rsidR="00BF523A" w:rsidRPr="000A362A">
        <w:t>.</w:t>
      </w:r>
      <w:r w:rsidRPr="000A362A">
        <w:rPr>
          <w:rStyle w:val="Odkaznapoznmkupodiarou"/>
        </w:rPr>
        <w:footnoteReference w:id="40"/>
      </w:r>
    </w:p>
    <w:p w14:paraId="5DFC9BE2" w14:textId="5D0B3E53" w:rsidR="00685CCD" w:rsidRDefault="004B7756" w:rsidP="00151681">
      <w:pPr>
        <w:spacing w:before="120" w:line="240" w:lineRule="auto"/>
        <w:jc w:val="both"/>
      </w:pPr>
      <w:r w:rsidRPr="006C145A">
        <w:rPr>
          <w:b/>
        </w:rPr>
        <w:t>Dodržaním stanoveného finančného limitu pre jednotkový výdavok sa tento považuje za</w:t>
      </w:r>
      <w:r w:rsidR="00391AA9">
        <w:rPr>
          <w:b/>
        </w:rPr>
        <w:t> </w:t>
      </w:r>
      <w:r w:rsidRPr="006C145A">
        <w:rPr>
          <w:b/>
        </w:rPr>
        <w:t>hospodárny.</w:t>
      </w:r>
      <w:r w:rsidRPr="00B5339F">
        <w:t xml:space="preserve"> Uvedené sa </w:t>
      </w:r>
      <w:r w:rsidRPr="006C145A">
        <w:rPr>
          <w:b/>
        </w:rPr>
        <w:t>nevzťahuje</w:t>
      </w:r>
      <w:r w:rsidRPr="00B5339F">
        <w:t xml:space="preserve"> na percentuálne limity stanovené pre jednotlivé skupiny výdavkov, ktorých primárnym cieľom je obmedzenie výšky (podielu) určitých špecifických typov/skupín výdavkov a nie pre</w:t>
      </w:r>
      <w:r w:rsidR="004E4001">
        <w:t>ukázanie hospodárnosti výdavku.</w:t>
      </w:r>
      <w:r w:rsidR="00685CCD">
        <w:t xml:space="preserve"> </w:t>
      </w:r>
    </w:p>
    <w:p w14:paraId="7395E7A5" w14:textId="77777777" w:rsidR="00685CCD" w:rsidRPr="00B5339F" w:rsidRDefault="00685CCD" w:rsidP="00151681">
      <w:pPr>
        <w:spacing w:before="120" w:line="240" w:lineRule="auto"/>
        <w:jc w:val="both"/>
      </w:pPr>
    </w:p>
    <w:p w14:paraId="18E8E90C" w14:textId="77777777" w:rsidR="004B7756" w:rsidRPr="00A640AC" w:rsidRDefault="004B7756" w:rsidP="008858BA">
      <w:pPr>
        <w:pStyle w:val="Odsekzoznamu"/>
        <w:numPr>
          <w:ilvl w:val="0"/>
          <w:numId w:val="27"/>
        </w:numPr>
        <w:spacing w:before="120" w:line="240" w:lineRule="auto"/>
        <w:jc w:val="both"/>
        <w:rPr>
          <w:b/>
          <w:color w:val="002060"/>
        </w:rPr>
      </w:pPr>
      <w:r w:rsidRPr="00A640AC">
        <w:rPr>
          <w:b/>
          <w:color w:val="002060"/>
        </w:rPr>
        <w:t>Benchmarky</w:t>
      </w:r>
    </w:p>
    <w:p w14:paraId="3A412AD4" w14:textId="77777777" w:rsidR="004B7756" w:rsidRPr="00B5339F" w:rsidRDefault="004B7756" w:rsidP="00151681">
      <w:pPr>
        <w:spacing w:before="120" w:line="240" w:lineRule="auto"/>
        <w:jc w:val="both"/>
      </w:pPr>
      <w:r w:rsidRPr="00B5339F">
        <w:t>Benchmark (t.</w:t>
      </w:r>
      <w:r>
        <w:t xml:space="preserve"> </w:t>
      </w:r>
      <w:r w:rsidRPr="00B5339F">
        <w:t xml:space="preserve">j. </w:t>
      </w:r>
      <w:r w:rsidRPr="006C145A">
        <w:rPr>
          <w:b/>
        </w:rPr>
        <w:t>smerný ukazovateľ mernej investičnej náročnosti</w:t>
      </w:r>
      <w:r w:rsidRPr="00B5339F">
        <w:t>) je jedným z nástrojov na</w:t>
      </w:r>
      <w:r w:rsidR="00391AA9">
        <w:t> </w:t>
      </w:r>
      <w:r w:rsidRPr="00B5339F">
        <w:t>overenie hospodárnosti výdavkov, ktorý spočíva v porovnaní plánovanej hodnoty benchmarku na</w:t>
      </w:r>
      <w:r w:rsidR="00391AA9">
        <w:t> </w:t>
      </w:r>
      <w:r w:rsidRPr="00B5339F">
        <w:t>úrovni projektu s referenčnou hodnotou benchmarku stanovenou na optimálnej</w:t>
      </w:r>
      <w:r w:rsidR="00BF523A">
        <w:t>,</w:t>
      </w:r>
      <w:r w:rsidRPr="00B5339F">
        <w:t xml:space="preserve"> resp. prijateľnej úrovni.</w:t>
      </w:r>
    </w:p>
    <w:p w14:paraId="7114ED11" w14:textId="77777777" w:rsidR="004B7756" w:rsidRPr="00B5339F" w:rsidRDefault="004B7756" w:rsidP="00151681">
      <w:pPr>
        <w:spacing w:before="120" w:line="240" w:lineRule="auto"/>
        <w:jc w:val="both"/>
      </w:pPr>
      <w:r w:rsidRPr="00B5339F">
        <w:t xml:space="preserve">Hodnota benchmarku projektu sa počíta ako </w:t>
      </w:r>
      <w:r w:rsidRPr="006C145A">
        <w:rPr>
          <w:b/>
        </w:rPr>
        <w:t>pomer výšky celkových oprávnených výdavkov na</w:t>
      </w:r>
      <w:r w:rsidR="00391AA9">
        <w:rPr>
          <w:b/>
        </w:rPr>
        <w:t> </w:t>
      </w:r>
      <w:r w:rsidRPr="006C145A">
        <w:rPr>
          <w:b/>
        </w:rPr>
        <w:t>hlavné aktivity projektu k cieľovej hodnote príslušného me</w:t>
      </w:r>
      <w:r>
        <w:rPr>
          <w:b/>
        </w:rPr>
        <w:t>rateľného ukazovateľa projektu</w:t>
      </w:r>
      <w:r>
        <w:rPr>
          <w:rStyle w:val="Odkaznapoznmkupodiarou"/>
          <w:b/>
        </w:rPr>
        <w:footnoteReference w:id="41"/>
      </w:r>
      <w:r w:rsidRPr="006C145A">
        <w:rPr>
          <w:b/>
        </w:rPr>
        <w:t>.</w:t>
      </w:r>
    </w:p>
    <w:p w14:paraId="4AD78E26" w14:textId="77777777" w:rsidR="004B7756" w:rsidRPr="00B5339F" w:rsidRDefault="004B7756" w:rsidP="00151681">
      <w:pPr>
        <w:spacing w:before="120" w:line="240" w:lineRule="auto"/>
        <w:jc w:val="both"/>
      </w:pPr>
      <w:r w:rsidRPr="00B5339F">
        <w:t>V prípade výdavkov, pri ktorých nie je stanovený benchmark (nie je možné všeobecne stanoviť technické riešenie predmetnej aktivity), bude hospodárnosť a efektívnosť výdavkov posúdená v</w:t>
      </w:r>
      <w:r w:rsidR="00391AA9">
        <w:t> </w:t>
      </w:r>
      <w:r w:rsidRPr="00B5339F">
        <w:t>konaní o ŽoNFP prostredníctvom iných pomocných nástro</w:t>
      </w:r>
      <w:r>
        <w:t>jov uvedených v tejto kapitole</w:t>
      </w:r>
      <w:r>
        <w:rPr>
          <w:rStyle w:val="Odkaznapoznmkupodiarou"/>
        </w:rPr>
        <w:footnoteReference w:id="42"/>
      </w:r>
      <w:r w:rsidRPr="00B5339F">
        <w:t xml:space="preserve">. Jednotlivé vstupy </w:t>
      </w:r>
      <w:r w:rsidRPr="00B5339F">
        <w:lastRenderedPageBreak/>
        <w:t>do výpočtu benchmarku musia byť v súlade s relevantnými údajmi uvedenými v</w:t>
      </w:r>
      <w:r w:rsidR="00391AA9">
        <w:t> </w:t>
      </w:r>
      <w:r w:rsidRPr="00B5339F">
        <w:t>ŽoNFP vrátane jej príloh.</w:t>
      </w:r>
    </w:p>
    <w:p w14:paraId="4A753413" w14:textId="77777777" w:rsidR="004B7756" w:rsidRPr="00B5339F" w:rsidRDefault="004B7756" w:rsidP="00151681">
      <w:pPr>
        <w:spacing w:before="120" w:line="240" w:lineRule="auto"/>
        <w:jc w:val="both"/>
      </w:pPr>
      <w:r w:rsidRPr="00B5339F">
        <w:t>Pri posudzovaní hodnoty benchmarku sa berie do úvahy výška výdavkov hlavných aktivít projektu po</w:t>
      </w:r>
      <w:r w:rsidR="00391AA9">
        <w:t> </w:t>
      </w:r>
      <w:r w:rsidRPr="00B5339F">
        <w:t>ich prípadnom znížení v procese schvaľovania projektu z dôvodu identifikácie vecne neoprávnených, neúčelných alebo nehospodárnych výdavkov.</w:t>
      </w:r>
    </w:p>
    <w:p w14:paraId="0D5BA8CD" w14:textId="1C4C5ADA" w:rsidR="004B7756" w:rsidRDefault="004B7756" w:rsidP="00151681">
      <w:pPr>
        <w:spacing w:before="120" w:line="240" w:lineRule="auto"/>
        <w:jc w:val="both"/>
        <w:rPr>
          <w:b/>
        </w:rPr>
      </w:pPr>
      <w:r w:rsidRPr="006C145A">
        <w:rPr>
          <w:b/>
        </w:rPr>
        <w:t>V prípade prekročenia stanovených benchmarkov budú výdavky nad referenčnú hodnotu benchmarku, posúdené ako neoprávnené.</w:t>
      </w:r>
    </w:p>
    <w:p w14:paraId="6ADB890F" w14:textId="1E196D16" w:rsidR="00FD1515" w:rsidRDefault="00FD1515" w:rsidP="00151681">
      <w:pPr>
        <w:spacing w:before="120" w:line="240" w:lineRule="auto"/>
        <w:jc w:val="both"/>
        <w:rPr>
          <w:b/>
        </w:rPr>
      </w:pPr>
    </w:p>
    <w:p w14:paraId="2B1991C7" w14:textId="1DBA29F0" w:rsidR="004C2DB7" w:rsidRPr="00A41BD0" w:rsidRDefault="00947A4A" w:rsidP="008858BA">
      <w:pPr>
        <w:pStyle w:val="Odsekzoznamu"/>
        <w:numPr>
          <w:ilvl w:val="0"/>
          <w:numId w:val="27"/>
        </w:numPr>
        <w:spacing w:before="120" w:line="240" w:lineRule="auto"/>
        <w:jc w:val="both"/>
        <w:rPr>
          <w:b/>
          <w:color w:val="002060"/>
        </w:rPr>
      </w:pPr>
      <w:r w:rsidRPr="00A41BD0">
        <w:rPr>
          <w:b/>
          <w:color w:val="002060"/>
        </w:rPr>
        <w:t>Odborný posudok, úkon znalca</w:t>
      </w:r>
    </w:p>
    <w:p w14:paraId="0603396C" w14:textId="37B261DD" w:rsidR="002E084B" w:rsidRDefault="004C2DB7" w:rsidP="008858BA">
      <w:pPr>
        <w:pStyle w:val="Odsekzoznamu"/>
        <w:numPr>
          <w:ilvl w:val="0"/>
          <w:numId w:val="35"/>
        </w:numPr>
        <w:spacing w:before="120" w:line="240" w:lineRule="auto"/>
        <w:ind w:left="426" w:hanging="426"/>
        <w:jc w:val="both"/>
      </w:pPr>
      <w:r w:rsidRPr="00BF06EB">
        <w:t xml:space="preserve">V každej fáze projektového cyklu </w:t>
      </w:r>
      <w:r w:rsidR="00A41BD0">
        <w:t xml:space="preserve">môže </w:t>
      </w:r>
      <w:r w:rsidRPr="00BF06EB">
        <w:t xml:space="preserve"> </w:t>
      </w:r>
      <w:r w:rsidR="00A41BD0">
        <w:t>poskytovateľ, žiadateľ alebo</w:t>
      </w:r>
      <w:r>
        <w:t xml:space="preserve"> prijímateľ</w:t>
      </w:r>
      <w:r w:rsidRPr="00BF06EB">
        <w:t xml:space="preserve"> </w:t>
      </w:r>
      <w:r>
        <w:t>preukázať</w:t>
      </w:r>
      <w:r w:rsidRPr="00BF06EB">
        <w:t xml:space="preserve"> hospodárnosť výdavkov </w:t>
      </w:r>
      <w:r>
        <w:t>úkonom znalca</w:t>
      </w:r>
      <w:r w:rsidRPr="00BF06EB">
        <w:t xml:space="preserve"> podľa zákona č. 382/2004 Z. z. o znalcoch, tlmočníkoch a prekladateľoch a o zmene a doplnení niektorých zákonov v znení neskorších predpisov alebo odborným posudkom vypracovaným odborn</w:t>
      </w:r>
      <w:r>
        <w:t>íkom</w:t>
      </w:r>
      <w:r w:rsidRPr="00A41BD0">
        <w:rPr>
          <w:vertAlign w:val="superscript"/>
        </w:rPr>
        <w:t xml:space="preserve"> </w:t>
      </w:r>
      <w:r w:rsidRPr="00BF06EB">
        <w:t>v príslušnej oblasti</w:t>
      </w:r>
      <w:r w:rsidR="00A41BD0">
        <w:t xml:space="preserve">. </w:t>
      </w:r>
    </w:p>
    <w:p w14:paraId="5FBAFDB9" w14:textId="04670DE9" w:rsidR="002E084B" w:rsidRPr="00BF06EB" w:rsidRDefault="002E084B" w:rsidP="008858BA">
      <w:pPr>
        <w:pStyle w:val="Odsekzoznamu"/>
        <w:numPr>
          <w:ilvl w:val="0"/>
          <w:numId w:val="35"/>
        </w:numPr>
        <w:spacing w:before="120" w:line="240" w:lineRule="auto"/>
        <w:ind w:left="426" w:hanging="426"/>
        <w:jc w:val="both"/>
      </w:pPr>
      <w:r>
        <w:t xml:space="preserve">Odborný posudok môže vypracovať osoba, ktorá má odbornú spôsobilosť a skúsenosti  v rozsahu minimálne 10 rokov v príslušnej oblasti, ktorá je predmetom vyhotovenia posudku. Odborník písomne preukáže svoju spôsobilosť dokladom o najvyššom stupni vzdelania, životopisom preukazujúcim 10 ročné skúsenosti v príslušnej oblasti, prípadne referenciami.  </w:t>
      </w:r>
    </w:p>
    <w:p w14:paraId="31F004EB" w14:textId="253C119D" w:rsidR="004C2DB7" w:rsidRDefault="004C2DB7" w:rsidP="008858BA">
      <w:pPr>
        <w:pStyle w:val="Odsekzoznamu"/>
        <w:numPr>
          <w:ilvl w:val="0"/>
          <w:numId w:val="35"/>
        </w:numPr>
        <w:spacing w:before="120" w:line="240" w:lineRule="auto"/>
        <w:ind w:left="426" w:hanging="426"/>
        <w:jc w:val="both"/>
      </w:pPr>
      <w:r w:rsidRPr="00BF06EB">
        <w:t>Podklady potrebné pre výkon overenia hospodárnosti výdavkov predkladá znalcovi/odborn</w:t>
      </w:r>
      <w:r>
        <w:t>íkovi zadávateľ</w:t>
      </w:r>
      <w:r w:rsidRPr="00BF06EB">
        <w:t>. Ak znalec/odborn</w:t>
      </w:r>
      <w:r>
        <w:t>ík</w:t>
      </w:r>
      <w:r w:rsidRPr="00BF06EB">
        <w:t xml:space="preserve"> bude požadovať ďalšie špecifikované podklady, ktoré nie sú obsiahnuté v odovzdaných podkladoch a</w:t>
      </w:r>
      <w:r w:rsidR="00A41BD0">
        <w:t xml:space="preserve"> poskytovateľ </w:t>
      </w:r>
      <w:r>
        <w:t xml:space="preserve"> ako zadávateľ</w:t>
      </w:r>
      <w:r w:rsidRPr="00BF06EB">
        <w:t xml:space="preserve"> ich nemá k</w:t>
      </w:r>
      <w:r>
        <w:t> </w:t>
      </w:r>
      <w:r w:rsidRPr="00BF06EB">
        <w:t xml:space="preserve">dispozícii, môže osloviť </w:t>
      </w:r>
      <w:r>
        <w:t>žiadateľa/</w:t>
      </w:r>
      <w:r w:rsidRPr="00BF06EB">
        <w:t>prijímateľa s požiadavkou na</w:t>
      </w:r>
      <w:r>
        <w:t> </w:t>
      </w:r>
      <w:r w:rsidRPr="00BF06EB">
        <w:t>doloženie týchto podkladov. Výsledkom práce znalca</w:t>
      </w:r>
      <w:r>
        <w:t xml:space="preserve"> </w:t>
      </w:r>
      <w:r w:rsidRPr="00F73A39">
        <w:t>sú najmä znalecký posudok a jeho doplnenie, odborné stanovisko alebo potvrdenie a odborné vyjadrenie a</w:t>
      </w:r>
      <w:r>
        <w:t> </w:t>
      </w:r>
      <w:r w:rsidRPr="00F73A39">
        <w:t>vysvetlenie</w:t>
      </w:r>
      <w:r>
        <w:t xml:space="preserve">. Výsledkom práce </w:t>
      </w:r>
      <w:r w:rsidRPr="00BF06EB">
        <w:t>odborn</w:t>
      </w:r>
      <w:r>
        <w:t>íka</w:t>
      </w:r>
      <w:r w:rsidRPr="00BF06EB">
        <w:t xml:space="preserve"> je odborné stanovisko vyhotovené vo forme </w:t>
      </w:r>
      <w:r>
        <w:t xml:space="preserve">odborného posudku. </w:t>
      </w:r>
    </w:p>
    <w:p w14:paraId="5FF9709A" w14:textId="0C7C8C74" w:rsidR="004C2DB7" w:rsidRPr="00BF06EB" w:rsidRDefault="004C2DB7" w:rsidP="008858BA">
      <w:pPr>
        <w:pStyle w:val="Odsekzoznamu"/>
        <w:numPr>
          <w:ilvl w:val="0"/>
          <w:numId w:val="35"/>
        </w:numPr>
        <w:spacing w:before="120" w:line="240" w:lineRule="auto"/>
        <w:ind w:left="426" w:hanging="426"/>
        <w:jc w:val="both"/>
      </w:pPr>
      <w:r>
        <w:t xml:space="preserve">Úkon znalca, , alebo </w:t>
      </w:r>
      <w:r w:rsidRPr="00BF06EB">
        <w:t>odborný posudok</w:t>
      </w:r>
      <w:r>
        <w:t xml:space="preserve"> (ďalej len „posudok“) </w:t>
      </w:r>
      <w:r w:rsidRPr="00BF06EB">
        <w:t>musí byť vypracovaný tak, aby bol preskúmateľný. To</w:t>
      </w:r>
      <w:r>
        <w:t> </w:t>
      </w:r>
      <w:r w:rsidRPr="00BF06EB">
        <w:t>znamená, že musí byť vypracovaný v rozsahu, ktorý umožní preskúmať závery z neho vyplývajúce, vrátane preskúmania spôsobu, akým osoba vykonávajúca overenie hospodárnosti výdavkov dospela k stanoveniu výslednej ceny</w:t>
      </w:r>
      <w:r>
        <w:t xml:space="preserve"> alebo potrebnosti a vhodnosti obstaraného množstva vzhľadom k reálnym potrebám projektu</w:t>
      </w:r>
      <w:r w:rsidRPr="00BF06EB">
        <w:t>.</w:t>
      </w:r>
      <w:r>
        <w:t xml:space="preserve"> </w:t>
      </w:r>
      <w:r w:rsidRPr="00BF06EB">
        <w:t xml:space="preserve">V posudku sa uvedie cena, ktorú možno považovať za primeranú, vyjadrená absolútnym číslom alebo intervalom, ktorého horná hranica predstavuje maximálnu hranicu po zohľadnení všetkých osobitostí a iných špecifík súvisiacich s dodávkou posudzovaného predmetu na úrovni zákazky/logického celku. </w:t>
      </w:r>
    </w:p>
    <w:p w14:paraId="35A73887" w14:textId="423BEEAB" w:rsidR="006A25A3" w:rsidRDefault="006A25A3" w:rsidP="008858BA">
      <w:pPr>
        <w:pStyle w:val="Odsekzoznamu"/>
        <w:numPr>
          <w:ilvl w:val="0"/>
          <w:numId w:val="35"/>
        </w:numPr>
        <w:spacing w:before="120" w:line="240" w:lineRule="auto"/>
        <w:ind w:left="425" w:hanging="425"/>
        <w:jc w:val="both"/>
      </w:pPr>
      <w:r>
        <w:t>Pre úkon znalca náležitosti upravuje zákon č. 382/2004 Z. z. a vykonávacia vyhláška č. 228/2018 Z. z.</w:t>
      </w:r>
    </w:p>
    <w:p w14:paraId="5AB398EE" w14:textId="4CD75642" w:rsidR="00A41BD0" w:rsidRDefault="006A25A3" w:rsidP="008858BA">
      <w:pPr>
        <w:pStyle w:val="Odsekzoznamu"/>
        <w:numPr>
          <w:ilvl w:val="0"/>
          <w:numId w:val="35"/>
        </w:numPr>
        <w:spacing w:before="120" w:line="240" w:lineRule="auto"/>
        <w:ind w:left="425" w:hanging="425"/>
        <w:jc w:val="both"/>
      </w:pPr>
      <w:r>
        <w:t>Za odborný posud</w:t>
      </w:r>
      <w:r w:rsidR="00A41BD0">
        <w:t xml:space="preserve">ok </w:t>
      </w:r>
      <w:r>
        <w:t xml:space="preserve">sa nepovažuje odborné stanovisko </w:t>
      </w:r>
      <w:r w:rsidR="00A41BD0">
        <w:t xml:space="preserve">resp. hodnotiaca správa odborného hodnotiteľa v rámci odborného hodnotenia žiadosti o NFP. </w:t>
      </w:r>
    </w:p>
    <w:p w14:paraId="7F61BDDA" w14:textId="234475D4" w:rsidR="004C2DB7" w:rsidRPr="00BF06EB" w:rsidRDefault="004C2DB7" w:rsidP="008858BA">
      <w:pPr>
        <w:pStyle w:val="Odsekzoznamu"/>
        <w:numPr>
          <w:ilvl w:val="0"/>
          <w:numId w:val="35"/>
        </w:numPr>
        <w:spacing w:before="120" w:line="240" w:lineRule="auto"/>
        <w:ind w:left="425" w:hanging="425"/>
        <w:jc w:val="both"/>
      </w:pPr>
      <w:r>
        <w:t>O</w:t>
      </w:r>
      <w:r w:rsidRPr="00BF06EB">
        <w:t>dborný posudok</w:t>
      </w:r>
      <w:r w:rsidRPr="00A41BD0">
        <w:rPr>
          <w:vertAlign w:val="superscript"/>
        </w:rPr>
        <w:t xml:space="preserve"> </w:t>
      </w:r>
      <w:r w:rsidRPr="00BF06EB">
        <w:t xml:space="preserve">musí obsahovať: </w:t>
      </w:r>
    </w:p>
    <w:p w14:paraId="63BD4257" w14:textId="3F3D6B06" w:rsidR="004C2DB7" w:rsidRDefault="004C2DB7" w:rsidP="008858BA">
      <w:pPr>
        <w:pStyle w:val="Odsekzoznamu"/>
        <w:numPr>
          <w:ilvl w:val="0"/>
          <w:numId w:val="34"/>
        </w:numPr>
        <w:spacing w:before="120" w:line="240" w:lineRule="auto"/>
        <w:contextualSpacing/>
        <w:jc w:val="both"/>
      </w:pPr>
      <w:r w:rsidRPr="00BF06EB">
        <w:t xml:space="preserve">identifikáciu </w:t>
      </w:r>
      <w:r>
        <w:t xml:space="preserve">aktivít alebo </w:t>
      </w:r>
      <w:r w:rsidRPr="00BF06EB">
        <w:t xml:space="preserve">predmetu zákazky, ktorý je predmetom overenia hospodárnosti spolu s identifikáciou kódu a názvu projektu, ku ktorému sa vzťahuje, </w:t>
      </w:r>
    </w:p>
    <w:p w14:paraId="6EA6DE0B" w14:textId="77777777" w:rsidR="004C2DB7" w:rsidRPr="00BF06EB" w:rsidRDefault="004C2DB7" w:rsidP="008858BA">
      <w:pPr>
        <w:pStyle w:val="Odsekzoznamu"/>
        <w:numPr>
          <w:ilvl w:val="0"/>
          <w:numId w:val="34"/>
        </w:numPr>
        <w:spacing w:before="120" w:line="240" w:lineRule="auto"/>
        <w:contextualSpacing/>
        <w:jc w:val="both"/>
      </w:pPr>
      <w:r w:rsidRPr="00BF06EB">
        <w:t xml:space="preserve">zoznam podkladov, ktoré boli osobe vykonávajúcej overenie hospodárnosti výdavkov poskytnuté zo strany </w:t>
      </w:r>
      <w:r>
        <w:t>zadávateľa</w:t>
      </w:r>
      <w:r w:rsidRPr="00BF06EB">
        <w:t xml:space="preserve">, </w:t>
      </w:r>
    </w:p>
    <w:p w14:paraId="12A12F0E" w14:textId="77777777" w:rsidR="004C2DB7" w:rsidRDefault="004C2DB7" w:rsidP="008858BA">
      <w:pPr>
        <w:pStyle w:val="Odsekzoznamu"/>
        <w:numPr>
          <w:ilvl w:val="0"/>
          <w:numId w:val="34"/>
        </w:numPr>
        <w:spacing w:before="120" w:line="240" w:lineRule="auto"/>
        <w:contextualSpacing/>
        <w:jc w:val="both"/>
      </w:pPr>
      <w:r w:rsidRPr="00BF06EB">
        <w:t xml:space="preserve">identifikáciu zdrojov, ktoré boli použité pre stanovenie ceny, ktorá je primeraná – podstatné zdroje môžu byť k posudku priložené ako príloha, na ktoré bude posudok len odkazovať, pričom v prípade, ak bol odborný posudok vypracovaný znalcom, znaleckým ústavom alebo znaleckou organizáciou s využitím odborného odhadu, sa identifikácia zdrojov podľa tohto bodu osobitne neuvádza, </w:t>
      </w:r>
    </w:p>
    <w:p w14:paraId="4C96E4A8" w14:textId="77777777" w:rsidR="004C2DB7" w:rsidRDefault="004C2DB7" w:rsidP="008858BA">
      <w:pPr>
        <w:pStyle w:val="Odsekzoznamu"/>
        <w:numPr>
          <w:ilvl w:val="0"/>
          <w:numId w:val="34"/>
        </w:numPr>
        <w:spacing w:before="120" w:line="240" w:lineRule="auto"/>
        <w:contextualSpacing/>
        <w:jc w:val="both"/>
      </w:pPr>
      <w:r w:rsidRPr="00BF06EB">
        <w:t>stručný popis postupu zisťovania ceny,</w:t>
      </w:r>
    </w:p>
    <w:p w14:paraId="53CEE030" w14:textId="77777777" w:rsidR="004C2DB7" w:rsidRPr="00BF06EB" w:rsidRDefault="004C2DB7" w:rsidP="008858BA">
      <w:pPr>
        <w:pStyle w:val="Odsekzoznamu"/>
        <w:numPr>
          <w:ilvl w:val="0"/>
          <w:numId w:val="34"/>
        </w:numPr>
        <w:spacing w:before="120" w:line="240" w:lineRule="auto"/>
        <w:contextualSpacing/>
        <w:jc w:val="both"/>
      </w:pPr>
      <w:r>
        <w:lastRenderedPageBreak/>
        <w:t>cena</w:t>
      </w:r>
      <w:r w:rsidRPr="00BF06EB">
        <w:t xml:space="preserve"> ktorá je primeraná</w:t>
      </w:r>
      <w:r w:rsidRPr="00A41BD0">
        <w:rPr>
          <w:vertAlign w:val="superscript"/>
        </w:rPr>
        <w:footnoteReference w:id="43"/>
      </w:r>
      <w:r w:rsidRPr="00BF06EB">
        <w:t xml:space="preserve"> v danom mieste a čase,</w:t>
      </w:r>
      <w:r>
        <w:t xml:space="preserve"> a je vyjadrená absolútnym číslom, alebo intervalom,</w:t>
      </w:r>
    </w:p>
    <w:p w14:paraId="427B8580" w14:textId="77777777" w:rsidR="004C2DB7" w:rsidRPr="00BF06EB" w:rsidRDefault="004C2DB7" w:rsidP="008858BA">
      <w:pPr>
        <w:pStyle w:val="Odsekzoznamu"/>
        <w:numPr>
          <w:ilvl w:val="0"/>
          <w:numId w:val="34"/>
        </w:numPr>
        <w:spacing w:before="120" w:line="240" w:lineRule="auto"/>
        <w:contextualSpacing/>
        <w:jc w:val="both"/>
      </w:pPr>
      <w:r w:rsidRPr="00BF06EB">
        <w:t>odôvodnenie výšky určenej ceny, ktorá je primeraná, s</w:t>
      </w:r>
      <w:r>
        <w:t> </w:t>
      </w:r>
      <w:r w:rsidRPr="00BF06EB">
        <w:t>osobitným dôrazom na vplyv osobitostí súvisiacich s posudzovaným tovarom/službou/prácou na výšku ceny</w:t>
      </w:r>
      <w:r>
        <w:t xml:space="preserve"> (aplikuje sa len v prípade, ak nastal výrazný časový rozdiel medzi napr. VO a obdobím, kedy odborník spracováva posudok)</w:t>
      </w:r>
      <w:r w:rsidRPr="00BF06EB">
        <w:t xml:space="preserve">, </w:t>
      </w:r>
    </w:p>
    <w:p w14:paraId="17BD6734" w14:textId="77777777" w:rsidR="004C2DB7" w:rsidRPr="004E2FC7" w:rsidRDefault="004C2DB7" w:rsidP="008858BA">
      <w:pPr>
        <w:pStyle w:val="Odsekzoznamu"/>
        <w:numPr>
          <w:ilvl w:val="0"/>
          <w:numId w:val="34"/>
        </w:numPr>
        <w:spacing w:before="120" w:line="240" w:lineRule="auto"/>
        <w:contextualSpacing/>
        <w:jc w:val="both"/>
      </w:pPr>
      <w:r w:rsidRPr="00BF06EB">
        <w:t xml:space="preserve">identifikáciu osoby, ktorá vypracovala znalecký/odborný posudok vrátane podpisu a dátumu vyhotovenia posudku. </w:t>
      </w:r>
    </w:p>
    <w:p w14:paraId="63691DEF" w14:textId="77777777" w:rsidR="00FD1515" w:rsidRPr="00B5339F" w:rsidRDefault="00FD1515" w:rsidP="00151681">
      <w:pPr>
        <w:spacing w:before="120" w:line="240" w:lineRule="auto"/>
        <w:jc w:val="both"/>
      </w:pPr>
    </w:p>
    <w:p w14:paraId="69C46FEA" w14:textId="117D135E" w:rsidR="004B7756" w:rsidRPr="00A640AC" w:rsidRDefault="000A362A" w:rsidP="008858BA">
      <w:pPr>
        <w:pStyle w:val="Odsekzoznamu"/>
        <w:numPr>
          <w:ilvl w:val="0"/>
          <w:numId w:val="27"/>
        </w:numPr>
        <w:spacing w:before="120" w:line="240" w:lineRule="auto"/>
        <w:jc w:val="both"/>
        <w:rPr>
          <w:b/>
          <w:color w:val="002060"/>
        </w:rPr>
      </w:pPr>
      <w:r>
        <w:rPr>
          <w:b/>
          <w:color w:val="002060"/>
        </w:rPr>
        <w:t>V</w:t>
      </w:r>
      <w:r w:rsidR="004B7756" w:rsidRPr="00A640AC">
        <w:rPr>
          <w:b/>
          <w:color w:val="002060"/>
        </w:rPr>
        <w:t>erejné obstarávanie</w:t>
      </w:r>
    </w:p>
    <w:p w14:paraId="300647AA" w14:textId="77777777" w:rsidR="004B7756" w:rsidRPr="00B5339F" w:rsidRDefault="004B7756" w:rsidP="00151681">
      <w:pPr>
        <w:spacing w:before="120" w:line="240" w:lineRule="auto"/>
        <w:jc w:val="both"/>
      </w:pPr>
      <w:r w:rsidRPr="00B5339F">
        <w:t xml:space="preserve">Vo všeobecnosti platí, že v prípade výdavkov spadajúcich pod pravidlá </w:t>
      </w:r>
      <w:r w:rsidR="00BF523A">
        <w:t>VO</w:t>
      </w:r>
      <w:r w:rsidRPr="00B5339F">
        <w:t>, sú na</w:t>
      </w:r>
      <w:r w:rsidR="00391AA9">
        <w:t> </w:t>
      </w:r>
      <w:r w:rsidRPr="00B5339F">
        <w:t xml:space="preserve">financovanie oprávnené výdavky do výšky, ktorá bola stanovená </w:t>
      </w:r>
      <w:r w:rsidR="00BF523A">
        <w:t>VO</w:t>
      </w:r>
      <w:r w:rsidRPr="00B5339F">
        <w:t>.</w:t>
      </w:r>
    </w:p>
    <w:p w14:paraId="762B4696" w14:textId="14690D20" w:rsidR="00CF6B83" w:rsidRDefault="004B7756" w:rsidP="00CF6B83">
      <w:pPr>
        <w:spacing w:before="120" w:line="240" w:lineRule="auto"/>
        <w:jc w:val="both"/>
      </w:pPr>
      <w:r w:rsidRPr="00B5339F">
        <w:t>V prípade, ak žiadateľ ukončil proces VO pred predložením ŽoNFP, je oprávnený preukázať hospodárnosť predmetných výdavkov na základe výsledku zrealizovaného VO.</w:t>
      </w:r>
      <w:r w:rsidR="00CF6B83">
        <w:t xml:space="preserve">. </w:t>
      </w:r>
      <w:r w:rsidRPr="00B5339F">
        <w:t xml:space="preserve">V takom prípade žiadateľ stanoví v rozpočte ŽoNFP výšku oprávnených výdavkov v zmysle ukončeného </w:t>
      </w:r>
      <w:r w:rsidR="00BF523A">
        <w:t>VO</w:t>
      </w:r>
      <w:r w:rsidRPr="00B5339F">
        <w:t xml:space="preserve"> podľa </w:t>
      </w:r>
      <w:r w:rsidR="00BF523A">
        <w:t>Z</w:t>
      </w:r>
      <w:r w:rsidRPr="00B5339F">
        <w:t>VO.</w:t>
      </w:r>
      <w:r w:rsidR="00EF1B0F">
        <w:t xml:space="preserve"> </w:t>
      </w:r>
      <w:r w:rsidR="00CF6B83">
        <w:t xml:space="preserve">Verejné obstarávanie žiadateľ predkladá spolu so žiadosťou o NFP iba v prípade, je to uvedené vo výzve na predkladanie žiadosti o NFP. </w:t>
      </w:r>
      <w:r w:rsidR="00CF6B83" w:rsidRPr="00A41BD0">
        <w:t>Žiadateľom predkladaná dokumentácia k ŽoNFP v prípade použitia ukončeného VO/obstarávanie musí spĺňať podmienky uvedené v prílohe č.4 metodického pokynu CKO č.</w:t>
      </w:r>
      <w:r w:rsidR="00A41BD0">
        <w:t xml:space="preserve"> </w:t>
      </w:r>
      <w:r w:rsidR="00CF6B83" w:rsidRPr="00A41BD0">
        <w:t>18 k overovaniu hospodárnosti výdavkov. Ak žiadateľom predkladaná dokumentácia k ukončenému VO/obstarávaniu spĺňa podmienky uvedené v prílohe č.</w:t>
      </w:r>
      <w:r w:rsidR="00A41BD0">
        <w:t xml:space="preserve"> </w:t>
      </w:r>
      <w:r w:rsidR="00CF6B83" w:rsidRPr="00A41BD0">
        <w:t>4 metodického pokynu CKO č.</w:t>
      </w:r>
      <w:r w:rsidR="00A41BD0">
        <w:t xml:space="preserve"> </w:t>
      </w:r>
      <w:r w:rsidR="00CF6B83" w:rsidRPr="00A41BD0">
        <w:t>18, je považovaná za relevantný postup overenia hospodárnosti výdavkov. Ak predložená dokumentácia k ukončenému VO alebo obstarávaniu nespĺňa podmienky podľa prílohy č. 4 metodického pokynu CKO č.</w:t>
      </w:r>
      <w:r w:rsidR="00A41BD0">
        <w:t xml:space="preserve"> </w:t>
      </w:r>
      <w:r w:rsidR="00CF6B83" w:rsidRPr="00A41BD0">
        <w:t xml:space="preserve">18, v takomto prípade ukončené VO/obstarávanie nemôže byť relevantným nástrojom na overenie resp. preukázanie hospodárnosti a RO/SO vykoná vlastný prieskum trhu alebo použije iný relevantný postup na overenie hospodárnosti.  </w:t>
      </w:r>
    </w:p>
    <w:p w14:paraId="5A183502" w14:textId="1C553CB8" w:rsidR="00FD1515" w:rsidRDefault="00EF0E31" w:rsidP="00151681">
      <w:pPr>
        <w:spacing w:before="120" w:line="240" w:lineRule="auto"/>
        <w:jc w:val="both"/>
      </w:pPr>
      <w:r>
        <w:t xml:space="preserve">Pri verejnom obstarávanie sa odporúča vychádzať aj z dokumentu </w:t>
      </w:r>
      <w:r w:rsidR="004578F8">
        <w:t xml:space="preserve">„Opatrenia v oblasti verejného obstarávania – Zhrnutie usmernení pre prijímateľov a RO v súvislosti s mimoriadnou situáciou </w:t>
      </w:r>
      <w:r>
        <w:t xml:space="preserve">spôsobenou šírením koronavírusu“ (ďalej „zhrnutie usmernení“). Dokument obsahuje postupy pri realizácií verejného obstarávania vydané Európskou komisiou, Úradom verejného obstarávania a Úradom podpredsedu vlády SR pre investície a informatizáciu, sekciou centrálneho koordinačného orgánu. </w:t>
      </w:r>
      <w:r w:rsidR="004B7756" w:rsidRPr="00B5339F">
        <w:t>Týmto nie je dotknutá povinnosť dodržania stanovených finančných limitov.</w:t>
      </w:r>
    </w:p>
    <w:p w14:paraId="0D0730AB" w14:textId="77777777" w:rsidR="003E2ACD" w:rsidRDefault="003E2ACD" w:rsidP="00151681">
      <w:pPr>
        <w:spacing w:before="120" w:line="240" w:lineRule="auto"/>
        <w:jc w:val="both"/>
      </w:pPr>
    </w:p>
    <w:p w14:paraId="2D1CAF28" w14:textId="77777777" w:rsidR="004B7756" w:rsidRPr="00A640AC" w:rsidRDefault="004B7756" w:rsidP="008858BA">
      <w:pPr>
        <w:pStyle w:val="Odsekzoznamu"/>
        <w:numPr>
          <w:ilvl w:val="0"/>
          <w:numId w:val="27"/>
        </w:numPr>
        <w:spacing w:before="120" w:line="240" w:lineRule="auto"/>
        <w:jc w:val="both"/>
        <w:rPr>
          <w:b/>
          <w:color w:val="002060"/>
        </w:rPr>
      </w:pPr>
      <w:r w:rsidRPr="00A640AC">
        <w:rPr>
          <w:b/>
          <w:color w:val="002060"/>
        </w:rPr>
        <w:t>Prieskum trhu</w:t>
      </w:r>
      <w:r w:rsidRPr="00A640AC">
        <w:rPr>
          <w:rStyle w:val="Odkaznapoznmkupodiarou"/>
          <w:b/>
          <w:color w:val="002060"/>
        </w:rPr>
        <w:footnoteReference w:id="44"/>
      </w:r>
    </w:p>
    <w:p w14:paraId="40785471" w14:textId="69D098B1" w:rsidR="004B7756" w:rsidRPr="00B5339F" w:rsidRDefault="004B7756" w:rsidP="00151681">
      <w:pPr>
        <w:spacing w:before="120" w:line="240" w:lineRule="auto"/>
        <w:jc w:val="both"/>
      </w:pPr>
      <w:r w:rsidRPr="00B5339F">
        <w:t>Prieskum trhu predstavuje pomocný nástroj na overovanie hospodárnosti výdavkov najmä v prípade výdavkov, pre ktoré nie sú stanovené finančné limity alebo benchmarky a zároveň žiadateľ nepreukazuje hospodárnosť výdavkov prostredníctvom štátnej expertízy</w:t>
      </w:r>
      <w:r w:rsidR="006A25A3">
        <w:t xml:space="preserve"> na verejné investície, </w:t>
      </w:r>
      <w:r w:rsidRPr="00B5339F">
        <w:t xml:space="preserve"> zrealizovaného VO, </w:t>
      </w:r>
      <w:r w:rsidR="000F6D81">
        <w:t xml:space="preserve">úkonom znalca </w:t>
      </w:r>
      <w:r w:rsidRPr="00B5339F">
        <w:t>alebo odborným posudkom.</w:t>
      </w:r>
    </w:p>
    <w:p w14:paraId="634C54C1" w14:textId="5D94CC4C" w:rsidR="004B7756" w:rsidRDefault="00A86291" w:rsidP="00151681">
      <w:pPr>
        <w:spacing w:before="120" w:line="240" w:lineRule="auto"/>
        <w:jc w:val="both"/>
      </w:pPr>
      <w:r>
        <w:t xml:space="preserve">Potenciálni dodávatelia oslovení v rámci prieskumu trhu musia byť spôsobilí dodať tovar, práce alebo služby, ktoré sú predmetom prieskumu trhu. Ponuky nesmú byť staršie ako 6 mesiacov ku dňu realizácie prieskumu trhu. Ak ceny tovar, stavebných prác alebo služieb nezaznamenali na trhu zmenu, je možné pre účely prieskumu trhu pre účely predloženia ŽoNFP použiť aj ponuky staršie ako 6 mesiacov, čo žiadateľ o NFP písomne zdôvodni. </w:t>
      </w:r>
    </w:p>
    <w:p w14:paraId="5957DEE4" w14:textId="66160C6F" w:rsidR="00A86291" w:rsidRDefault="00A86291" w:rsidP="00151681">
      <w:pPr>
        <w:spacing w:before="120" w:line="240" w:lineRule="auto"/>
        <w:jc w:val="both"/>
      </w:pPr>
      <w:r>
        <w:t>Za hospodárny prístup pri vypracovaní rozpočtu žiadosti o NFP s cieľom zistenia aktuálnych cenových úrovní sa považuje:</w:t>
      </w:r>
    </w:p>
    <w:p w14:paraId="6D928F06" w14:textId="702952E5" w:rsidR="00A86291" w:rsidRDefault="00A86291" w:rsidP="00151681">
      <w:pPr>
        <w:spacing w:before="120" w:line="240" w:lineRule="auto"/>
        <w:jc w:val="both"/>
      </w:pPr>
      <w:r>
        <w:lastRenderedPageBreak/>
        <w:t>a) predloženie minimálne 3 ponúk od rôznych potenciálnych dodávateľov na predmet zákazky tovaru, práce alebo služby</w:t>
      </w:r>
    </w:p>
    <w:p w14:paraId="050D5844" w14:textId="737201BA" w:rsidR="005D4F47" w:rsidRDefault="00A86291" w:rsidP="00151681">
      <w:pPr>
        <w:spacing w:before="120" w:line="240" w:lineRule="auto"/>
        <w:jc w:val="both"/>
      </w:pPr>
      <w:r>
        <w:t>b) predloženie menej ako 3 ponúk –</w:t>
      </w:r>
      <w:r w:rsidR="00D059AE">
        <w:t xml:space="preserve"> ak žiadateľ objektívne zdôvodní nižší počet oslovených potenciálnych dodávateľov ako bol požadovaný vo vyzvaní na predloženie ponuky; toto ustanovenie platí aj v prípade, ak prieskum trhu je realizovaný na základe zákaziek, ktoré boli výsledkom postupu s použitím elektronického trhoviska. Oslovenie menej ako 3 potenciálnych dodávateľov súvisí najmä s osobitosťou určitých komodít obstará</w:t>
      </w:r>
      <w:r w:rsidR="005D4F47">
        <w:t>vaných pre účely zdravotníctva.</w:t>
      </w:r>
    </w:p>
    <w:p w14:paraId="77B944A3" w14:textId="7A21AF91" w:rsidR="000F6D81" w:rsidRDefault="000F6D81" w:rsidP="00151681">
      <w:pPr>
        <w:spacing w:before="120" w:line="240" w:lineRule="auto"/>
        <w:jc w:val="both"/>
      </w:pPr>
      <w:r>
        <w:t>Prieskum trhu môže byť vykonaný žiadateľom, prijímateľom, odborným hodnotiteľom alebo poskytovateľov. Prieskum trhu, ktorý vykonáva odborný</w:t>
      </w:r>
      <w:r w:rsidR="00B464C7">
        <w:t xml:space="preserve"> hodnotiteľ alebo poskytovateľ</w:t>
      </w:r>
      <w:r>
        <w:t xml:space="preserve"> upravujú jeho vlastné interné predpisy. </w:t>
      </w:r>
    </w:p>
    <w:p w14:paraId="64CBB302" w14:textId="2A18A030" w:rsidR="00946DF1" w:rsidRPr="008D251E" w:rsidRDefault="00C0141A" w:rsidP="008858BA">
      <w:pPr>
        <w:pStyle w:val="Zkladntext"/>
        <w:numPr>
          <w:ilvl w:val="0"/>
          <w:numId w:val="33"/>
        </w:numPr>
        <w:spacing w:before="120" w:after="120"/>
        <w:ind w:left="709"/>
        <w:rPr>
          <w:rFonts w:ascii="Calibri" w:hAnsi="Calibri"/>
          <w:szCs w:val="22"/>
          <w:lang w:eastAsia="sk-SK"/>
        </w:rPr>
      </w:pPr>
      <w:r w:rsidRPr="003D3CC2">
        <w:rPr>
          <w:rFonts w:ascii="Calibri" w:hAnsi="Calibri"/>
          <w:szCs w:val="22"/>
          <w:lang w:eastAsia="sk-SK"/>
        </w:rPr>
        <w:t>V prípade, ak žiadateľ o NFP má v čase predloženia ŽoNFP začaté alebo ukončené verejné obstarávanie</w:t>
      </w:r>
      <w:r w:rsidR="00946DF1" w:rsidRPr="003D3CC2">
        <w:rPr>
          <w:rFonts w:ascii="Calibri" w:hAnsi="Calibri"/>
          <w:szCs w:val="22"/>
          <w:lang w:eastAsia="sk-SK"/>
        </w:rPr>
        <w:t>,</w:t>
      </w:r>
      <w:r w:rsidRPr="003D3CC2">
        <w:rPr>
          <w:rFonts w:ascii="Calibri" w:hAnsi="Calibri"/>
          <w:szCs w:val="22"/>
          <w:lang w:eastAsia="sk-SK"/>
        </w:rPr>
        <w:t xml:space="preserve"> </w:t>
      </w:r>
      <w:r w:rsidR="00946DF1" w:rsidRPr="003D3CC2">
        <w:rPr>
          <w:rFonts w:ascii="Calibri" w:hAnsi="Calibri"/>
          <w:szCs w:val="22"/>
          <w:lang w:eastAsia="sk-SK"/>
        </w:rPr>
        <w:t xml:space="preserve">za účelom posúdenia hospodárnosti rozpočtu projektu môže </w:t>
      </w:r>
      <w:r w:rsidRPr="003D3CC2">
        <w:rPr>
          <w:rFonts w:ascii="Calibri" w:hAnsi="Calibri"/>
          <w:szCs w:val="22"/>
          <w:lang w:eastAsia="sk-SK"/>
        </w:rPr>
        <w:t xml:space="preserve">prieskum trhu </w:t>
      </w:r>
      <w:r w:rsidR="00946DF1" w:rsidRPr="003D3CC2">
        <w:rPr>
          <w:rFonts w:ascii="Calibri" w:hAnsi="Calibri"/>
          <w:szCs w:val="22"/>
          <w:lang w:eastAsia="sk-SK"/>
        </w:rPr>
        <w:t xml:space="preserve"> nahradiť dokumentáciou na výpočet predpokladanej hodnoty. V takom prípade mus</w:t>
      </w:r>
      <w:r w:rsidR="008D251E" w:rsidRPr="003D3CC2">
        <w:rPr>
          <w:rFonts w:ascii="Calibri" w:hAnsi="Calibri"/>
          <w:szCs w:val="22"/>
          <w:lang w:eastAsia="sk-SK"/>
        </w:rPr>
        <w:t>ia byť</w:t>
      </w:r>
      <w:r w:rsidR="00946DF1" w:rsidRPr="003D3CC2">
        <w:rPr>
          <w:rFonts w:ascii="Calibri" w:hAnsi="Calibri"/>
          <w:szCs w:val="22"/>
          <w:lang w:eastAsia="sk-SK"/>
        </w:rPr>
        <w:t xml:space="preserve"> sp</w:t>
      </w:r>
      <w:r w:rsidR="00952F10" w:rsidRPr="003D3CC2">
        <w:rPr>
          <w:rFonts w:ascii="Calibri" w:hAnsi="Calibri"/>
          <w:szCs w:val="22"/>
          <w:lang w:eastAsia="sk-SK"/>
        </w:rPr>
        <w:t>l</w:t>
      </w:r>
      <w:r w:rsidR="008D251E" w:rsidRPr="003D3CC2">
        <w:rPr>
          <w:rFonts w:ascii="Calibri" w:hAnsi="Calibri"/>
          <w:szCs w:val="22"/>
          <w:lang w:eastAsia="sk-SK"/>
        </w:rPr>
        <w:t>nené</w:t>
      </w:r>
      <w:r w:rsidR="00946DF1" w:rsidRPr="003D3CC2">
        <w:rPr>
          <w:rFonts w:ascii="Calibri" w:hAnsi="Calibri"/>
          <w:szCs w:val="22"/>
          <w:lang w:eastAsia="sk-SK"/>
        </w:rPr>
        <w:t xml:space="preserve"> nasledovné podmienky:</w:t>
      </w:r>
      <w:r w:rsidR="00946DF1" w:rsidRPr="008D251E">
        <w:rPr>
          <w:rFonts w:ascii="Calibri" w:hAnsi="Calibri"/>
          <w:szCs w:val="22"/>
          <w:lang w:eastAsia="sk-SK"/>
        </w:rPr>
        <w:t>PHZ bola určená prieskumom trhu a prijímateľ disponuje minimálne 2 cenovými ponukami alebo PHZ bola určená na základe údajov a informácií o zákazkách na rovnaký alebo porovnateľný predmet zákazky, prípravnou trhovou konzultáciou alebo na základe údajov získaných iným vhodným spôsobom, pričom prijímateľ identifikoval minimálne 2 zákazky (zmluvy) obdobného charakteru ako predmet zákazky, resp. získal minimálne 2 relevantné údaje o cenách alebo v prípade zákaziek na stavebné práce bola PHZ určená projektantom, ktorý zostavil rozpočet stavebných prác alebo štátnou cenovou expertízou;</w:t>
      </w:r>
    </w:p>
    <w:p w14:paraId="759F4BFC" w14:textId="06901A72" w:rsidR="00946DF1" w:rsidRPr="008D251E" w:rsidRDefault="00946DF1" w:rsidP="008858BA">
      <w:pPr>
        <w:pStyle w:val="Zkladntext"/>
        <w:numPr>
          <w:ilvl w:val="0"/>
          <w:numId w:val="33"/>
        </w:numPr>
        <w:spacing w:before="120" w:after="120"/>
        <w:ind w:left="709"/>
        <w:rPr>
          <w:rFonts w:ascii="Calibri" w:hAnsi="Calibri"/>
          <w:szCs w:val="22"/>
          <w:lang w:eastAsia="sk-SK"/>
        </w:rPr>
      </w:pPr>
      <w:r w:rsidRPr="008D251E">
        <w:rPr>
          <w:rFonts w:ascii="Calibri" w:hAnsi="Calibri"/>
          <w:szCs w:val="22"/>
          <w:lang w:eastAsia="sk-SK"/>
        </w:rPr>
        <w:t>v postupe zadávania zákazky na bežne dostupné</w:t>
      </w:r>
      <w:r w:rsidR="00952F10">
        <w:rPr>
          <w:rStyle w:val="Odkaznapoznmkupodiarou"/>
          <w:rFonts w:ascii="Calibri" w:hAnsi="Calibri"/>
          <w:szCs w:val="22"/>
          <w:lang w:eastAsia="sk-SK"/>
        </w:rPr>
        <w:footnoteReference w:id="45"/>
      </w:r>
      <w:r w:rsidRPr="008D251E">
        <w:rPr>
          <w:rFonts w:ascii="Calibri" w:hAnsi="Calibri"/>
          <w:szCs w:val="22"/>
          <w:lang w:eastAsia="sk-SK"/>
        </w:rPr>
        <w:t xml:space="preserve"> tovary, služby alebo stavebné práce boli predložené 3 a viac ponúk, ktoré spĺňajú podmienky účasti a požiadavky na predmet zákazky alebo v postupe zadávania zákazky na nie bežne dostupné tovary, služby alebo stavebné práce boli predložené 2 alebo viac ponúk (v prípade reverznej verejnej súťaže postačuje predloženie 3, resp. v prípade nie bežne dostupných tovarov, služieb a stavebných prác 2 a viac ponúk, nakoľko verejný obstarávateľ</w:t>
      </w:r>
      <w:r w:rsidRPr="00952F10">
        <w:t xml:space="preserve"> môže </w:t>
      </w:r>
      <w:r w:rsidRPr="008D251E">
        <w:rPr>
          <w:rFonts w:ascii="Calibri" w:hAnsi="Calibri"/>
          <w:szCs w:val="22"/>
          <w:lang w:eastAsia="sk-SK"/>
        </w:rPr>
        <w:t>rozhodnúť, že splnenie podmienok účasti a požiadaviek na predmet zákazky sa vyhodnocuje iba v prípade uchádzača, ktorý sa umiestnil ako prvý v poradí; v prípade zákaziek zadávaných na základe rámcovej dohody postačuje, ak boli 3 a viac ponúk predložené v rámci postupu VO/obstarávania, ktorý viedol k uzavretiu rámcovej dohody – uvedené platí aj v prípade opätovného otvorenia súťaže; v prípade postupov obstarávania a prieskumu trhu na účely overenia hospodárnosti podľa kapitoly 3 Metodického pokynu CKO č. 12, platí pravidlo o počte ponúk uvedené v tom</w:t>
      </w:r>
      <w:r w:rsidR="008D251E" w:rsidRPr="008D251E">
        <w:rPr>
          <w:rFonts w:ascii="Calibri" w:hAnsi="Calibri"/>
          <w:szCs w:val="22"/>
          <w:lang w:eastAsia="sk-SK"/>
        </w:rPr>
        <w:t>to Metodickom pokyne CKO č. 12)</w:t>
      </w:r>
    </w:p>
    <w:p w14:paraId="484991B4" w14:textId="189EA02C" w:rsidR="005D4F47" w:rsidRDefault="005D4F47" w:rsidP="00151681">
      <w:pPr>
        <w:spacing w:before="120" w:line="240" w:lineRule="auto"/>
        <w:jc w:val="both"/>
      </w:pPr>
    </w:p>
    <w:p w14:paraId="796E202E" w14:textId="0F3824B8" w:rsidR="005D4F47" w:rsidRPr="003D3170" w:rsidRDefault="005D4F47" w:rsidP="00151681">
      <w:pPr>
        <w:spacing w:before="120" w:line="240" w:lineRule="auto"/>
        <w:jc w:val="both"/>
        <w:rPr>
          <w:b/>
          <w:color w:val="002060"/>
        </w:rPr>
      </w:pPr>
      <w:r w:rsidRPr="003D3170">
        <w:rPr>
          <w:b/>
          <w:color w:val="002060"/>
        </w:rPr>
        <w:t>Stanovenie</w:t>
      </w:r>
      <w:r>
        <w:t xml:space="preserve"> </w:t>
      </w:r>
      <w:r w:rsidRPr="003D3170">
        <w:rPr>
          <w:b/>
          <w:color w:val="002060"/>
        </w:rPr>
        <w:t>rozpočtu</w:t>
      </w:r>
      <w:r>
        <w:t xml:space="preserve"> </w:t>
      </w:r>
      <w:r w:rsidRPr="003D3170">
        <w:rPr>
          <w:b/>
          <w:color w:val="002060"/>
        </w:rPr>
        <w:t>projektu</w:t>
      </w:r>
      <w:r w:rsidR="000F6D81">
        <w:rPr>
          <w:b/>
          <w:color w:val="002060"/>
        </w:rPr>
        <w:t xml:space="preserve"> </w:t>
      </w:r>
      <w:r w:rsidR="00B464C7">
        <w:rPr>
          <w:b/>
          <w:color w:val="002060"/>
        </w:rPr>
        <w:t xml:space="preserve">v žiadosti o NFP </w:t>
      </w:r>
      <w:r w:rsidR="000F6D81">
        <w:rPr>
          <w:b/>
          <w:color w:val="002060"/>
        </w:rPr>
        <w:t>na základe prieskumu trhu</w:t>
      </w:r>
      <w:r w:rsidRPr="003D3170">
        <w:rPr>
          <w:b/>
          <w:color w:val="002060"/>
        </w:rPr>
        <w:t>:</w:t>
      </w:r>
    </w:p>
    <w:p w14:paraId="6F9A2749" w14:textId="727C6E04" w:rsidR="008B113A" w:rsidRDefault="005D4F47" w:rsidP="008B113A">
      <w:pPr>
        <w:spacing w:before="120" w:line="240" w:lineRule="auto"/>
        <w:jc w:val="both"/>
      </w:pPr>
      <w:r>
        <w:t xml:space="preserve">a) ak sa rozpočet robí na položky (tovary, služby, stavebné práce), ktoré ešte neboli predmetom verejného obstarávania, rozpočet sa stanovuje </w:t>
      </w:r>
      <w:r w:rsidR="000F6D81">
        <w:t xml:space="preserve">ako priemer, t. j. hodnota získaná aritmetickým priemerom porovnateľných ponúk. </w:t>
      </w:r>
      <w:r w:rsidR="008B113A">
        <w:t xml:space="preserve">K tomuto rozpočtu sa na účel posúdenia hospodárnosti predkladá podporná dokumentácia k postupu kalkulácie rozpočtu ako napr. prieskum trhu. </w:t>
      </w:r>
      <w:r w:rsidR="00652872">
        <w:t>Za hospodárne je považované aj predloženie rozpočtu potvrdeného oprávnenou osobou. V takom prípade nie je potrebné predložiť tri cenové ponuky.</w:t>
      </w:r>
    </w:p>
    <w:p w14:paraId="7280E5AD" w14:textId="1A25E3FB" w:rsidR="005D4F47" w:rsidRDefault="005D4F47" w:rsidP="00151681">
      <w:pPr>
        <w:spacing w:before="120" w:line="240" w:lineRule="auto"/>
        <w:jc w:val="both"/>
      </w:pPr>
      <w:r>
        <w:t xml:space="preserve">b) ak sa rozpočet robí na položky po verejnom obstarávaní, do rozpočtu projektu sa uvedenie cena položiek úspešného uchádzača verejného obstarávania. </w:t>
      </w:r>
      <w:r w:rsidR="00B7777E">
        <w:t xml:space="preserve"> K tomuto rozpočtu sa na účel posúdenia hospodárnosti predkladá aj postup výpočtu predpokladanej hodnoty zákazky spolu s podpornou dokumentáciou (napr. oslovenie </w:t>
      </w:r>
      <w:r w:rsidR="008B113A">
        <w:t xml:space="preserve">troch potenciálnych uchádzačov). </w:t>
      </w:r>
    </w:p>
    <w:p w14:paraId="6621EE6C" w14:textId="77777777" w:rsidR="00A86291" w:rsidRDefault="00A86291" w:rsidP="00151681">
      <w:pPr>
        <w:spacing w:before="120" w:line="240" w:lineRule="auto"/>
        <w:jc w:val="both"/>
      </w:pPr>
    </w:p>
    <w:p w14:paraId="2E7EAE69" w14:textId="70E59D30" w:rsidR="004B7756" w:rsidRPr="00B5339F" w:rsidRDefault="00CB7859" w:rsidP="00151681">
      <w:pPr>
        <w:spacing w:before="120" w:line="240" w:lineRule="auto"/>
        <w:jc w:val="both"/>
      </w:pPr>
      <w:r>
        <w:lastRenderedPageBreak/>
        <w:t xml:space="preserve">V súlade so vzniknutou mimoriadnu situáciu (koronavírus) </w:t>
      </w:r>
      <w:r w:rsidR="004B7756" w:rsidRPr="00B5339F">
        <w:t xml:space="preserve">SO </w:t>
      </w:r>
      <w:r w:rsidR="00EA6F28">
        <w:t>pre IROP</w:t>
      </w:r>
      <w:r w:rsidR="004B7756" w:rsidRPr="00B5339F">
        <w:t xml:space="preserve"> je oprávnený v prípade, že na úrovni žiadateľa nie je možné získať resp. identifikovať minimálne 3 ponuky od potenciálnych dodávateľov, akceptovať aj nižší počet ponúk</w:t>
      </w:r>
      <w:r>
        <w:t>, resp. postup uvedený v zhrnutí usmernení</w:t>
      </w:r>
      <w:r w:rsidR="004B7756" w:rsidRPr="00B5339F">
        <w:t>. V takomto prípade SO overí opodstatnenosť nižšieho ako požadovaného počtu oslovených potenciálnych dodávateľov zo strany žiadateľa.</w:t>
      </w:r>
      <w:r w:rsidR="008B113A">
        <w:t xml:space="preserve"> Na zreteľ bude vzatý aj časový faktor obdobia re</w:t>
      </w:r>
      <w:r w:rsidR="009F4636">
        <w:t xml:space="preserve">alizácie verejného obstarávania, nakoľko v čase vypuknutia nákazy COVID-19 došlo k neočakávane prudkému nárastu celosvetového dopytu po vybraných typoch komodít, čo malo negatívny vplyv na ceny. </w:t>
      </w:r>
    </w:p>
    <w:p w14:paraId="4CF5C158" w14:textId="00248857" w:rsidR="004B7756" w:rsidRPr="00B5339F" w:rsidRDefault="004B7756" w:rsidP="00151681">
      <w:pPr>
        <w:spacing w:before="120" w:line="240" w:lineRule="auto"/>
        <w:jc w:val="both"/>
      </w:pPr>
      <w:r w:rsidRPr="00B5339F">
        <w:t xml:space="preserve">SO </w:t>
      </w:r>
      <w:r w:rsidR="00EA6F28">
        <w:t xml:space="preserve">pre IROP </w:t>
      </w:r>
      <w:r w:rsidRPr="00B5339F">
        <w:t>je zároveň oprávnený v rámci vyzvania požadovať nižší počet ponúk od</w:t>
      </w:r>
      <w:r w:rsidR="00391AA9">
        <w:t> </w:t>
      </w:r>
      <w:r w:rsidRPr="00B5339F">
        <w:t xml:space="preserve">potenciálnych dodávateľov </w:t>
      </w:r>
      <w:r w:rsidR="00EF0E31">
        <w:t>a</w:t>
      </w:r>
      <w:r w:rsidR="003D3170">
        <w:t> </w:t>
      </w:r>
      <w:r w:rsidR="00EF0E31">
        <w:t>to</w:t>
      </w:r>
      <w:r w:rsidR="003D3170">
        <w:t xml:space="preserve"> </w:t>
      </w:r>
      <w:r w:rsidRPr="00B5339F">
        <w:t>najmä v prípade objektívnych skutočností vyplývajúcich zo špecifík typov oprávnených aktivít a</w:t>
      </w:r>
      <w:r w:rsidR="00CB7859">
        <w:t> </w:t>
      </w:r>
      <w:r w:rsidRPr="00B5339F">
        <w:t>žiadateľov</w:t>
      </w:r>
      <w:r w:rsidR="00CB7859">
        <w:t xml:space="preserve"> a/alebo vzniknutej mimoriadnej situácie</w:t>
      </w:r>
      <w:r w:rsidR="00EF0E31">
        <w:t xml:space="preserve"> spôsobenej pandémiou COVID-19</w:t>
      </w:r>
      <w:r w:rsidRPr="00B5339F">
        <w:t>.</w:t>
      </w:r>
    </w:p>
    <w:p w14:paraId="0B073D97" w14:textId="77777777" w:rsidR="004B7756" w:rsidRPr="00F477EA" w:rsidRDefault="004B7756" w:rsidP="00151681">
      <w:pPr>
        <w:spacing w:before="120" w:line="240" w:lineRule="auto"/>
        <w:jc w:val="both"/>
      </w:pPr>
      <w:r w:rsidRPr="00F477EA">
        <w:t>V prípade, že daný výdavok spadá pod tovar/službu/prácu, ktorá je v</w:t>
      </w:r>
      <w:r w:rsidR="00C34144">
        <w:t xml:space="preserve"> zmysle </w:t>
      </w:r>
      <w:r w:rsidRPr="00F477EA">
        <w:t xml:space="preserve">§ 2 ods. 5 písm. o) a ods. 6, ods. 7 </w:t>
      </w:r>
      <w:r w:rsidR="00BF523A">
        <w:t>ZVO</w:t>
      </w:r>
      <w:r w:rsidRPr="00F477EA">
        <w:t xml:space="preserve"> bežne dostupná na trhu, prieskum trhu môže žiadateľ vykonať aj na základe údajov zverejnených na elektronickom trhovisku (</w:t>
      </w:r>
      <w:hyperlink r:id="rId18" w:history="1">
        <w:r w:rsidRPr="00F477EA">
          <w:rPr>
            <w:rStyle w:val="Hypertextovprepojenie"/>
          </w:rPr>
          <w:t>www.eks.sk</w:t>
        </w:r>
      </w:hyperlink>
      <w:r w:rsidRPr="00F477EA">
        <w:t>). V tomto prípade identifikuje minimálne 3 rovnaké alebo porovnateľné zákazky (s</w:t>
      </w:r>
      <w:r w:rsidR="00391AA9">
        <w:t> </w:t>
      </w:r>
      <w:r w:rsidRPr="00F477EA">
        <w:t>ohľadom na predmet zákazky), ktorých priemerná hodnota bude preukazovať hospodárnosť výdavku požadovaného žiadateľom.</w:t>
      </w:r>
    </w:p>
    <w:p w14:paraId="2FD27D8F" w14:textId="77777777" w:rsidR="004B7756" w:rsidRPr="00B5339F" w:rsidRDefault="004B7756" w:rsidP="00151681">
      <w:pPr>
        <w:spacing w:before="120" w:line="240" w:lineRule="auto"/>
        <w:jc w:val="both"/>
      </w:pPr>
      <w:r w:rsidRPr="00B5339F">
        <w:t>Výstupné informácie o vykonanom prieskume trhu žiadateľ zaznamená v zázname o vykonaní prieskumu trhu, v ktorom vyhodnotí výsledky prieskumu trhu z hľadiska požiadaviek uvedených vo</w:t>
      </w:r>
      <w:r w:rsidR="00391AA9">
        <w:t> </w:t>
      </w:r>
      <w:r w:rsidRPr="00B5339F">
        <w:t>výzve.</w:t>
      </w:r>
    </w:p>
    <w:p w14:paraId="3927972A" w14:textId="77777777" w:rsidR="004B7756" w:rsidRPr="00B5339F" w:rsidRDefault="004B7756" w:rsidP="00151681">
      <w:pPr>
        <w:spacing w:before="120" w:line="240" w:lineRule="auto"/>
        <w:jc w:val="both"/>
      </w:pPr>
      <w:r w:rsidRPr="00B5339F">
        <w:t xml:space="preserve">SO </w:t>
      </w:r>
      <w:r w:rsidR="00EA6F28">
        <w:t>pre IROP</w:t>
      </w:r>
      <w:r w:rsidRPr="00B5339F">
        <w:t xml:space="preserve"> je oprávnený overiť výšku výdavkov nárokovaných v ŽoNFP, na základe žiadateľom vykonaného prieskumu trhu prostredníctvom vykonania svojho vlastného prieskumu trhu. V</w:t>
      </w:r>
      <w:r w:rsidR="00391AA9">
        <w:t> </w:t>
      </w:r>
      <w:r w:rsidRPr="00B5339F">
        <w:t xml:space="preserve">prípade, ak výška výdavkov nárokovaných žiadateľom v rozpočte ŽoNFP prevyšuje ceny identifikované SO </w:t>
      </w:r>
      <w:r w:rsidR="00EA6F28">
        <w:t xml:space="preserve">pre IROP </w:t>
      </w:r>
      <w:r w:rsidRPr="00B5339F">
        <w:t xml:space="preserve">na základe ním vykonaného prieskumu trhu, SO </w:t>
      </w:r>
      <w:r w:rsidR="00EA6F28">
        <w:t>pre IROP</w:t>
      </w:r>
      <w:r w:rsidRPr="00B5339F">
        <w:t xml:space="preserve"> bude považovať tieto výdavky za nehospodárne </w:t>
      </w:r>
      <w:r>
        <w:t xml:space="preserve">a maximálnou výškou oprávnených </w:t>
      </w:r>
      <w:r w:rsidRPr="00B5339F">
        <w:t xml:space="preserve">výdavkov jednotkových cien žiadateľa/prijímateľa bude výška oprávnených výdavkov stanovená SO </w:t>
      </w:r>
      <w:r w:rsidR="00EA6F28">
        <w:t>pre IROP</w:t>
      </w:r>
      <w:r w:rsidRPr="00B5339F">
        <w:t xml:space="preserve"> na základe ním vykonaného prieskumu trhu.</w:t>
      </w:r>
    </w:p>
    <w:p w14:paraId="3EDEF349" w14:textId="7100CAE4" w:rsidR="00F120A9" w:rsidRDefault="004B7756" w:rsidP="00151681">
      <w:pPr>
        <w:spacing w:before="120" w:line="240" w:lineRule="auto"/>
        <w:jc w:val="both"/>
      </w:pPr>
      <w:r w:rsidRPr="00B5339F">
        <w:t>Ak je to relevantné, osobitné podmienky pre vykonanie prieskumu trhu budú stanovené vo</w:t>
      </w:r>
      <w:r w:rsidR="00391AA9">
        <w:t> </w:t>
      </w:r>
      <w:r w:rsidRPr="00B5339F">
        <w:t>výzve</w:t>
      </w:r>
      <w:r w:rsidR="00F120A9">
        <w:t xml:space="preserve">. </w:t>
      </w:r>
    </w:p>
    <w:p w14:paraId="46747E45" w14:textId="77777777" w:rsidR="00B464C7" w:rsidRDefault="00B464C7" w:rsidP="00151681">
      <w:pPr>
        <w:spacing w:before="120" w:line="240" w:lineRule="auto"/>
        <w:jc w:val="both"/>
      </w:pPr>
    </w:p>
    <w:p w14:paraId="56A1809C" w14:textId="384F6D15" w:rsidR="000F6D81" w:rsidRDefault="000F6D81" w:rsidP="008858BA">
      <w:pPr>
        <w:pStyle w:val="Odsekzoznamu"/>
        <w:numPr>
          <w:ilvl w:val="0"/>
          <w:numId w:val="27"/>
        </w:numPr>
        <w:spacing w:before="120" w:line="240" w:lineRule="auto"/>
        <w:jc w:val="both"/>
        <w:rPr>
          <w:b/>
          <w:color w:val="002060"/>
        </w:rPr>
      </w:pPr>
      <w:r>
        <w:rPr>
          <w:b/>
          <w:color w:val="002060"/>
        </w:rPr>
        <w:t>Prieskum trhu - cenové mapy</w:t>
      </w:r>
    </w:p>
    <w:p w14:paraId="0CCFB1AC" w14:textId="3FCB68E7" w:rsidR="000F6D81" w:rsidRPr="00A472CC" w:rsidRDefault="000F6D81" w:rsidP="000F6D81">
      <w:pPr>
        <w:spacing w:before="120" w:line="240" w:lineRule="auto"/>
        <w:jc w:val="both"/>
      </w:pPr>
      <w:r w:rsidRPr="009F4636">
        <w:t xml:space="preserve">Ministerstvo zdravotníctva SR má vypracovanú databázu cien zdravotníckej techniky, ktorá obsahuje ceny zo zmlúv najčastejšie nakupovaných položiek prevažne v rámci českého a slovenského trhu. Cieľom databázy je stimulovať objektívnu tvorbu predpokladanej hodnoty zákazy. Databáza je zverejnená na webovom sídle ministerstva zdravotníctva: </w:t>
      </w:r>
      <w:hyperlink r:id="rId19" w:history="1">
        <w:r w:rsidRPr="009F4636">
          <w:t>www.health.gov.sk</w:t>
        </w:r>
      </w:hyperlink>
      <w:r w:rsidRPr="00106926">
        <w:t xml:space="preserve">.  </w:t>
      </w:r>
      <w:r w:rsidRPr="00A472CC">
        <w:t xml:space="preserve">Pri využívaní databázy cien zdravotníckej techniky sa porovnávajú ceny zdravotníckej techniky/súboru zdravotníckej techniky a prístrojového vybavenia v žiadosti o NFP, v ponuke víťazného uchádzača s cenami zdravotníckej techniky/súboru zdravotníckej techniky a prístrojového vybavenia uvedenej v tejto databáze. Porovnávajú sa pritom ceny totožnej alebo obdobnej zdravotníckej techniky/súboru zdravotníckej techniky a prístrojového vybavenia. Posudzovanie hospodárnosti využitím cenovej mapy sa bude uplatňovať so zreteľom na obdobie realizácie verejného obstarávania.  </w:t>
      </w:r>
    </w:p>
    <w:p w14:paraId="79842F1F" w14:textId="69E17304" w:rsidR="000F6D81" w:rsidRPr="00A472CC" w:rsidRDefault="000F6D81" w:rsidP="000F6D81">
      <w:pPr>
        <w:spacing w:before="120" w:line="240" w:lineRule="auto"/>
        <w:jc w:val="both"/>
      </w:pPr>
    </w:p>
    <w:p w14:paraId="09064C21" w14:textId="0C38B92D" w:rsidR="000F6D81" w:rsidRDefault="000F6D81" w:rsidP="000F6D81">
      <w:pPr>
        <w:spacing w:before="120" w:line="240" w:lineRule="auto"/>
        <w:jc w:val="both"/>
      </w:pPr>
      <w:r w:rsidRPr="00A472CC">
        <w:t xml:space="preserve">MZ SR ako poskytovateľ v rámci odborného hodnotenia žiadosti o NFP a kontroly hospodárnosti v rámci administratívnej finančnej kontroly verejného obstarávania využíva aj iné nástroje </w:t>
      </w:r>
      <w:r w:rsidR="00CA2432" w:rsidRPr="00A472CC">
        <w:t xml:space="preserve">prieskumu trhu ako napr. vyhľadávanie cien na internete, aktuálne cenníky a katalógy firiem, resp. iných propagačných materiálov, osobným zisťovaním s následným vyhotovením zápisu z osobného stretnutia s uvedením kontaktnej osoby dodávateľa. </w:t>
      </w:r>
    </w:p>
    <w:p w14:paraId="7724A326" w14:textId="77777777" w:rsidR="003E2ACD" w:rsidRPr="00A472CC" w:rsidRDefault="003E2ACD" w:rsidP="000F6D81">
      <w:pPr>
        <w:spacing w:before="120" w:line="240" w:lineRule="auto"/>
        <w:jc w:val="both"/>
      </w:pPr>
    </w:p>
    <w:p w14:paraId="0A2806DF" w14:textId="6E2EF3B8" w:rsidR="004B7756" w:rsidRPr="00A640AC" w:rsidRDefault="004B7756" w:rsidP="008858BA">
      <w:pPr>
        <w:pStyle w:val="Odsekzoznamu"/>
        <w:numPr>
          <w:ilvl w:val="0"/>
          <w:numId w:val="27"/>
        </w:numPr>
        <w:spacing w:before="120" w:line="240" w:lineRule="auto"/>
        <w:jc w:val="both"/>
        <w:rPr>
          <w:b/>
          <w:color w:val="002060"/>
        </w:rPr>
      </w:pPr>
      <w:r w:rsidRPr="00A640AC">
        <w:rPr>
          <w:b/>
          <w:color w:val="002060"/>
        </w:rPr>
        <w:t>Štátna expertíza</w:t>
      </w:r>
      <w:r w:rsidR="00952F10">
        <w:rPr>
          <w:b/>
          <w:color w:val="002060"/>
        </w:rPr>
        <w:t xml:space="preserve"> stavebného zámeru</w:t>
      </w:r>
    </w:p>
    <w:p w14:paraId="3C9C5A33" w14:textId="7EE00BFD" w:rsidR="00665C56" w:rsidRDefault="004B7756" w:rsidP="00151681">
      <w:pPr>
        <w:spacing w:before="120" w:line="240" w:lineRule="auto"/>
        <w:jc w:val="both"/>
      </w:pPr>
      <w:r w:rsidRPr="00B5339F">
        <w:t xml:space="preserve">V prípade, </w:t>
      </w:r>
      <w:r w:rsidR="00F120A9">
        <w:t xml:space="preserve">ak na verejné práce nebolo ukončené VO, pri posudzovaní hospodárnosti sa vychádza </w:t>
      </w:r>
      <w:r w:rsidR="00947A4A">
        <w:t xml:space="preserve">aj </w:t>
      </w:r>
      <w:r w:rsidR="00F120A9">
        <w:t xml:space="preserve">zo záverov </w:t>
      </w:r>
      <w:r w:rsidR="00665C56">
        <w:t>štátnej expertízy</w:t>
      </w:r>
      <w:r w:rsidR="00952F10">
        <w:t xml:space="preserve"> stavebného zámeru</w:t>
      </w:r>
      <w:r w:rsidR="00947A4A">
        <w:t xml:space="preserve"> podľa zákona č. 254/1998 Z. z. o verejných prácach </w:t>
      </w:r>
      <w:r w:rsidR="00947A4A">
        <w:lastRenderedPageBreak/>
        <w:t xml:space="preserve">v znení neskorších predpisov. Tento nástroj na posúdenie hospodárnosti je možné zohľadniť v prípade verejnej investície, ktorej celková </w:t>
      </w:r>
      <w:r w:rsidR="00952F10">
        <w:t xml:space="preserve">cena je vyššia ako 20  mil. eur vrátane DPH. </w:t>
      </w:r>
    </w:p>
    <w:p w14:paraId="30646EF1" w14:textId="77777777" w:rsidR="00EF1B0F" w:rsidRPr="004E4001" w:rsidRDefault="00EF1B0F" w:rsidP="00151681">
      <w:pPr>
        <w:spacing w:before="120" w:line="240" w:lineRule="auto"/>
        <w:jc w:val="both"/>
      </w:pPr>
    </w:p>
    <w:p w14:paraId="553D316A" w14:textId="77777777" w:rsidR="004B7756" w:rsidRPr="00A640AC" w:rsidRDefault="004B7756" w:rsidP="008858BA">
      <w:pPr>
        <w:pStyle w:val="Odsekzoznamu"/>
        <w:numPr>
          <w:ilvl w:val="0"/>
          <w:numId w:val="27"/>
        </w:numPr>
        <w:spacing w:before="120" w:line="240" w:lineRule="auto"/>
        <w:jc w:val="both"/>
        <w:rPr>
          <w:b/>
          <w:color w:val="002060"/>
        </w:rPr>
      </w:pPr>
      <w:r w:rsidRPr="00A640AC">
        <w:rPr>
          <w:b/>
          <w:color w:val="002060"/>
        </w:rPr>
        <w:t>Podklady vypracované autorizovanou osobou</w:t>
      </w:r>
    </w:p>
    <w:p w14:paraId="279D9603" w14:textId="22C5E05A" w:rsidR="008650FB" w:rsidRDefault="004B7756" w:rsidP="00151681">
      <w:pPr>
        <w:spacing w:before="120" w:line="240" w:lineRule="auto"/>
        <w:jc w:val="both"/>
      </w:pPr>
      <w:r w:rsidRPr="00B5339F">
        <w:t>V prípade stavebných prác je možné pre účely hospodárnosti výdavkov v ŽoNFP vychádzať aj z</w:t>
      </w:r>
      <w:r w:rsidR="00391AA9">
        <w:t> </w:t>
      </w:r>
      <w:r w:rsidRPr="00B5339F">
        <w:t>rozpočtu projektu vypracovaného autorizovanou osobou podľa zákona č. 138/1992 Zb. o</w:t>
      </w:r>
      <w:r w:rsidR="00391AA9">
        <w:t> </w:t>
      </w:r>
      <w:r w:rsidRPr="00B5339F">
        <w:t>autorizovaných architektoch a autorizovaných stavebných inžinieroch v znení neskorších predpisov.</w:t>
      </w:r>
      <w:r>
        <w:t xml:space="preserve"> </w:t>
      </w:r>
    </w:p>
    <w:p w14:paraId="522E8FAA" w14:textId="078D0D13" w:rsidR="00952F10" w:rsidRPr="00A472CC" w:rsidRDefault="00952F10" w:rsidP="009F4636">
      <w:pPr>
        <w:spacing w:before="120" w:line="240" w:lineRule="auto"/>
        <w:jc w:val="both"/>
      </w:pPr>
      <w:r w:rsidRPr="00A472CC">
        <w:t>Hospodárnosť je pos</w:t>
      </w:r>
      <w:r w:rsidR="00670024" w:rsidRPr="00A472CC">
        <w:t>udzovaná najmä</w:t>
      </w:r>
      <w:r w:rsidR="007078FC" w:rsidRPr="00A472CC">
        <w:t xml:space="preserve"> v rámci kontroly/finančnej kontroly VO alebo obstarávania a to najneskôr pri </w:t>
      </w:r>
      <w:r w:rsidR="00670024" w:rsidRPr="00A472CC">
        <w:t xml:space="preserve">druhej ex-ante, následnej resp. </w:t>
      </w:r>
      <w:r w:rsidR="007078FC" w:rsidRPr="00A472CC">
        <w:t>ex-post administratívnej finančnej kontroly verejného obstarávania, v rámci ktorých sa posudzuje, či neboli identifikované porušenia pravidiel a postupov VO, ktoré mali alebo mohli mať vplyv na výsledok VO a neboli identifikované rizikové indikátory, ktoré predstavujú možné porušenie pravidiel ochrany hospodárskej súťaže. V prípade identifikovania nehospodárnosti použitím aj niektorého z vyššie uvedených postupov,</w:t>
      </w:r>
      <w:r w:rsidR="00670024" w:rsidRPr="00A472CC">
        <w:t xml:space="preserve"> MZ SR ako </w:t>
      </w:r>
      <w:r w:rsidR="007078FC" w:rsidRPr="00A472CC">
        <w:t xml:space="preserve"> poskytovateľ nemusí zohľadniť víťaznú cenu a môže znížiť výšku príspevku z dôvodu nehospodárnosti, čo musí riadne v návrhu správy alebo v</w:t>
      </w:r>
      <w:r w:rsidR="00670024" w:rsidRPr="00A472CC">
        <w:t xml:space="preserve"> správe </w:t>
      </w:r>
      <w:r w:rsidR="007078FC" w:rsidRPr="00A472CC">
        <w:t xml:space="preserve">riadne zdôvodniť.  </w:t>
      </w:r>
    </w:p>
    <w:p w14:paraId="016FFCC7" w14:textId="2D7BE241" w:rsidR="00CA2432" w:rsidRPr="00A472CC" w:rsidRDefault="00CA2432" w:rsidP="00B464C7">
      <w:pPr>
        <w:spacing w:before="120" w:line="240" w:lineRule="auto"/>
        <w:jc w:val="both"/>
      </w:pPr>
      <w:r w:rsidRPr="00A472CC">
        <w:t xml:space="preserve">V rámci žiadosti o platbu pri administratívnej finančnej kontrole sa pri posudzovaní hospodárnosti zisťuje, či je zhoda výdavku vysúťaženého v rámci VO po kontrole hospodárnosti s výdavkom predloženým v žiadosti o platbu. </w:t>
      </w:r>
    </w:p>
    <w:p w14:paraId="2BD599A8" w14:textId="657A3394" w:rsidR="00CA2432" w:rsidRDefault="00CA2432" w:rsidP="00B464C7">
      <w:pPr>
        <w:spacing w:before="120" w:line="240" w:lineRule="auto"/>
        <w:jc w:val="both"/>
      </w:pPr>
      <w:r w:rsidRPr="00A472CC">
        <w:t xml:space="preserve">Pri finančnej kontrole na mieste sa pri kontrole hospodárnosti zisťuje, či </w:t>
      </w:r>
      <w:r w:rsidRPr="008D5A84">
        <w:t>je fyzická zhoda reálne na mieste realizácie projektu dodaného výdavku s výdavkom uvedeným v žiadosti o platbu a v podpornej dokumentácii k žiadosti o platbu.</w:t>
      </w:r>
    </w:p>
    <w:p w14:paraId="4EC3B12B" w14:textId="35D42D79" w:rsidR="00B464C7" w:rsidRDefault="00B464C7" w:rsidP="00B464C7">
      <w:pPr>
        <w:spacing w:before="120" w:line="240" w:lineRule="auto"/>
        <w:jc w:val="both"/>
      </w:pPr>
      <w:r>
        <w:t xml:space="preserve">Hospodárnosť sa posudzuje aj pri zmenovom konaní. Poskytovateľ </w:t>
      </w:r>
      <w:r w:rsidRPr="008D5A84">
        <w:t>posudzuje hospodárnosť zmeneného výdavku najmä posúdením jeho kvalitatívnych parametrov, nevyhnutnosti a účelnosti zmeny</w:t>
      </w:r>
      <w:r>
        <w:t xml:space="preserve">. Prijímateľ spolu so žiadosťou o zmenové konanie predloží podpornú dokumentáciu na posúdenie hospodárnosti, pričom môže využiť nástroje posúdenia hospodárnosti uvedené v týchto pravidlách. Vychádza z usmernenia SO IROP  č. 1 – zmenové konanie v aktuálnom znení. </w:t>
      </w:r>
    </w:p>
    <w:p w14:paraId="785037E9" w14:textId="77777777" w:rsidR="00670024" w:rsidRDefault="00670024" w:rsidP="00B464C7">
      <w:pPr>
        <w:spacing w:before="120" w:line="240" w:lineRule="auto"/>
        <w:jc w:val="both"/>
      </w:pPr>
    </w:p>
    <w:p w14:paraId="0BF96E2B" w14:textId="14DC5787" w:rsidR="00670024" w:rsidRDefault="00670024" w:rsidP="00B464C7">
      <w:pPr>
        <w:spacing w:before="120" w:line="240" w:lineRule="auto"/>
        <w:jc w:val="both"/>
      </w:pPr>
      <w:r>
        <w:t xml:space="preserve">MZ SR pri projektových zámeroch hospodárnosť neposudzuje. </w:t>
      </w:r>
    </w:p>
    <w:p w14:paraId="641695A8" w14:textId="59C3D74D" w:rsidR="00BF15E8" w:rsidRDefault="00BF15E8" w:rsidP="00B464C7">
      <w:pPr>
        <w:spacing w:before="120" w:line="240" w:lineRule="auto"/>
        <w:jc w:val="both"/>
      </w:pPr>
      <w:r>
        <w:t xml:space="preserve">Hospodárnosť dodatočných výdavkov sa v rámci konania o žiadosti neposudzuje. Posudzuje sa až pri predložení žiadosti prijímateľa o zmenové konané na uplatnenie dodatočných výdavkov a to na základe predloženia </w:t>
      </w:r>
      <w:r w:rsidR="00F90A96">
        <w:t xml:space="preserve">výsledku predpokladanej hodnoty zákazky sa účelom určenia limitu pre vyhlásenie verejného obstarávania. V prípade už ukončeného verejného obstarávania sa posudzuje PHZ k ukončenému verejnému obstarávaniu a výsledok verejného obstarávania t. j. cena uvedená v obchodnej  zmluve. </w:t>
      </w:r>
    </w:p>
    <w:p w14:paraId="0CE302DC" w14:textId="57955C3D" w:rsidR="008F1A42" w:rsidRDefault="008F1A42" w:rsidP="00B464C7">
      <w:pPr>
        <w:spacing w:before="120" w:line="240" w:lineRule="auto"/>
        <w:jc w:val="both"/>
      </w:pPr>
    </w:p>
    <w:p w14:paraId="18007ADC" w14:textId="6EC22B4E" w:rsidR="008F1A42" w:rsidRDefault="008F1A42" w:rsidP="00B464C7">
      <w:pPr>
        <w:spacing w:before="120" w:line="240" w:lineRule="auto"/>
        <w:jc w:val="both"/>
      </w:pPr>
    </w:p>
    <w:p w14:paraId="2A043E4E" w14:textId="0E21FDC6" w:rsidR="008F1A42" w:rsidRDefault="008F1A42" w:rsidP="00B464C7">
      <w:pPr>
        <w:spacing w:before="120" w:line="240" w:lineRule="auto"/>
        <w:jc w:val="both"/>
      </w:pPr>
    </w:p>
    <w:p w14:paraId="49116002" w14:textId="65FCFCB6" w:rsidR="008F1A42" w:rsidRDefault="008F1A42" w:rsidP="00B464C7">
      <w:pPr>
        <w:spacing w:before="120" w:line="240" w:lineRule="auto"/>
        <w:jc w:val="both"/>
      </w:pPr>
    </w:p>
    <w:p w14:paraId="3577D026" w14:textId="519BEA49" w:rsidR="008F1A42" w:rsidRDefault="008F1A42" w:rsidP="00B464C7">
      <w:pPr>
        <w:spacing w:before="120" w:line="240" w:lineRule="auto"/>
        <w:jc w:val="both"/>
      </w:pPr>
    </w:p>
    <w:p w14:paraId="6577D7BF" w14:textId="2028C102" w:rsidR="008F1A42" w:rsidRDefault="008F1A42" w:rsidP="00B464C7">
      <w:pPr>
        <w:spacing w:before="120" w:line="240" w:lineRule="auto"/>
        <w:jc w:val="both"/>
      </w:pPr>
    </w:p>
    <w:p w14:paraId="56812F7C" w14:textId="437B6FE9" w:rsidR="008F1A42" w:rsidRDefault="008F1A42" w:rsidP="00B464C7">
      <w:pPr>
        <w:spacing w:before="120" w:line="240" w:lineRule="auto"/>
        <w:jc w:val="both"/>
      </w:pPr>
    </w:p>
    <w:p w14:paraId="718108CB" w14:textId="393356D5" w:rsidR="008F1A42" w:rsidRDefault="008F1A42" w:rsidP="00B464C7">
      <w:pPr>
        <w:spacing w:before="120" w:line="240" w:lineRule="auto"/>
        <w:jc w:val="both"/>
      </w:pPr>
    </w:p>
    <w:p w14:paraId="0196FC54" w14:textId="590D4935" w:rsidR="008F1A42" w:rsidRDefault="008F1A42" w:rsidP="00B464C7">
      <w:pPr>
        <w:spacing w:before="120" w:line="240" w:lineRule="auto"/>
        <w:jc w:val="both"/>
      </w:pPr>
    </w:p>
    <w:p w14:paraId="6DBE4F44" w14:textId="0E969C89" w:rsidR="008F1A42" w:rsidRDefault="008F1A42" w:rsidP="00B464C7">
      <w:pPr>
        <w:spacing w:before="120" w:line="240" w:lineRule="auto"/>
        <w:jc w:val="both"/>
      </w:pPr>
    </w:p>
    <w:p w14:paraId="42FFF2A2" w14:textId="1FBA1A42" w:rsidR="008F1A42" w:rsidRDefault="008F1A42" w:rsidP="00B464C7">
      <w:pPr>
        <w:spacing w:before="120" w:line="240" w:lineRule="auto"/>
        <w:jc w:val="both"/>
      </w:pPr>
    </w:p>
    <w:p w14:paraId="418E0F39" w14:textId="6DC6CD56" w:rsidR="008F1A42" w:rsidRDefault="008F1A42" w:rsidP="00B464C7">
      <w:pPr>
        <w:spacing w:before="120" w:line="240" w:lineRule="auto"/>
        <w:jc w:val="both"/>
      </w:pPr>
    </w:p>
    <w:p w14:paraId="7EC059BE" w14:textId="4CF7C39F" w:rsidR="008F1A42" w:rsidRDefault="008F1A42" w:rsidP="00B464C7">
      <w:pPr>
        <w:spacing w:before="120" w:line="240" w:lineRule="auto"/>
        <w:jc w:val="both"/>
      </w:pPr>
    </w:p>
    <w:p w14:paraId="41CF0046" w14:textId="77777777" w:rsidR="00DF46E5" w:rsidRDefault="00C34144" w:rsidP="00151681">
      <w:pPr>
        <w:pStyle w:val="Nadpis1"/>
        <w:numPr>
          <w:ilvl w:val="2"/>
          <w:numId w:val="3"/>
        </w:numPr>
        <w:spacing w:before="120" w:after="120" w:line="240" w:lineRule="auto"/>
        <w:ind w:left="426"/>
        <w:rPr>
          <w:caps/>
        </w:rPr>
      </w:pPr>
      <w:bookmarkStart w:id="98" w:name="_Toc505198000"/>
      <w:bookmarkStart w:id="99" w:name="_Toc505244778"/>
      <w:bookmarkStart w:id="100" w:name="_Toc505197460"/>
      <w:bookmarkStart w:id="101" w:name="_Toc56090037"/>
      <w:bookmarkStart w:id="102" w:name="_Toc505198001"/>
      <w:bookmarkEnd w:id="98"/>
      <w:bookmarkEnd w:id="99"/>
      <w:bookmarkEnd w:id="100"/>
      <w:r w:rsidRPr="00E21188">
        <w:rPr>
          <w:caps/>
        </w:rPr>
        <w:t xml:space="preserve">Zoznam </w:t>
      </w:r>
      <w:r w:rsidR="00DF46E5">
        <w:rPr>
          <w:caps/>
        </w:rPr>
        <w:t>príloh</w:t>
      </w:r>
      <w:bookmarkEnd w:id="101"/>
    </w:p>
    <w:p w14:paraId="3D4A649B" w14:textId="77777777" w:rsidR="00DF46E5" w:rsidRPr="007511D1" w:rsidRDefault="00DF46E5" w:rsidP="00151681">
      <w:pPr>
        <w:spacing w:before="120" w:line="240" w:lineRule="auto"/>
      </w:pPr>
      <w:r w:rsidRPr="007511D1">
        <w:rPr>
          <w:b/>
          <w:bCs/>
          <w:kern w:val="32"/>
          <w:szCs w:val="32"/>
        </w:rPr>
        <w:t xml:space="preserve">Príloha </w:t>
      </w:r>
      <w:r w:rsidR="00C914AA">
        <w:rPr>
          <w:b/>
          <w:bCs/>
          <w:kern w:val="32"/>
          <w:szCs w:val="32"/>
        </w:rPr>
        <w:t xml:space="preserve">POV </w:t>
      </w:r>
      <w:r w:rsidRPr="007511D1">
        <w:rPr>
          <w:b/>
          <w:bCs/>
          <w:kern w:val="32"/>
          <w:szCs w:val="32"/>
        </w:rPr>
        <w:t>č. 1</w:t>
      </w:r>
      <w:r w:rsidR="00E17E1B">
        <w:rPr>
          <w:b/>
          <w:bCs/>
          <w:kern w:val="32"/>
          <w:szCs w:val="32"/>
        </w:rPr>
        <w:t xml:space="preserve"> </w:t>
      </w:r>
      <w:r w:rsidRPr="007511D1">
        <w:rPr>
          <w:b/>
          <w:bCs/>
          <w:kern w:val="32"/>
          <w:szCs w:val="32"/>
        </w:rPr>
        <w:t xml:space="preserve"> – </w:t>
      </w:r>
      <w:r w:rsidR="007511D1" w:rsidRPr="007511D1">
        <w:rPr>
          <w:b/>
          <w:bCs/>
          <w:kern w:val="32"/>
          <w:szCs w:val="32"/>
        </w:rPr>
        <w:t xml:space="preserve">Finančné a percentuálne limity pre vybrané typy výdavkov </w:t>
      </w:r>
      <w:r w:rsidR="007511D1">
        <w:rPr>
          <w:b/>
          <w:bCs/>
          <w:kern w:val="32"/>
          <w:szCs w:val="32"/>
        </w:rPr>
        <w:t xml:space="preserve"> </w:t>
      </w:r>
    </w:p>
    <w:p w14:paraId="6A026CB7" w14:textId="642C72E0" w:rsidR="003B22BA" w:rsidRDefault="00DF46E5" w:rsidP="00151681">
      <w:pPr>
        <w:spacing w:before="120" w:line="240" w:lineRule="auto"/>
        <w:rPr>
          <w:b/>
          <w:bCs/>
          <w:kern w:val="32"/>
          <w:szCs w:val="32"/>
        </w:rPr>
      </w:pPr>
      <w:r w:rsidRPr="007511D1">
        <w:rPr>
          <w:b/>
          <w:bCs/>
          <w:kern w:val="32"/>
          <w:szCs w:val="32"/>
        </w:rPr>
        <w:t xml:space="preserve">Príloha </w:t>
      </w:r>
      <w:r w:rsidR="00C914AA">
        <w:rPr>
          <w:b/>
          <w:bCs/>
          <w:kern w:val="32"/>
          <w:szCs w:val="32"/>
        </w:rPr>
        <w:t xml:space="preserve">POV </w:t>
      </w:r>
      <w:r w:rsidRPr="007511D1">
        <w:rPr>
          <w:b/>
          <w:bCs/>
          <w:kern w:val="32"/>
          <w:szCs w:val="32"/>
        </w:rPr>
        <w:t>č.</w:t>
      </w:r>
      <w:r w:rsidR="00E17E1B">
        <w:rPr>
          <w:b/>
          <w:bCs/>
          <w:kern w:val="32"/>
          <w:szCs w:val="32"/>
        </w:rPr>
        <w:t xml:space="preserve"> 2 </w:t>
      </w:r>
      <w:r w:rsidRPr="007511D1">
        <w:rPr>
          <w:b/>
          <w:bCs/>
          <w:kern w:val="32"/>
          <w:szCs w:val="32"/>
        </w:rPr>
        <w:t xml:space="preserve">– </w:t>
      </w:r>
      <w:r w:rsidR="007511D1" w:rsidRPr="007511D1">
        <w:rPr>
          <w:b/>
          <w:bCs/>
          <w:kern w:val="32"/>
          <w:szCs w:val="32"/>
        </w:rPr>
        <w:t>Zoznam oprávnených výdavkov pre ŠC 2.1.</w:t>
      </w:r>
      <w:bookmarkEnd w:id="102"/>
      <w:r w:rsidR="00066FA8">
        <w:rPr>
          <w:b/>
          <w:bCs/>
          <w:kern w:val="32"/>
          <w:szCs w:val="32"/>
        </w:rPr>
        <w:t>4</w:t>
      </w:r>
    </w:p>
    <w:p w14:paraId="26AE6F1D" w14:textId="6EAB2BC2" w:rsidR="00A472CC" w:rsidRDefault="00A472CC" w:rsidP="00151681">
      <w:pPr>
        <w:spacing w:before="120" w:line="240" w:lineRule="auto"/>
        <w:rPr>
          <w:b/>
          <w:bCs/>
          <w:kern w:val="32"/>
          <w:szCs w:val="32"/>
        </w:rPr>
      </w:pPr>
      <w:r>
        <w:rPr>
          <w:b/>
          <w:bCs/>
          <w:kern w:val="32"/>
          <w:szCs w:val="32"/>
        </w:rPr>
        <w:t xml:space="preserve">Príloha POV č. 3 – </w:t>
      </w:r>
      <w:r w:rsidRPr="00563DB7">
        <w:rPr>
          <w:b/>
          <w:bCs/>
          <w:kern w:val="32"/>
          <w:szCs w:val="32"/>
        </w:rPr>
        <w:t>Opatrenia</w:t>
      </w:r>
      <w:r>
        <w:rPr>
          <w:b/>
          <w:bCs/>
          <w:kern w:val="32"/>
          <w:szCs w:val="32"/>
        </w:rPr>
        <w:t xml:space="preserve"> </w:t>
      </w:r>
      <w:r w:rsidRPr="00563DB7">
        <w:rPr>
          <w:b/>
          <w:bCs/>
          <w:kern w:val="32"/>
          <w:szCs w:val="32"/>
        </w:rPr>
        <w:t>v</w:t>
      </w:r>
      <w:r>
        <w:rPr>
          <w:b/>
          <w:bCs/>
          <w:kern w:val="32"/>
          <w:szCs w:val="32"/>
        </w:rPr>
        <w:t> </w:t>
      </w:r>
      <w:r w:rsidRPr="00563DB7">
        <w:rPr>
          <w:b/>
          <w:bCs/>
          <w:kern w:val="32"/>
          <w:szCs w:val="32"/>
        </w:rPr>
        <w:t>oblasti</w:t>
      </w:r>
      <w:r>
        <w:rPr>
          <w:b/>
          <w:bCs/>
          <w:kern w:val="32"/>
          <w:szCs w:val="32"/>
        </w:rPr>
        <w:t xml:space="preserve"> </w:t>
      </w:r>
      <w:r w:rsidRPr="00563DB7">
        <w:rPr>
          <w:b/>
          <w:bCs/>
          <w:kern w:val="32"/>
          <w:szCs w:val="32"/>
        </w:rPr>
        <w:t>verejn</w:t>
      </w:r>
      <w:r>
        <w:rPr>
          <w:b/>
          <w:bCs/>
          <w:kern w:val="32"/>
          <w:szCs w:val="32"/>
        </w:rPr>
        <w:t>é</w:t>
      </w:r>
      <w:r w:rsidRPr="00563DB7">
        <w:rPr>
          <w:b/>
          <w:bCs/>
          <w:kern w:val="32"/>
          <w:szCs w:val="32"/>
        </w:rPr>
        <w:t>ho</w:t>
      </w:r>
      <w:r>
        <w:rPr>
          <w:b/>
          <w:bCs/>
          <w:kern w:val="32"/>
          <w:szCs w:val="32"/>
        </w:rPr>
        <w:t xml:space="preserve"> o</w:t>
      </w:r>
      <w:r w:rsidRPr="00563DB7">
        <w:rPr>
          <w:b/>
          <w:bCs/>
          <w:kern w:val="32"/>
          <w:szCs w:val="32"/>
        </w:rPr>
        <w:t>bstar</w:t>
      </w:r>
      <w:r w:rsidR="009F27F7">
        <w:rPr>
          <w:b/>
          <w:bCs/>
          <w:kern w:val="32"/>
          <w:szCs w:val="32"/>
        </w:rPr>
        <w:t>á</w:t>
      </w:r>
      <w:r w:rsidRPr="00563DB7">
        <w:rPr>
          <w:b/>
          <w:bCs/>
          <w:kern w:val="32"/>
          <w:szCs w:val="32"/>
        </w:rPr>
        <w:t>vania</w:t>
      </w:r>
      <w:r w:rsidR="009F27F7">
        <w:rPr>
          <w:b/>
          <w:bCs/>
          <w:kern w:val="32"/>
          <w:szCs w:val="32"/>
        </w:rPr>
        <w:t xml:space="preserve"> – </w:t>
      </w:r>
      <w:r w:rsidRPr="00563DB7">
        <w:rPr>
          <w:b/>
          <w:bCs/>
          <w:kern w:val="32"/>
          <w:szCs w:val="32"/>
        </w:rPr>
        <w:t>EK,UVO,CKO,MZSR</w:t>
      </w:r>
      <w:r w:rsidR="009F27F7">
        <w:rPr>
          <w:b/>
          <w:bCs/>
          <w:kern w:val="32"/>
          <w:szCs w:val="32"/>
        </w:rPr>
        <w:t xml:space="preserve"> – </w:t>
      </w:r>
      <w:r>
        <w:rPr>
          <w:b/>
          <w:bCs/>
          <w:kern w:val="32"/>
          <w:szCs w:val="32"/>
        </w:rPr>
        <w:t>výnimka</w:t>
      </w:r>
      <w:r w:rsidR="009F27F7">
        <w:rPr>
          <w:b/>
          <w:bCs/>
          <w:kern w:val="32"/>
          <w:szCs w:val="32"/>
        </w:rPr>
        <w:t xml:space="preserve"> </w:t>
      </w:r>
    </w:p>
    <w:p w14:paraId="27AA7A91" w14:textId="69160300" w:rsidR="00BA1870" w:rsidRPr="00BA1870" w:rsidRDefault="00BA1870" w:rsidP="00151681">
      <w:pPr>
        <w:spacing w:before="120" w:line="240" w:lineRule="auto"/>
        <w:rPr>
          <w:b/>
          <w:bCs/>
          <w:kern w:val="32"/>
          <w:szCs w:val="32"/>
        </w:rPr>
      </w:pPr>
    </w:p>
    <w:sectPr w:rsidR="00BA1870" w:rsidRPr="00BA1870" w:rsidSect="009940A9">
      <w:footerReference w:type="default" r:id="rId20"/>
      <w:headerReference w:type="first" r:id="rId21"/>
      <w:footerReference w:type="first" r:id="rId22"/>
      <w:pgSz w:w="11900" w:h="16838"/>
      <w:pgMar w:top="993" w:right="1400" w:bottom="1134" w:left="1420" w:header="704" w:footer="45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77A4" w14:textId="77777777" w:rsidR="00DE0ADD" w:rsidRDefault="00DE0ADD" w:rsidP="004B7756">
      <w:pPr>
        <w:spacing w:after="0" w:line="240" w:lineRule="auto"/>
      </w:pPr>
      <w:r>
        <w:separator/>
      </w:r>
    </w:p>
  </w:endnote>
  <w:endnote w:type="continuationSeparator" w:id="0">
    <w:p w14:paraId="4A8C61F8" w14:textId="77777777" w:rsidR="00DE0ADD" w:rsidRDefault="00DE0ADD" w:rsidP="004B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D25C" w14:textId="08D56FC2" w:rsidR="00F96A7D" w:rsidRDefault="00F96A7D" w:rsidP="00A13922">
    <w:pPr>
      <w:spacing w:after="0" w:line="240" w:lineRule="auto"/>
      <w:jc w:val="both"/>
    </w:pPr>
    <w:r w:rsidRPr="001A3654">
      <w:rPr>
        <w:b/>
        <w:color w:val="1F497D"/>
        <w:sz w:val="12"/>
        <w:szCs w:val="12"/>
      </w:rPr>
      <w:t xml:space="preserve">Pravidlá oprávnenosti výdavkov </w:t>
    </w:r>
    <w:r>
      <w:rPr>
        <w:b/>
        <w:color w:val="1F497D"/>
        <w:sz w:val="12"/>
        <w:szCs w:val="12"/>
      </w:rPr>
      <w:t xml:space="preserve">pre IROP, </w:t>
    </w:r>
    <w:r w:rsidRPr="001A3654">
      <w:rPr>
        <w:b/>
        <w:color w:val="1F497D"/>
        <w:sz w:val="12"/>
        <w:szCs w:val="12"/>
      </w:rPr>
      <w:t>prioritná os 2, šp</w:t>
    </w:r>
    <w:r>
      <w:rPr>
        <w:b/>
        <w:color w:val="1F497D"/>
        <w:sz w:val="12"/>
        <w:szCs w:val="12"/>
      </w:rPr>
      <w:t>ecifický cieľ 2.1.4, verzia č. 3,</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 xml:space="preserve">                            </w:t>
    </w:r>
    <w:r>
      <w:fldChar w:fldCharType="begin"/>
    </w:r>
    <w:r>
      <w:instrText>PAGE   \* MERGEFORMAT</w:instrText>
    </w:r>
    <w:r>
      <w:fldChar w:fldCharType="separate"/>
    </w:r>
    <w:r w:rsidR="00642F51">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252370"/>
      <w:docPartObj>
        <w:docPartGallery w:val="Page Numbers (Bottom of Page)"/>
        <w:docPartUnique/>
      </w:docPartObj>
    </w:sdtPr>
    <w:sdtEndPr/>
    <w:sdtContent>
      <w:p w14:paraId="7A27C79A" w14:textId="7CC1B7DF" w:rsidR="00F96A7D" w:rsidRDefault="00F96A7D">
        <w:pPr>
          <w:pStyle w:val="Pta"/>
          <w:jc w:val="right"/>
        </w:pPr>
        <w:r>
          <w:fldChar w:fldCharType="begin"/>
        </w:r>
        <w:r>
          <w:instrText>PAGE   \* MERGEFORMAT</w:instrText>
        </w:r>
        <w:r>
          <w:fldChar w:fldCharType="separate"/>
        </w:r>
        <w:r w:rsidR="00642F51">
          <w:rPr>
            <w:noProof/>
          </w:rPr>
          <w:t>1</w:t>
        </w:r>
        <w:r>
          <w:fldChar w:fldCharType="end"/>
        </w:r>
      </w:p>
    </w:sdtContent>
  </w:sdt>
  <w:p w14:paraId="63214EA9" w14:textId="77777777" w:rsidR="00F96A7D" w:rsidRDefault="00F96A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CD50F" w14:textId="77777777" w:rsidR="00DE0ADD" w:rsidRDefault="00DE0ADD" w:rsidP="004B7756">
      <w:pPr>
        <w:spacing w:after="0" w:line="240" w:lineRule="auto"/>
      </w:pPr>
      <w:r>
        <w:separator/>
      </w:r>
    </w:p>
  </w:footnote>
  <w:footnote w:type="continuationSeparator" w:id="0">
    <w:p w14:paraId="261905FF" w14:textId="77777777" w:rsidR="00DE0ADD" w:rsidRDefault="00DE0ADD" w:rsidP="004B7756">
      <w:pPr>
        <w:spacing w:after="0" w:line="240" w:lineRule="auto"/>
      </w:pPr>
      <w:r>
        <w:continuationSeparator/>
      </w:r>
    </w:p>
  </w:footnote>
  <w:footnote w:id="1">
    <w:p w14:paraId="5CA45CEB" w14:textId="77777777" w:rsidR="00F96A7D" w:rsidRPr="00391AA9" w:rsidRDefault="00F96A7D" w:rsidP="0024569B">
      <w:pPr>
        <w:pStyle w:val="Textpoznmkypodiarou"/>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sidRPr="00391AA9">
        <w:rPr>
          <w:rFonts w:cs="Calibri"/>
          <w:sz w:val="18"/>
          <w:szCs w:val="18"/>
        </w:rPr>
        <w:t>§ 8 ods. 4 zákona č. 523/2004 Z. z. o rozpočtových pravidlách verejnej správy a o zmene a doplnení niektorých zákonov v</w:t>
      </w:r>
      <w:r>
        <w:rPr>
          <w:rFonts w:cs="Calibri"/>
          <w:sz w:val="18"/>
          <w:szCs w:val="18"/>
        </w:rPr>
        <w:t> </w:t>
      </w:r>
      <w:r w:rsidRPr="00391AA9">
        <w:rPr>
          <w:rFonts w:cs="Calibri"/>
          <w:sz w:val="18"/>
          <w:szCs w:val="18"/>
        </w:rPr>
        <w:t>znení neskorších predpisov.</w:t>
      </w:r>
    </w:p>
  </w:footnote>
  <w:footnote w:id="2">
    <w:p w14:paraId="4EBD7D66" w14:textId="24F0AE70" w:rsidR="00F96A7D" w:rsidRPr="003D3170" w:rsidRDefault="00F96A7D" w:rsidP="003D3170">
      <w:pPr>
        <w:spacing w:after="0" w:line="240" w:lineRule="auto"/>
        <w:jc w:val="both"/>
        <w:rPr>
          <w:sz w:val="18"/>
          <w:szCs w:val="18"/>
        </w:rPr>
      </w:pPr>
      <w:r w:rsidRPr="003D3170">
        <w:rPr>
          <w:sz w:val="18"/>
          <w:szCs w:val="18"/>
        </w:rPr>
        <w:footnoteRef/>
      </w:r>
      <w:r w:rsidRPr="003D3170">
        <w:rPr>
          <w:sz w:val="18"/>
          <w:szCs w:val="18"/>
        </w:rPr>
        <w:t xml:space="preserve"> Na verejného obstarávateľa sa nevzťahujú ustanovenia upravujúce postupy pri obstarávaní zákaziek s nízkymi hodnotami upravené v zhrnutí usmernení, časť „Zákazky s nízkou hodnotou, financované z fondov EÚ“, ku ktorému bola ministerstvu zdravotníctva dňa 28. apríla 2020 udelená výnimka zo Systému riadenia EŠIF verzia 9. </w:t>
      </w:r>
    </w:p>
  </w:footnote>
  <w:footnote w:id="3">
    <w:p w14:paraId="288D9770" w14:textId="77777777" w:rsidR="00F96A7D" w:rsidRPr="00391AA9" w:rsidRDefault="00F96A7D" w:rsidP="0003730B">
      <w:pPr>
        <w:pStyle w:val="Textpoznmkypodiarou"/>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sidRPr="00391AA9">
        <w:rPr>
          <w:rFonts w:cs="Calibri"/>
          <w:sz w:val="18"/>
          <w:szCs w:val="18"/>
        </w:rPr>
        <w:t xml:space="preserve">Pre účely </w:t>
      </w:r>
      <w:r>
        <w:rPr>
          <w:rFonts w:cs="Calibri"/>
          <w:sz w:val="18"/>
          <w:szCs w:val="18"/>
        </w:rPr>
        <w:t>týchto pravidiel OV</w:t>
      </w:r>
      <w:r w:rsidRPr="00391AA9">
        <w:rPr>
          <w:rFonts w:cs="Calibri"/>
          <w:sz w:val="18"/>
          <w:szCs w:val="18"/>
        </w:rPr>
        <w:t xml:space="preserve"> sa odovzdávajúcim rozumie prijímateľ a príjemcom sa rozumie dodávateľ.</w:t>
      </w:r>
    </w:p>
  </w:footnote>
  <w:footnote w:id="4">
    <w:p w14:paraId="5AF76506" w14:textId="77777777" w:rsidR="00F96A7D" w:rsidRPr="00391AA9" w:rsidRDefault="00F96A7D" w:rsidP="0003730B">
      <w:pPr>
        <w:pStyle w:val="Textpoznmkypodiarou"/>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sidRPr="00A13922">
        <w:rPr>
          <w:sz w:val="18"/>
          <w:szCs w:val="18"/>
        </w:rPr>
        <w:t>Z</w:t>
      </w:r>
      <w:r w:rsidRPr="00391AA9">
        <w:rPr>
          <w:sz w:val="18"/>
          <w:szCs w:val="18"/>
        </w:rPr>
        <w:t>ákon č. 345/2015 Z. z. o verejnom obstarávaní a o zmene a doplnení niektorých zákon</w:t>
      </w:r>
      <w:r>
        <w:rPr>
          <w:sz w:val="18"/>
          <w:szCs w:val="18"/>
        </w:rPr>
        <w:t>ov v znení neskorších predpisov.</w:t>
      </w:r>
    </w:p>
  </w:footnote>
  <w:footnote w:id="5">
    <w:p w14:paraId="5FEB8001" w14:textId="77777777" w:rsidR="00F96A7D" w:rsidRPr="00391AA9" w:rsidRDefault="00F96A7D" w:rsidP="0003730B">
      <w:pPr>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Pr>
          <w:sz w:val="18"/>
          <w:szCs w:val="18"/>
        </w:rPr>
        <w:t>Z</w:t>
      </w:r>
      <w:r w:rsidRPr="00391AA9">
        <w:rPr>
          <w:sz w:val="18"/>
          <w:szCs w:val="18"/>
        </w:rPr>
        <w:t xml:space="preserve">ákon č. 311/2001 Z. z. Zákonník práce v znení neskorších predpisov. </w:t>
      </w:r>
    </w:p>
  </w:footnote>
  <w:footnote w:id="6">
    <w:p w14:paraId="689A849F" w14:textId="77777777" w:rsidR="00F96A7D" w:rsidRPr="00391AA9" w:rsidRDefault="00F96A7D" w:rsidP="0003730B">
      <w:pPr>
        <w:pStyle w:val="Textpoznmkypodiarou"/>
        <w:spacing w:after="0" w:line="240" w:lineRule="auto"/>
        <w:jc w:val="both"/>
        <w:rPr>
          <w:sz w:val="18"/>
          <w:szCs w:val="18"/>
        </w:rPr>
      </w:pPr>
      <w:r w:rsidRPr="00391AA9">
        <w:rPr>
          <w:rStyle w:val="Odkaznapoznmkupodiarou"/>
          <w:sz w:val="18"/>
          <w:szCs w:val="18"/>
        </w:rPr>
        <w:footnoteRef/>
      </w:r>
      <w:r>
        <w:rPr>
          <w:sz w:val="18"/>
          <w:szCs w:val="18"/>
        </w:rPr>
        <w:t xml:space="preserve"> Zákon č. 55/2017 </w:t>
      </w:r>
      <w:r w:rsidRPr="00391AA9">
        <w:rPr>
          <w:sz w:val="18"/>
          <w:szCs w:val="18"/>
        </w:rPr>
        <w:t xml:space="preserve">Z. z.. o štátnej službe </w:t>
      </w:r>
      <w:r w:rsidRPr="00A13922">
        <w:rPr>
          <w:sz w:val="18"/>
          <w:szCs w:val="18"/>
        </w:rPr>
        <w:t>v znení neskorších predpisov</w:t>
      </w:r>
      <w:r>
        <w:rPr>
          <w:sz w:val="18"/>
          <w:szCs w:val="18"/>
        </w:rPr>
        <w:t>.</w:t>
      </w:r>
    </w:p>
  </w:footnote>
  <w:footnote w:id="7">
    <w:p w14:paraId="0ADEB4F0" w14:textId="77777777" w:rsidR="00F96A7D" w:rsidRPr="00391AA9" w:rsidRDefault="00F96A7D" w:rsidP="0003730B">
      <w:pPr>
        <w:pStyle w:val="Textpoznmkypodiarou"/>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Pr>
          <w:sz w:val="18"/>
          <w:szCs w:val="18"/>
        </w:rPr>
        <w:t>Z</w:t>
      </w:r>
      <w:r w:rsidRPr="00391AA9">
        <w:rPr>
          <w:sz w:val="18"/>
          <w:szCs w:val="18"/>
        </w:rPr>
        <w:t>ákon č. 552/2003 Z. z. o výkone práce vo verejnom záujme v znení neskorších predpisov.</w:t>
      </w:r>
    </w:p>
  </w:footnote>
  <w:footnote w:id="8">
    <w:p w14:paraId="1CD00141" w14:textId="77777777" w:rsidR="00F96A7D" w:rsidRPr="00391AA9" w:rsidRDefault="00F96A7D" w:rsidP="0003730B">
      <w:pPr>
        <w:pStyle w:val="Textpoznmkypodiarou"/>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Pr>
          <w:sz w:val="18"/>
          <w:szCs w:val="18"/>
        </w:rPr>
        <w:t>Z</w:t>
      </w:r>
      <w:r w:rsidRPr="00391AA9">
        <w:rPr>
          <w:sz w:val="18"/>
          <w:szCs w:val="18"/>
        </w:rPr>
        <w:t>ákon č. 291/2002 Z. z. o Štátnej pokladnici a o zmene a doplnení niektorých zákonov v znení neskorších predpisov</w:t>
      </w:r>
      <w:r>
        <w:rPr>
          <w:sz w:val="18"/>
          <w:szCs w:val="18"/>
        </w:rPr>
        <w:t>.</w:t>
      </w:r>
    </w:p>
  </w:footnote>
  <w:footnote w:id="9">
    <w:p w14:paraId="72CCD894" w14:textId="77777777" w:rsidR="00F96A7D" w:rsidRPr="00391AA9" w:rsidRDefault="00F96A7D" w:rsidP="0003730B">
      <w:pPr>
        <w:pStyle w:val="Textpoznmkypodiarou"/>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Pr>
          <w:sz w:val="18"/>
          <w:szCs w:val="18"/>
        </w:rPr>
        <w:t>Z</w:t>
      </w:r>
      <w:r w:rsidRPr="00391AA9">
        <w:rPr>
          <w:sz w:val="18"/>
          <w:szCs w:val="18"/>
        </w:rPr>
        <w:t>ákon č. 222/2004 Z. z. o dani z pridanej hodnoty</w:t>
      </w:r>
      <w:r>
        <w:rPr>
          <w:sz w:val="18"/>
          <w:szCs w:val="18"/>
        </w:rPr>
        <w:t xml:space="preserve"> v znení neskorších predpisov.</w:t>
      </w:r>
    </w:p>
  </w:footnote>
  <w:footnote w:id="10">
    <w:p w14:paraId="379D87EC" w14:textId="77777777" w:rsidR="00F96A7D" w:rsidRPr="00391AA9" w:rsidRDefault="00F96A7D" w:rsidP="0003730B">
      <w:pPr>
        <w:pStyle w:val="Textpoznmkypodiarou"/>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Pr>
          <w:sz w:val="18"/>
          <w:szCs w:val="18"/>
        </w:rPr>
        <w:t>Z</w:t>
      </w:r>
      <w:r w:rsidRPr="00391AA9">
        <w:rPr>
          <w:sz w:val="18"/>
          <w:szCs w:val="18"/>
        </w:rPr>
        <w:t>ákon č. 595/2003 Z. z. o dani z príjmov v znení neskorších predpisov</w:t>
      </w:r>
      <w:r>
        <w:rPr>
          <w:sz w:val="18"/>
          <w:szCs w:val="18"/>
        </w:rPr>
        <w:t>.</w:t>
      </w:r>
    </w:p>
  </w:footnote>
  <w:footnote w:id="11">
    <w:p w14:paraId="317440C7" w14:textId="77777777" w:rsidR="00F96A7D" w:rsidRPr="00391AA9" w:rsidRDefault="00F96A7D" w:rsidP="0003730B">
      <w:pPr>
        <w:pStyle w:val="Textpoznmkypodiarou"/>
        <w:spacing w:after="0" w:line="240" w:lineRule="auto"/>
        <w:jc w:val="both"/>
        <w:rPr>
          <w:sz w:val="18"/>
          <w:szCs w:val="18"/>
        </w:rPr>
      </w:pPr>
      <w:r w:rsidRPr="00391AA9">
        <w:rPr>
          <w:rStyle w:val="Odkaznapoznmkupodiarou"/>
          <w:sz w:val="18"/>
          <w:szCs w:val="18"/>
        </w:rPr>
        <w:footnoteRef/>
      </w:r>
      <w:r>
        <w:rPr>
          <w:sz w:val="18"/>
          <w:szCs w:val="18"/>
        </w:rPr>
        <w:t xml:space="preserve"> Z</w:t>
      </w:r>
      <w:r w:rsidRPr="00391AA9">
        <w:rPr>
          <w:sz w:val="18"/>
          <w:szCs w:val="18"/>
        </w:rPr>
        <w:t>ákon č. 357/2015 Z. z. o finančnej kontrole a audite a o zmene a doplnení niektorých zákonov</w:t>
      </w:r>
      <w:r>
        <w:rPr>
          <w:sz w:val="18"/>
          <w:szCs w:val="18"/>
        </w:rPr>
        <w:t xml:space="preserve"> v znení neskorších predpisov.</w:t>
      </w:r>
    </w:p>
  </w:footnote>
  <w:footnote w:id="12">
    <w:p w14:paraId="53E5D62D" w14:textId="77777777" w:rsidR="00F96A7D" w:rsidRPr="00391AA9" w:rsidRDefault="00F96A7D" w:rsidP="0003730B">
      <w:pPr>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Pr>
          <w:sz w:val="18"/>
          <w:szCs w:val="18"/>
        </w:rPr>
        <w:t>Z</w:t>
      </w:r>
      <w:r w:rsidRPr="00391AA9">
        <w:rPr>
          <w:sz w:val="18"/>
          <w:szCs w:val="18"/>
        </w:rPr>
        <w:t>ákon č. 278/1993 Z. z. o správe majetku štátu v znení neskorších predpisov</w:t>
      </w:r>
      <w:r>
        <w:rPr>
          <w:sz w:val="18"/>
          <w:szCs w:val="18"/>
        </w:rPr>
        <w:t>.</w:t>
      </w:r>
    </w:p>
  </w:footnote>
  <w:footnote w:id="13">
    <w:p w14:paraId="33566BEB" w14:textId="77777777" w:rsidR="00F96A7D" w:rsidRPr="00C42023" w:rsidRDefault="00F96A7D" w:rsidP="0003730B">
      <w:pPr>
        <w:pStyle w:val="Textpoznmkypodiarou"/>
        <w:spacing w:after="0" w:line="240" w:lineRule="auto"/>
        <w:jc w:val="both"/>
        <w:rPr>
          <w:sz w:val="18"/>
          <w:szCs w:val="18"/>
        </w:rPr>
      </w:pPr>
      <w:r w:rsidRPr="00C42023">
        <w:rPr>
          <w:rStyle w:val="Odkaznapoznmkupodiarou"/>
          <w:sz w:val="18"/>
          <w:szCs w:val="18"/>
        </w:rPr>
        <w:footnoteRef/>
      </w:r>
      <w:r w:rsidRPr="00C42023">
        <w:rPr>
          <w:sz w:val="18"/>
          <w:szCs w:val="18"/>
        </w:rPr>
        <w:t xml:space="preserve"> SO pre IROP je oprávnený posudzovať časový a územný aspekt výdavku vo vzťahu k jednotlivým vykonávaným procesom (napr. pri kontrole VO, kontrole ŽoP). Z hľadiska </w:t>
      </w:r>
      <w:r>
        <w:rPr>
          <w:sz w:val="18"/>
          <w:szCs w:val="18"/>
        </w:rPr>
        <w:t xml:space="preserve">územného aspektu SO pre IROP </w:t>
      </w:r>
      <w:r w:rsidRPr="00C42023">
        <w:rPr>
          <w:sz w:val="18"/>
          <w:szCs w:val="18"/>
        </w:rPr>
        <w:t>prihliada na predmet výdavku (napr. tovar alebo služba) a jeho povahu „obchodovateľnosti“ z hľadiska územia (napr. kúpa technológie alebo nájom nehnuteľnosti).</w:t>
      </w:r>
    </w:p>
  </w:footnote>
  <w:footnote w:id="14">
    <w:p w14:paraId="1576DB9C" w14:textId="77777777" w:rsidR="00F96A7D" w:rsidRPr="00C42023" w:rsidRDefault="00F96A7D" w:rsidP="00EF14AB">
      <w:pPr>
        <w:pStyle w:val="Textpoznmkypodiarou"/>
        <w:spacing w:after="0"/>
        <w:jc w:val="both"/>
        <w:rPr>
          <w:sz w:val="18"/>
          <w:szCs w:val="18"/>
        </w:rPr>
      </w:pPr>
      <w:r w:rsidRPr="00C42023">
        <w:rPr>
          <w:rStyle w:val="Odkaznapoznmkupodiarou"/>
          <w:sz w:val="18"/>
          <w:szCs w:val="18"/>
        </w:rPr>
        <w:footnoteRef/>
      </w:r>
      <w:r w:rsidRPr="00C42023">
        <w:rPr>
          <w:sz w:val="18"/>
          <w:szCs w:val="18"/>
        </w:rPr>
        <w:t xml:space="preserve"> Uvedené sa aplikuje primerane aj na poskytnutie predfinancovania.</w:t>
      </w:r>
    </w:p>
  </w:footnote>
  <w:footnote w:id="15">
    <w:p w14:paraId="046E8B52" w14:textId="36D358B6" w:rsidR="00F96A7D" w:rsidRPr="00AD50E1" w:rsidRDefault="00F96A7D" w:rsidP="00AD50E1">
      <w:pPr>
        <w:pStyle w:val="Textpoznmkypodiarou"/>
        <w:jc w:val="both"/>
        <w:rPr>
          <w:sz w:val="18"/>
          <w:szCs w:val="18"/>
        </w:rPr>
      </w:pPr>
      <w:r w:rsidRPr="00AD50E1">
        <w:rPr>
          <w:rStyle w:val="Odkaznapoznmkupodiarou"/>
          <w:sz w:val="18"/>
          <w:szCs w:val="18"/>
        </w:rPr>
        <w:footnoteRef/>
      </w:r>
      <w:r w:rsidRPr="00AD50E1">
        <w:rPr>
          <w:sz w:val="18"/>
          <w:szCs w:val="18"/>
        </w:rPr>
        <w:t xml:space="preserve"> Oznámenie Komisie, Dočasný rámec pre opatrenia štátnej pomoci na podporu hospodárstva v súčasnej situácii spôsobenej nákazou COVID-19 (2020/C 91 I/01) zo dňa 20. 3. 2020</w:t>
      </w:r>
    </w:p>
  </w:footnote>
  <w:footnote w:id="16">
    <w:p w14:paraId="0BD39CDB" w14:textId="77777777" w:rsidR="00F96A7D" w:rsidRPr="00C42023" w:rsidRDefault="00F96A7D" w:rsidP="00E23DD0">
      <w:pPr>
        <w:pStyle w:val="Textpoznmkypodiarou"/>
        <w:spacing w:after="60" w:line="240" w:lineRule="auto"/>
        <w:jc w:val="both"/>
        <w:rPr>
          <w:sz w:val="18"/>
          <w:szCs w:val="18"/>
        </w:rPr>
      </w:pPr>
      <w:r w:rsidRPr="00C42023">
        <w:rPr>
          <w:rStyle w:val="Odkaznapoznmkupodiarou"/>
          <w:sz w:val="18"/>
          <w:szCs w:val="18"/>
        </w:rPr>
        <w:footnoteRef/>
      </w:r>
      <w:r w:rsidRPr="00C42023">
        <w:rPr>
          <w:sz w:val="18"/>
          <w:szCs w:val="18"/>
        </w:rPr>
        <w:t xml:space="preserve"> Takýmito výdavkami sú napr. pokuty (napr. pokuty uložené v súlade s ustanoveniami všeobecne záväzných právnych predpisov za porušenie princípu ,,znečisťovateľ platí“) a iné druhy uložených peňažných alebo nepeňažných sankcií.</w:t>
      </w:r>
    </w:p>
  </w:footnote>
  <w:footnote w:id="17">
    <w:p w14:paraId="50354557" w14:textId="77777777" w:rsidR="00F96A7D" w:rsidRPr="00C42023" w:rsidRDefault="00F96A7D" w:rsidP="00C42023">
      <w:pPr>
        <w:pStyle w:val="Textpoznmkypodiarou"/>
        <w:spacing w:after="60" w:line="240" w:lineRule="auto"/>
        <w:jc w:val="both"/>
        <w:rPr>
          <w:sz w:val="18"/>
          <w:szCs w:val="18"/>
        </w:rPr>
      </w:pPr>
      <w:r w:rsidRPr="00C42023">
        <w:rPr>
          <w:rStyle w:val="Odkaznapoznmkupodiarou"/>
          <w:sz w:val="18"/>
          <w:szCs w:val="18"/>
        </w:rPr>
        <w:footnoteRef/>
      </w:r>
      <w:r w:rsidRPr="00C42023">
        <w:rPr>
          <w:sz w:val="18"/>
          <w:szCs w:val="18"/>
        </w:rPr>
        <w:t xml:space="preserve"> Týmto nie je dotknuté ustanovenie čl. 69 ods. 3 písm. a) všeobecného nariadenia.</w:t>
      </w:r>
    </w:p>
  </w:footnote>
  <w:footnote w:id="18">
    <w:p w14:paraId="26B1F4E5" w14:textId="77777777" w:rsidR="00F96A7D" w:rsidRPr="00C42023" w:rsidRDefault="00F96A7D" w:rsidP="00C42023">
      <w:pPr>
        <w:pStyle w:val="Textpoznmkypodiarou"/>
        <w:spacing w:after="60" w:line="240" w:lineRule="auto"/>
        <w:jc w:val="both"/>
        <w:rPr>
          <w:sz w:val="18"/>
          <w:szCs w:val="18"/>
        </w:rPr>
      </w:pPr>
      <w:r w:rsidRPr="00C42023">
        <w:rPr>
          <w:rStyle w:val="Odkaznapoznmkupodiarou"/>
          <w:sz w:val="18"/>
          <w:szCs w:val="18"/>
        </w:rPr>
        <w:footnoteRef/>
      </w:r>
      <w:r w:rsidRPr="00C42023">
        <w:rPr>
          <w:sz w:val="18"/>
          <w:szCs w:val="18"/>
        </w:rPr>
        <w:t xml:space="preserve"> Čistými príjmami sa rozumejú príjmy projektu po odpočítaní všetkých prevádzkových výdavkov a výdavkov na náhradu zariadenia s krátkou životnosťou, ktoré vzniknú v priebehu príslušného obdobia. Úspory prevádzkových nákladov, ktoré vznikli počas projektu, sa považujú za čistý príjem, ak nie sú kompenzované rovnocenným znížením prevádzkových dotácií.</w:t>
      </w:r>
    </w:p>
  </w:footnote>
  <w:footnote w:id="19">
    <w:p w14:paraId="140CCA50" w14:textId="77777777" w:rsidR="00F96A7D" w:rsidRPr="00957134" w:rsidRDefault="00F96A7D" w:rsidP="00957134">
      <w:pPr>
        <w:spacing w:after="0" w:line="240" w:lineRule="auto"/>
        <w:jc w:val="both"/>
        <w:rPr>
          <w:sz w:val="16"/>
          <w:szCs w:val="16"/>
        </w:rPr>
      </w:pPr>
      <w:r w:rsidRPr="00957134">
        <w:rPr>
          <w:rStyle w:val="Odkaznapoznmkupodiarou"/>
          <w:sz w:val="16"/>
          <w:szCs w:val="16"/>
        </w:rPr>
        <w:footnoteRef/>
      </w:r>
      <w:r w:rsidRPr="00957134">
        <w:rPr>
          <w:sz w:val="16"/>
          <w:szCs w:val="16"/>
        </w:rPr>
        <w:t xml:space="preserve"> Obdobie odrážajúce ekonomickú životnosť investície, ktoré je dostatočne dlhé na to, aby zahrnulo jej pravdepodobné dlhodobé dopady. Pre jednotlivé sektory, resp. subsektory podpory v rámci IROP sa uplatňujú tieto </w:t>
      </w:r>
      <w:r w:rsidRPr="00957134">
        <w:rPr>
          <w:sz w:val="16"/>
          <w:szCs w:val="16"/>
          <w:u w:val="single"/>
        </w:rPr>
        <w:t>referenčné obdobia</w:t>
      </w:r>
      <w:r w:rsidRPr="00957134">
        <w:rPr>
          <w:sz w:val="16"/>
          <w:szCs w:val="16"/>
        </w:rPr>
        <w:t xml:space="preserve">: </w:t>
      </w:r>
    </w:p>
    <w:p w14:paraId="49BA1FBA" w14:textId="77777777" w:rsidR="00F96A7D" w:rsidRPr="00957134" w:rsidRDefault="00F96A7D" w:rsidP="008858BA">
      <w:pPr>
        <w:numPr>
          <w:ilvl w:val="0"/>
          <w:numId w:val="29"/>
        </w:numPr>
        <w:spacing w:after="0" w:line="240" w:lineRule="auto"/>
        <w:jc w:val="both"/>
        <w:rPr>
          <w:sz w:val="16"/>
          <w:szCs w:val="16"/>
        </w:rPr>
      </w:pPr>
      <w:r w:rsidRPr="00957134">
        <w:rPr>
          <w:sz w:val="16"/>
          <w:szCs w:val="16"/>
        </w:rPr>
        <w:t xml:space="preserve">pozemné komunikácie: 25 -30 rokov, </w:t>
      </w:r>
    </w:p>
    <w:p w14:paraId="045FF30C" w14:textId="77777777" w:rsidR="00F96A7D" w:rsidRPr="00957134" w:rsidRDefault="00F96A7D" w:rsidP="008858BA">
      <w:pPr>
        <w:numPr>
          <w:ilvl w:val="0"/>
          <w:numId w:val="29"/>
        </w:numPr>
        <w:spacing w:after="0" w:line="240" w:lineRule="auto"/>
        <w:jc w:val="both"/>
        <w:rPr>
          <w:sz w:val="16"/>
          <w:szCs w:val="16"/>
        </w:rPr>
      </w:pPr>
      <w:r w:rsidRPr="00957134">
        <w:rPr>
          <w:sz w:val="16"/>
          <w:szCs w:val="16"/>
        </w:rPr>
        <w:t xml:space="preserve">odvádzanie a čistenie komunálnych odpadových vôd/zásobovanie pitnou vodou: 30 rokov, </w:t>
      </w:r>
    </w:p>
    <w:p w14:paraId="6FFBC9FB" w14:textId="77777777" w:rsidR="00F96A7D" w:rsidRPr="00957134" w:rsidRDefault="00F96A7D" w:rsidP="008858BA">
      <w:pPr>
        <w:numPr>
          <w:ilvl w:val="0"/>
          <w:numId w:val="29"/>
        </w:numPr>
        <w:spacing w:after="0" w:line="240" w:lineRule="auto"/>
        <w:jc w:val="both"/>
        <w:rPr>
          <w:sz w:val="16"/>
          <w:szCs w:val="16"/>
        </w:rPr>
      </w:pPr>
      <w:r w:rsidRPr="00957134">
        <w:rPr>
          <w:sz w:val="16"/>
          <w:szCs w:val="16"/>
        </w:rPr>
        <w:t xml:space="preserve">odpadové hospodárstvo: 25 - 30 rokov, </w:t>
      </w:r>
    </w:p>
    <w:p w14:paraId="29808BFC" w14:textId="77777777" w:rsidR="00F96A7D" w:rsidRPr="00957134" w:rsidRDefault="00F96A7D" w:rsidP="008858BA">
      <w:pPr>
        <w:numPr>
          <w:ilvl w:val="0"/>
          <w:numId w:val="29"/>
        </w:numPr>
        <w:spacing w:after="0" w:line="240" w:lineRule="auto"/>
        <w:jc w:val="both"/>
        <w:rPr>
          <w:sz w:val="16"/>
          <w:szCs w:val="16"/>
        </w:rPr>
      </w:pPr>
      <w:r w:rsidRPr="00957134">
        <w:rPr>
          <w:sz w:val="16"/>
          <w:szCs w:val="16"/>
        </w:rPr>
        <w:t xml:space="preserve">ostatné sektory: 10 - 15 rokov (platné aj pre CIZS) </w:t>
      </w:r>
    </w:p>
  </w:footnote>
  <w:footnote w:id="20">
    <w:p w14:paraId="4387084E" w14:textId="77777777" w:rsidR="00F96A7D" w:rsidRPr="00957134" w:rsidRDefault="00F96A7D" w:rsidP="00957134">
      <w:pPr>
        <w:pStyle w:val="Textpoznmkypodiarou"/>
        <w:spacing w:after="0" w:line="240" w:lineRule="auto"/>
        <w:jc w:val="both"/>
        <w:rPr>
          <w:sz w:val="16"/>
          <w:szCs w:val="16"/>
        </w:rPr>
      </w:pPr>
      <w:r w:rsidRPr="00957134">
        <w:rPr>
          <w:rStyle w:val="Odkaznapoznmkupodiarou"/>
          <w:sz w:val="16"/>
          <w:szCs w:val="16"/>
        </w:rPr>
        <w:footnoteRef/>
      </w:r>
      <w:r w:rsidRPr="00957134">
        <w:rPr>
          <w:sz w:val="16"/>
          <w:szCs w:val="16"/>
        </w:rPr>
        <w:t xml:space="preserve"> Návratná forma pomoci, ktorá je poskytovaná na podporu investícií, od ktorých sa očakáva, že budú finančne životaschopné, ale nemajú zabezpečené dostatočné financovanie z trhových zdrojov.</w:t>
      </w:r>
    </w:p>
  </w:footnote>
  <w:footnote w:id="21">
    <w:p w14:paraId="338CD9A2" w14:textId="77777777" w:rsidR="00F96A7D" w:rsidRPr="00C42023" w:rsidRDefault="00F96A7D" w:rsidP="00C42023">
      <w:pPr>
        <w:pStyle w:val="Textpoznmkypodiarou"/>
        <w:spacing w:after="0" w:line="240" w:lineRule="auto"/>
        <w:rPr>
          <w:sz w:val="18"/>
          <w:szCs w:val="18"/>
        </w:rPr>
      </w:pPr>
      <w:r w:rsidRPr="00C42023">
        <w:rPr>
          <w:rStyle w:val="Odkaznapoznmkupodiarou"/>
          <w:sz w:val="18"/>
          <w:szCs w:val="18"/>
        </w:rPr>
        <w:footnoteRef/>
      </w:r>
      <w:r w:rsidRPr="00C42023">
        <w:rPr>
          <w:sz w:val="18"/>
          <w:szCs w:val="18"/>
        </w:rPr>
        <w:t xml:space="preserve"> Skutočnosť, že nové elektrické spotrebiče často nie sú opraviteľné alebo sú naprogramované tak, aby zlyhali po nejakej dobe, nespochybňuje, že sa jedná o zariadenie.</w:t>
      </w:r>
    </w:p>
  </w:footnote>
  <w:footnote w:id="22">
    <w:p w14:paraId="3D85E5BB" w14:textId="77777777" w:rsidR="00F96A7D" w:rsidRPr="00C42023" w:rsidRDefault="00F96A7D" w:rsidP="004B75AB">
      <w:pPr>
        <w:pStyle w:val="Textpoznmkypodiarou"/>
        <w:spacing w:after="0" w:line="240" w:lineRule="auto"/>
        <w:jc w:val="both"/>
        <w:rPr>
          <w:sz w:val="18"/>
          <w:szCs w:val="18"/>
        </w:rPr>
      </w:pPr>
      <w:r w:rsidRPr="00C42023">
        <w:rPr>
          <w:rStyle w:val="Odkaznapoznmkupodiarou"/>
          <w:sz w:val="18"/>
          <w:szCs w:val="18"/>
        </w:rPr>
        <w:footnoteRef/>
      </w:r>
      <w:r w:rsidRPr="00C42023">
        <w:rPr>
          <w:sz w:val="18"/>
          <w:szCs w:val="18"/>
        </w:rPr>
        <w:t xml:space="preserve"> V prípade aplikovania štátnej pomoci je potrebné brať do úvahy aj pravidlá oprávnenosti vymedzené v príslušnej legislatíve upravujúcu predmetnú oblasť (napr. podľa čl. 31 nariadenia č. 651/2014 o skupinových výnimkách financovanie pomoci na vzdelávanie, ktoré podniky uskutočňujú s cieľom splniť povinné vnútroštátne vzdelávacie normy, nie je oprávnené). Zároveň tým</w:t>
      </w:r>
      <w:r>
        <w:rPr>
          <w:sz w:val="18"/>
          <w:szCs w:val="18"/>
        </w:rPr>
        <w:t>to nie je dotknuté právo</w:t>
      </w:r>
      <w:r w:rsidRPr="00C42023">
        <w:rPr>
          <w:sz w:val="18"/>
          <w:szCs w:val="18"/>
        </w:rPr>
        <w:t xml:space="preserve"> určité výdavky definovať ako neoprávnené, na základe účelu a</w:t>
      </w:r>
      <w:r>
        <w:rPr>
          <w:sz w:val="18"/>
          <w:szCs w:val="18"/>
        </w:rPr>
        <w:t> </w:t>
      </w:r>
      <w:r w:rsidRPr="00C42023">
        <w:rPr>
          <w:sz w:val="18"/>
          <w:szCs w:val="18"/>
        </w:rPr>
        <w:t>potrieb IROP, prípadne záväzkov RO/SO prijatých v rámci auditných misií.</w:t>
      </w:r>
    </w:p>
  </w:footnote>
  <w:footnote w:id="23">
    <w:p w14:paraId="54CB1485" w14:textId="77777777" w:rsidR="00F96A7D" w:rsidRPr="0092680A" w:rsidRDefault="00F96A7D" w:rsidP="0092680A">
      <w:pPr>
        <w:pStyle w:val="Textpoznmkypodiarou"/>
        <w:spacing w:after="60" w:line="240" w:lineRule="auto"/>
        <w:rPr>
          <w:sz w:val="18"/>
          <w:szCs w:val="18"/>
        </w:rPr>
      </w:pPr>
      <w:r w:rsidRPr="0092680A">
        <w:rPr>
          <w:rStyle w:val="Odkaznapoznmkupodiarou"/>
          <w:sz w:val="18"/>
          <w:szCs w:val="18"/>
        </w:rPr>
        <w:footnoteRef/>
      </w:r>
      <w:r w:rsidRPr="0092680A">
        <w:rPr>
          <w:sz w:val="18"/>
          <w:szCs w:val="18"/>
        </w:rPr>
        <w:t xml:space="preserve"> Pri vypracovaní PZ žiadateľ predkladá iba zjednodušený rozpočet</w:t>
      </w:r>
      <w:r>
        <w:rPr>
          <w:sz w:val="18"/>
          <w:szCs w:val="18"/>
        </w:rPr>
        <w:t>.</w:t>
      </w:r>
      <w:r w:rsidRPr="0092680A">
        <w:rPr>
          <w:sz w:val="18"/>
          <w:szCs w:val="18"/>
        </w:rPr>
        <w:t xml:space="preserve">  </w:t>
      </w:r>
    </w:p>
  </w:footnote>
  <w:footnote w:id="24">
    <w:p w14:paraId="0DDF0723" w14:textId="77777777" w:rsidR="00F96A7D" w:rsidRPr="00C42023" w:rsidRDefault="00F96A7D" w:rsidP="00C42023">
      <w:pPr>
        <w:spacing w:after="0" w:line="240" w:lineRule="auto"/>
        <w:jc w:val="both"/>
        <w:rPr>
          <w:sz w:val="18"/>
          <w:szCs w:val="18"/>
        </w:rPr>
      </w:pPr>
      <w:r w:rsidRPr="00C42023">
        <w:rPr>
          <w:rStyle w:val="Odkaznapoznmkupodiarou"/>
          <w:sz w:val="18"/>
          <w:szCs w:val="18"/>
        </w:rPr>
        <w:footnoteRef/>
      </w:r>
      <w:r w:rsidRPr="00C42023">
        <w:rPr>
          <w:sz w:val="18"/>
          <w:szCs w:val="18"/>
        </w:rPr>
        <w:t xml:space="preserve"> Vrátane nákladov súvisiacich s obstaraním dlhodobého nehmotného majetku do času uvedenia predmetného majetku do</w:t>
      </w:r>
      <w:r>
        <w:rPr>
          <w:sz w:val="18"/>
          <w:szCs w:val="18"/>
        </w:rPr>
        <w:t> </w:t>
      </w:r>
      <w:r w:rsidRPr="00C42023">
        <w:rPr>
          <w:sz w:val="18"/>
          <w:szCs w:val="18"/>
        </w:rPr>
        <w:t>užívania.</w:t>
      </w:r>
    </w:p>
  </w:footnote>
  <w:footnote w:id="25">
    <w:p w14:paraId="402194DE" w14:textId="77777777" w:rsidR="00F96A7D" w:rsidRPr="00C42023" w:rsidRDefault="00F96A7D" w:rsidP="00C42023">
      <w:pPr>
        <w:pStyle w:val="Textpoznmkypodiarou"/>
        <w:spacing w:after="0" w:line="240" w:lineRule="auto"/>
        <w:rPr>
          <w:sz w:val="18"/>
          <w:szCs w:val="18"/>
        </w:rPr>
      </w:pPr>
      <w:r w:rsidRPr="00C42023">
        <w:rPr>
          <w:rStyle w:val="Odkaznapoznmkupodiarou"/>
          <w:sz w:val="18"/>
          <w:szCs w:val="18"/>
        </w:rPr>
        <w:footnoteRef/>
      </w:r>
      <w:r w:rsidRPr="00C42023">
        <w:rPr>
          <w:sz w:val="18"/>
          <w:szCs w:val="18"/>
        </w:rPr>
        <w:t xml:space="preserve"> Zákon 595/2003 Z. z. o dani z</w:t>
      </w:r>
      <w:r>
        <w:rPr>
          <w:sz w:val="18"/>
          <w:szCs w:val="18"/>
        </w:rPr>
        <w:t> </w:t>
      </w:r>
      <w:r w:rsidRPr="00C42023">
        <w:rPr>
          <w:sz w:val="18"/>
          <w:szCs w:val="18"/>
        </w:rPr>
        <w:t>príjmov</w:t>
      </w:r>
      <w:r>
        <w:rPr>
          <w:sz w:val="18"/>
          <w:szCs w:val="18"/>
        </w:rPr>
        <w:t xml:space="preserve"> v znení neskorších predpisov.</w:t>
      </w:r>
    </w:p>
  </w:footnote>
  <w:footnote w:id="26">
    <w:p w14:paraId="6358E99B" w14:textId="77777777" w:rsidR="00F96A7D" w:rsidRPr="00C42023" w:rsidRDefault="00F96A7D" w:rsidP="00C42023">
      <w:pPr>
        <w:spacing w:after="0" w:line="240" w:lineRule="auto"/>
        <w:jc w:val="both"/>
        <w:rPr>
          <w:sz w:val="18"/>
          <w:szCs w:val="18"/>
        </w:rPr>
      </w:pPr>
      <w:r w:rsidRPr="00C42023">
        <w:rPr>
          <w:rStyle w:val="Odkaznapoznmkupodiarou"/>
          <w:sz w:val="18"/>
          <w:szCs w:val="18"/>
        </w:rPr>
        <w:footnoteRef/>
      </w:r>
      <w:r w:rsidRPr="00C42023">
        <w:rPr>
          <w:sz w:val="18"/>
          <w:szCs w:val="18"/>
        </w:rPr>
        <w:t xml:space="preserve"> Zákon 595/2003 Z.</w:t>
      </w:r>
      <w:r>
        <w:rPr>
          <w:sz w:val="18"/>
          <w:szCs w:val="18"/>
        </w:rPr>
        <w:t xml:space="preserve"> </w:t>
      </w:r>
      <w:r w:rsidRPr="00C42023">
        <w:rPr>
          <w:sz w:val="18"/>
          <w:szCs w:val="18"/>
        </w:rPr>
        <w:t>z. o dani z</w:t>
      </w:r>
      <w:r>
        <w:rPr>
          <w:sz w:val="18"/>
          <w:szCs w:val="18"/>
        </w:rPr>
        <w:t> </w:t>
      </w:r>
      <w:r w:rsidRPr="00C42023">
        <w:rPr>
          <w:sz w:val="18"/>
          <w:szCs w:val="18"/>
        </w:rPr>
        <w:t>príjmov</w:t>
      </w:r>
      <w:r>
        <w:rPr>
          <w:sz w:val="18"/>
          <w:szCs w:val="18"/>
        </w:rPr>
        <w:t xml:space="preserve"> v znení neskorších predpisov</w:t>
      </w:r>
      <w:r w:rsidRPr="00C42023">
        <w:rPr>
          <w:sz w:val="18"/>
          <w:szCs w:val="18"/>
        </w:rPr>
        <w:t>.</w:t>
      </w:r>
    </w:p>
  </w:footnote>
  <w:footnote w:id="27">
    <w:p w14:paraId="6506BACB" w14:textId="77777777" w:rsidR="00F96A7D" w:rsidRPr="00C42023" w:rsidRDefault="00F96A7D" w:rsidP="00E23DD0">
      <w:pPr>
        <w:pStyle w:val="Textpoznmkypodiarou"/>
        <w:spacing w:after="60" w:line="240" w:lineRule="auto"/>
        <w:jc w:val="both"/>
        <w:rPr>
          <w:sz w:val="18"/>
          <w:szCs w:val="18"/>
        </w:rPr>
      </w:pPr>
      <w:r w:rsidRPr="00C42023">
        <w:rPr>
          <w:rStyle w:val="Odkaznapoznmkupodiarou"/>
          <w:sz w:val="18"/>
          <w:szCs w:val="18"/>
        </w:rPr>
        <w:footnoteRef/>
      </w:r>
      <w:r w:rsidRPr="00C42023">
        <w:rPr>
          <w:sz w:val="18"/>
          <w:szCs w:val="18"/>
        </w:rPr>
        <w:t xml:space="preserve"> Vrátane nákladov súvisiacich s obstaraním dlhodobého hmotného majetku do času uvedenia predmetného majetku do</w:t>
      </w:r>
      <w:r>
        <w:rPr>
          <w:sz w:val="18"/>
          <w:szCs w:val="18"/>
        </w:rPr>
        <w:t> </w:t>
      </w:r>
      <w:r w:rsidRPr="00C42023">
        <w:rPr>
          <w:sz w:val="18"/>
          <w:szCs w:val="18"/>
        </w:rPr>
        <w:t>užívania.</w:t>
      </w:r>
    </w:p>
  </w:footnote>
  <w:footnote w:id="28">
    <w:p w14:paraId="4E38F5A1" w14:textId="77777777" w:rsidR="00F96A7D" w:rsidRPr="00C42023" w:rsidRDefault="00F96A7D" w:rsidP="00C42023">
      <w:pPr>
        <w:pStyle w:val="Textpoznmkypodiarou"/>
        <w:spacing w:after="0" w:line="240" w:lineRule="auto"/>
        <w:jc w:val="both"/>
        <w:rPr>
          <w:sz w:val="18"/>
          <w:szCs w:val="18"/>
        </w:rPr>
      </w:pPr>
      <w:r w:rsidRPr="00C42023">
        <w:rPr>
          <w:rStyle w:val="Odkaznapoznmkupodiarou"/>
          <w:sz w:val="18"/>
          <w:szCs w:val="18"/>
        </w:rPr>
        <w:footnoteRef/>
      </w:r>
      <w:r w:rsidRPr="00C42023">
        <w:rPr>
          <w:sz w:val="18"/>
          <w:szCs w:val="18"/>
        </w:rPr>
        <w:t xml:space="preserve"> Zákon č. 595/2003 Z. z. o dani z</w:t>
      </w:r>
      <w:r>
        <w:rPr>
          <w:sz w:val="18"/>
          <w:szCs w:val="18"/>
        </w:rPr>
        <w:t> </w:t>
      </w:r>
      <w:r w:rsidRPr="00C42023">
        <w:rPr>
          <w:sz w:val="18"/>
          <w:szCs w:val="18"/>
        </w:rPr>
        <w:t>príjmov</w:t>
      </w:r>
      <w:r>
        <w:rPr>
          <w:sz w:val="18"/>
          <w:szCs w:val="18"/>
        </w:rPr>
        <w:t xml:space="preserve"> v znení neskorších predpisov</w:t>
      </w:r>
      <w:r w:rsidRPr="00C42023">
        <w:rPr>
          <w:sz w:val="18"/>
          <w:szCs w:val="18"/>
        </w:rPr>
        <w:t xml:space="preserve"> (t. j. 1.700,- </w:t>
      </w:r>
      <w:r>
        <w:rPr>
          <w:sz w:val="18"/>
          <w:szCs w:val="18"/>
        </w:rPr>
        <w:t>eur</w:t>
      </w:r>
      <w:r w:rsidRPr="00C42023">
        <w:rPr>
          <w:sz w:val="18"/>
          <w:szCs w:val="18"/>
        </w:rPr>
        <w:t xml:space="preserve"> podľa aktuálneho znenia</w:t>
      </w:r>
      <w:r>
        <w:rPr>
          <w:sz w:val="18"/>
          <w:szCs w:val="18"/>
        </w:rPr>
        <w:t>)</w:t>
      </w:r>
      <w:r w:rsidRPr="00C42023">
        <w:rPr>
          <w:sz w:val="18"/>
          <w:szCs w:val="18"/>
        </w:rPr>
        <w:t>.</w:t>
      </w:r>
    </w:p>
  </w:footnote>
  <w:footnote w:id="29">
    <w:p w14:paraId="7A34134D" w14:textId="77777777" w:rsidR="00F96A7D" w:rsidRPr="00167C54" w:rsidRDefault="00F96A7D">
      <w:pPr>
        <w:pStyle w:val="Textpoznmkypodiarou"/>
        <w:rPr>
          <w:sz w:val="18"/>
          <w:szCs w:val="18"/>
        </w:rPr>
      </w:pPr>
      <w:r w:rsidRPr="00167C54">
        <w:rPr>
          <w:rStyle w:val="Odkaznapoznmkupodiarou"/>
          <w:sz w:val="18"/>
          <w:szCs w:val="18"/>
        </w:rPr>
        <w:footnoteRef/>
      </w:r>
      <w:r w:rsidRPr="00167C54">
        <w:rPr>
          <w:sz w:val="18"/>
          <w:szCs w:val="18"/>
        </w:rPr>
        <w:t xml:space="preserve"> Vrátane nákladov súvisiacich s obstaraním uvedeného hmotného majetku do užívania.</w:t>
      </w:r>
    </w:p>
  </w:footnote>
  <w:footnote w:id="30">
    <w:p w14:paraId="3AD56DCE" w14:textId="77777777" w:rsidR="00F96A7D" w:rsidRPr="00C42023" w:rsidRDefault="00F96A7D" w:rsidP="00E23DD0">
      <w:pPr>
        <w:pStyle w:val="Textpoznmkypodiarou"/>
        <w:spacing w:after="0" w:line="240" w:lineRule="auto"/>
        <w:jc w:val="both"/>
      </w:pPr>
      <w:r w:rsidRPr="00C42023">
        <w:rPr>
          <w:rStyle w:val="Odkaznapoznmkupodiarou"/>
        </w:rPr>
        <w:footnoteRef/>
      </w:r>
      <w:r w:rsidRPr="00C42023">
        <w:t xml:space="preserve"> </w:t>
      </w:r>
      <w:r w:rsidRPr="007B5EB3">
        <w:rPr>
          <w:sz w:val="18"/>
        </w:rPr>
        <w:t>Ak nie sú súčasťou obstarávacej ceny majetku (dlhodobého majetku, zásoby).</w:t>
      </w:r>
    </w:p>
  </w:footnote>
  <w:footnote w:id="31">
    <w:p w14:paraId="28E242FE" w14:textId="77777777" w:rsidR="00F96A7D" w:rsidRDefault="00F96A7D" w:rsidP="007B5EB3">
      <w:pPr>
        <w:pStyle w:val="Textpoznmkypodiarou"/>
        <w:spacing w:after="0"/>
      </w:pPr>
      <w:r>
        <w:rPr>
          <w:rStyle w:val="Odkaznapoznmkupodiarou"/>
        </w:rPr>
        <w:footnoteRef/>
      </w:r>
      <w:r>
        <w:t xml:space="preserve"> </w:t>
      </w:r>
      <w:r w:rsidRPr="007B5EB3">
        <w:rPr>
          <w:sz w:val="18"/>
        </w:rPr>
        <w:t>SO pre  IROP je oprávnený stanovené limity priebežne aktualizovať tak, aby zodpovedali obvyklým cenám v danom mieste a čase.</w:t>
      </w:r>
    </w:p>
  </w:footnote>
  <w:footnote w:id="32">
    <w:p w14:paraId="0B30C4DF" w14:textId="77777777" w:rsidR="00F96A7D" w:rsidRPr="00AB67C9" w:rsidRDefault="00F96A7D" w:rsidP="007B5EB3">
      <w:pPr>
        <w:pStyle w:val="Textpoznmkypodiarou"/>
        <w:spacing w:after="0" w:line="240" w:lineRule="auto"/>
        <w:jc w:val="both"/>
        <w:rPr>
          <w:sz w:val="18"/>
          <w:szCs w:val="18"/>
        </w:rPr>
      </w:pPr>
      <w:r w:rsidRPr="00AB67C9">
        <w:rPr>
          <w:rStyle w:val="Odkaznapoznmkupodiarou"/>
          <w:sz w:val="18"/>
          <w:szCs w:val="18"/>
        </w:rPr>
        <w:footnoteRef/>
      </w:r>
      <w:r w:rsidRPr="00AB67C9">
        <w:rPr>
          <w:sz w:val="18"/>
          <w:szCs w:val="18"/>
        </w:rPr>
        <w:t xml:space="preserve"> V zmysle Metodického pokynu CKO č. 5 k určovaniu finančných opráv, ktoré má riadiaci orgán uplatňovať pri nedodržaní pravidiel a postupov verejného obstarávania</w:t>
      </w:r>
      <w:r>
        <w:rPr>
          <w:sz w:val="18"/>
          <w:szCs w:val="18"/>
        </w:rPr>
        <w:t>.</w:t>
      </w:r>
    </w:p>
  </w:footnote>
  <w:footnote w:id="33">
    <w:p w14:paraId="68FD5422" w14:textId="77777777" w:rsidR="00F96A7D" w:rsidRPr="0003792A" w:rsidRDefault="00F96A7D" w:rsidP="0003730B">
      <w:pPr>
        <w:pStyle w:val="Textpoznmkypodiarou"/>
        <w:spacing w:after="0" w:line="240" w:lineRule="auto"/>
        <w:jc w:val="both"/>
        <w:rPr>
          <w:sz w:val="18"/>
          <w:szCs w:val="18"/>
        </w:rPr>
      </w:pPr>
      <w:r w:rsidRPr="0003792A">
        <w:rPr>
          <w:rStyle w:val="Odkaznapoznmkupodiarou"/>
          <w:sz w:val="18"/>
          <w:szCs w:val="18"/>
        </w:rPr>
        <w:footnoteRef/>
      </w:r>
      <w:r w:rsidRPr="0003792A">
        <w:rPr>
          <w:sz w:val="18"/>
          <w:szCs w:val="18"/>
        </w:rPr>
        <w:t xml:space="preserve"> Samostatné hnuteľné veci, prípadne súbory hnuteľných vecí, ktoré majú samostatné technicko-ekonomické určenie, ktorých vstupná cena je vyššia ako 1 700 eur a prevádzkovo-technické funkcie dlhšie ako jeden rok a dlhodobý nehmotný majetok, ktorého vstupná cena je vyššia ako 2 400 eur a použiteľnosť alebo prevádzkovo-technické funkcie sú dlhšie ako jeden rok (podľa § 22 zákona č. 595/2003 Z. z. o dani z príjmov, ďalej len „zákon o dani z príjmov“). V prípadoch, kedy majetok nespĺňa podmienky ustanovené podľa zákona o dani z príjmov, ale prijímateľ sa rozhodol postupovať podľa osobitného predpisu a tento majetok sa vykazuje ako dlhodobý hmotný alebo nehmotný majetok v účtovníctve prijímateľa, tak sa na takýto majetok uplatňujú rovnaké podmienky uvedené v tomto metodickom pokyne.</w:t>
      </w:r>
    </w:p>
  </w:footnote>
  <w:footnote w:id="34">
    <w:p w14:paraId="5991943C" w14:textId="77777777" w:rsidR="00F96A7D" w:rsidRPr="0003792A" w:rsidRDefault="00F96A7D" w:rsidP="0003730B">
      <w:pPr>
        <w:pStyle w:val="Textpoznmkypodiarou"/>
        <w:spacing w:after="0" w:line="240" w:lineRule="auto"/>
        <w:jc w:val="both"/>
        <w:rPr>
          <w:sz w:val="18"/>
          <w:szCs w:val="18"/>
        </w:rPr>
      </w:pPr>
      <w:r w:rsidRPr="0003792A">
        <w:rPr>
          <w:rStyle w:val="Odkaznapoznmkupodiarou"/>
          <w:sz w:val="18"/>
          <w:szCs w:val="18"/>
        </w:rPr>
        <w:footnoteRef/>
      </w:r>
      <w:r w:rsidRPr="0003792A">
        <w:rPr>
          <w:sz w:val="18"/>
          <w:szCs w:val="18"/>
        </w:rPr>
        <w:t xml:space="preserve"> Pri nákupe z tretích krajín je clo súvisiace s obstaraním považované za oprávnený výdavok.</w:t>
      </w:r>
    </w:p>
  </w:footnote>
  <w:footnote w:id="35">
    <w:p w14:paraId="40F0B39D" w14:textId="77777777" w:rsidR="00F96A7D" w:rsidRDefault="00F96A7D" w:rsidP="0003730B">
      <w:pPr>
        <w:pStyle w:val="Textpoznmkypodiarou"/>
        <w:spacing w:after="0" w:line="240" w:lineRule="auto"/>
        <w:jc w:val="both"/>
      </w:pPr>
      <w:r>
        <w:rPr>
          <w:rStyle w:val="Odkaznapoznmkupodiarou"/>
        </w:rPr>
        <w:footnoteRef/>
      </w:r>
      <w:r>
        <w:t xml:space="preserve"> </w:t>
      </w:r>
      <w:r>
        <w:rPr>
          <w:sz w:val="18"/>
          <w:szCs w:val="18"/>
        </w:rPr>
        <w:t xml:space="preserve">Prijímateľ rešpektuje podmienku zásadu „hodnota za peniaze/value for money“. Uvedené služby je možné považovať za oprávnené v prípade, ak sú pre projekt nevyhnutné a využiteľné v rámci realizácie projektu, osoby podieľajúce sa na daných </w:t>
      </w:r>
      <w:r>
        <w:t xml:space="preserve"> </w:t>
      </w:r>
      <w:r>
        <w:rPr>
          <w:sz w:val="18"/>
          <w:szCs w:val="18"/>
        </w:rPr>
        <w:t xml:space="preserve">službách musia mať dostatočnú odbornosť a nesmú byť v pracovnoprávnom vzťahu s prijímateľom. SO pre IROP si môže vyhradiť právo posúdenia vykonanej služby prostredníctvom nezávislého posudku. </w:t>
      </w:r>
      <w:r>
        <w:t xml:space="preserve"> </w:t>
      </w:r>
    </w:p>
  </w:footnote>
  <w:footnote w:id="36">
    <w:p w14:paraId="1B4773DE" w14:textId="77777777" w:rsidR="00F96A7D" w:rsidRPr="00AB67C9" w:rsidRDefault="00F96A7D" w:rsidP="00AB67C9">
      <w:pPr>
        <w:pStyle w:val="Textpoznmkypodiarou"/>
        <w:spacing w:after="60" w:line="240" w:lineRule="auto"/>
        <w:jc w:val="both"/>
        <w:rPr>
          <w:sz w:val="18"/>
          <w:szCs w:val="18"/>
        </w:rPr>
      </w:pPr>
      <w:r w:rsidRPr="00AB67C9">
        <w:rPr>
          <w:rStyle w:val="Odkaznapoznmkupodiarou"/>
          <w:sz w:val="18"/>
          <w:szCs w:val="18"/>
        </w:rPr>
        <w:footnoteRef/>
      </w:r>
      <w:r w:rsidRPr="00AB67C9">
        <w:rPr>
          <w:sz w:val="18"/>
          <w:szCs w:val="18"/>
        </w:rPr>
        <w:t xml:space="preserve"> </w:t>
      </w:r>
      <w:r>
        <w:rPr>
          <w:sz w:val="18"/>
          <w:szCs w:val="18"/>
        </w:rPr>
        <w:t>Metodický pokyn</w:t>
      </w:r>
      <w:r w:rsidRPr="00AB67C9">
        <w:rPr>
          <w:sz w:val="18"/>
          <w:szCs w:val="18"/>
        </w:rPr>
        <w:t xml:space="preserve"> CKO č. 16 je zverejnený na http://www.partnerskadohoda.gov.sk/metodicke-pokyny-cko/.</w:t>
      </w:r>
    </w:p>
  </w:footnote>
  <w:footnote w:id="37">
    <w:p w14:paraId="1F34DEBF" w14:textId="77777777" w:rsidR="00F96A7D" w:rsidRPr="008E6E8B" w:rsidRDefault="00F96A7D" w:rsidP="008E6E8B">
      <w:pPr>
        <w:pStyle w:val="Textpoznmkypodiarou"/>
        <w:spacing w:after="60" w:line="240" w:lineRule="auto"/>
        <w:jc w:val="both"/>
        <w:rPr>
          <w:sz w:val="18"/>
          <w:szCs w:val="18"/>
        </w:rPr>
      </w:pPr>
      <w:r w:rsidRPr="008E6E8B">
        <w:rPr>
          <w:rStyle w:val="Odkaznapoznmkupodiarou"/>
          <w:sz w:val="18"/>
          <w:szCs w:val="18"/>
        </w:rPr>
        <w:footnoteRef/>
      </w:r>
      <w:r w:rsidRPr="008E6E8B">
        <w:rPr>
          <w:sz w:val="18"/>
          <w:szCs w:val="18"/>
        </w:rPr>
        <w:t xml:space="preserve"> Ďalším povinným nástrojom informovania a komunikácie je zverejnenie krátkeho opisu projektu, jeho cieľov a výsledkov a</w:t>
      </w:r>
      <w:r>
        <w:rPr>
          <w:sz w:val="18"/>
          <w:szCs w:val="18"/>
        </w:rPr>
        <w:t> </w:t>
      </w:r>
      <w:r w:rsidRPr="008E6E8B">
        <w:rPr>
          <w:sz w:val="18"/>
          <w:szCs w:val="18"/>
        </w:rPr>
        <w:t>zdôraznenia finančnej podpory zo zdrojov EÚ na webovej stránke prijímateľa, ak takáto stránka existuje.</w:t>
      </w:r>
    </w:p>
  </w:footnote>
  <w:footnote w:id="38">
    <w:p w14:paraId="5DDEB025" w14:textId="77777777" w:rsidR="00F96A7D" w:rsidRPr="0003792A" w:rsidRDefault="00F96A7D" w:rsidP="00A640AC">
      <w:pPr>
        <w:pStyle w:val="Textpoznmkypodiarou"/>
        <w:spacing w:after="0" w:line="240" w:lineRule="auto"/>
        <w:jc w:val="both"/>
        <w:rPr>
          <w:sz w:val="18"/>
          <w:szCs w:val="18"/>
        </w:rPr>
      </w:pPr>
      <w:r w:rsidRPr="0003792A">
        <w:rPr>
          <w:rStyle w:val="Odkaznapoznmkupodiarou"/>
          <w:sz w:val="18"/>
          <w:szCs w:val="18"/>
        </w:rPr>
        <w:footnoteRef/>
      </w:r>
      <w:r w:rsidRPr="0003792A">
        <w:rPr>
          <w:sz w:val="18"/>
          <w:szCs w:val="18"/>
        </w:rPr>
        <w:t xml:space="preserve"> Na úrovni projektu sa hospodárnosťou rozumie minimalizácia výdavkov nevyhnutých na realizáciu projektu pri rešpektovaní cieľov projektu.</w:t>
      </w:r>
    </w:p>
  </w:footnote>
  <w:footnote w:id="39">
    <w:p w14:paraId="4318738D" w14:textId="77777777" w:rsidR="00F96A7D" w:rsidRPr="0003792A" w:rsidRDefault="00F96A7D" w:rsidP="00A640AC">
      <w:pPr>
        <w:pStyle w:val="Textpoznmkypodiarou"/>
        <w:spacing w:after="0" w:line="240" w:lineRule="auto"/>
        <w:jc w:val="both"/>
        <w:rPr>
          <w:sz w:val="18"/>
          <w:szCs w:val="18"/>
        </w:rPr>
      </w:pPr>
      <w:r w:rsidRPr="0003792A">
        <w:rPr>
          <w:rStyle w:val="Odkaznapoznmkupodiarou"/>
          <w:sz w:val="18"/>
          <w:szCs w:val="18"/>
        </w:rPr>
        <w:footnoteRef/>
      </w:r>
      <w:r w:rsidRPr="0003792A">
        <w:rPr>
          <w:sz w:val="18"/>
          <w:szCs w:val="18"/>
        </w:rPr>
        <w:t xml:space="preserve"> Pojem hospodárnosť je potrebné aplikovať v zmysle § 2 písm. l) zákona č. 357/2015 Z. z. o finančnej kontrole a audite a o zmene a doplnení niektorých zákonov ako aj článku 30 ods. 2 nariadenia Európskeho parlamentu a Rady (EÚ, EURATOM) č.</w:t>
      </w:r>
      <w:r>
        <w:rPr>
          <w:sz w:val="18"/>
          <w:szCs w:val="18"/>
        </w:rPr>
        <w:t> </w:t>
      </w:r>
      <w:r w:rsidRPr="0003792A">
        <w:rPr>
          <w:sz w:val="18"/>
          <w:szCs w:val="18"/>
        </w:rPr>
        <w:t>966/2012 z 25. októbra 2012, o rozpočtových pravidlách, ktoré sa vzťahujú na všeobecný rozpočet Únie, a zrušení nariadenia Rady (ES, Euratom) č. 1605/2002.</w:t>
      </w:r>
    </w:p>
  </w:footnote>
  <w:footnote w:id="40">
    <w:p w14:paraId="1C15C895" w14:textId="77777777" w:rsidR="00F96A7D" w:rsidRPr="0003792A" w:rsidRDefault="00F96A7D" w:rsidP="005723AD">
      <w:pPr>
        <w:pStyle w:val="Textpoznmkypodiarou"/>
        <w:spacing w:after="40" w:line="240" w:lineRule="auto"/>
        <w:jc w:val="both"/>
        <w:rPr>
          <w:sz w:val="18"/>
          <w:szCs w:val="18"/>
        </w:rPr>
      </w:pPr>
      <w:r w:rsidRPr="0003792A">
        <w:rPr>
          <w:rStyle w:val="Odkaznapoznmkupodiarou"/>
          <w:sz w:val="18"/>
          <w:szCs w:val="18"/>
        </w:rPr>
        <w:footnoteRef/>
      </w:r>
      <w:r w:rsidRPr="0003792A">
        <w:rPr>
          <w:sz w:val="18"/>
          <w:szCs w:val="18"/>
        </w:rPr>
        <w:t xml:space="preserve"> V niektorých prípadoch sú percentuálne limity stanovené nie len pre skupiny výdavkov, ale aj jednotkové výdavky (napr. nákup pozemkov, stavebný dozor, iné).</w:t>
      </w:r>
    </w:p>
  </w:footnote>
  <w:footnote w:id="41">
    <w:p w14:paraId="0ABCC63D" w14:textId="77777777" w:rsidR="00F96A7D" w:rsidRPr="0003792A" w:rsidRDefault="00F96A7D" w:rsidP="005723AD">
      <w:pPr>
        <w:pStyle w:val="Textpoznmkypodiarou"/>
        <w:spacing w:after="40" w:line="240" w:lineRule="auto"/>
        <w:jc w:val="both"/>
        <w:rPr>
          <w:sz w:val="18"/>
          <w:szCs w:val="18"/>
        </w:rPr>
      </w:pPr>
      <w:r w:rsidRPr="0003792A">
        <w:rPr>
          <w:rStyle w:val="Odkaznapoznmkupodiarou"/>
          <w:sz w:val="18"/>
          <w:szCs w:val="18"/>
        </w:rPr>
        <w:footnoteRef/>
      </w:r>
      <w:r w:rsidRPr="0003792A">
        <w:rPr>
          <w:sz w:val="18"/>
          <w:szCs w:val="18"/>
        </w:rPr>
        <w:t xml:space="preserve"> Podrobnosti určuje príslušná výzva.</w:t>
      </w:r>
    </w:p>
  </w:footnote>
  <w:footnote w:id="42">
    <w:p w14:paraId="070DB7EE" w14:textId="77777777" w:rsidR="00F96A7D" w:rsidRPr="0003792A" w:rsidRDefault="00F96A7D" w:rsidP="005723AD">
      <w:pPr>
        <w:pStyle w:val="Textpoznmkypodiarou"/>
        <w:spacing w:after="40" w:line="240" w:lineRule="auto"/>
        <w:jc w:val="both"/>
        <w:rPr>
          <w:sz w:val="18"/>
          <w:szCs w:val="18"/>
        </w:rPr>
      </w:pPr>
      <w:r w:rsidRPr="0003792A">
        <w:rPr>
          <w:rStyle w:val="Odkaznapoznmkupodiarou"/>
          <w:sz w:val="18"/>
          <w:szCs w:val="18"/>
        </w:rPr>
        <w:footnoteRef/>
      </w:r>
      <w:r w:rsidRPr="0003792A">
        <w:rPr>
          <w:sz w:val="18"/>
          <w:szCs w:val="18"/>
        </w:rPr>
        <w:t xml:space="preserve"> Uvedené nevylučuje posúdenie hospodárnosti a efektívnosti výdavkov v procese realizácie projektu a </w:t>
      </w:r>
      <w:r>
        <w:rPr>
          <w:sz w:val="18"/>
          <w:szCs w:val="18"/>
        </w:rPr>
        <w:t>FK</w:t>
      </w:r>
      <w:r w:rsidRPr="0003792A">
        <w:rPr>
          <w:sz w:val="18"/>
          <w:szCs w:val="18"/>
        </w:rPr>
        <w:t xml:space="preserve"> </w:t>
      </w:r>
      <w:r>
        <w:rPr>
          <w:sz w:val="18"/>
          <w:szCs w:val="18"/>
        </w:rPr>
        <w:t>VO</w:t>
      </w:r>
      <w:r w:rsidRPr="0003792A">
        <w:rPr>
          <w:sz w:val="18"/>
          <w:szCs w:val="18"/>
        </w:rPr>
        <w:t xml:space="preserve"> a obstarávania nespadajúceho pod pravidlá </w:t>
      </w:r>
      <w:r>
        <w:rPr>
          <w:sz w:val="18"/>
          <w:szCs w:val="18"/>
        </w:rPr>
        <w:t>VO</w:t>
      </w:r>
      <w:r w:rsidRPr="0003792A">
        <w:rPr>
          <w:sz w:val="18"/>
          <w:szCs w:val="18"/>
        </w:rPr>
        <w:t>.</w:t>
      </w:r>
    </w:p>
  </w:footnote>
  <w:footnote w:id="43">
    <w:p w14:paraId="06194E65" w14:textId="77777777" w:rsidR="00F96A7D" w:rsidRDefault="00F96A7D" w:rsidP="004C2DB7">
      <w:pPr>
        <w:pStyle w:val="Textpoznmkypodiarou"/>
      </w:pPr>
      <w:r>
        <w:rPr>
          <w:rStyle w:val="Odkaznapoznmkupodiarou"/>
        </w:rPr>
        <w:footnoteRef/>
      </w:r>
      <w:r>
        <w:t xml:space="preserve"> </w:t>
      </w:r>
      <w:r w:rsidRPr="00F23B3E">
        <w:rPr>
          <w:sz w:val="18"/>
          <w:szCs w:val="18"/>
        </w:rPr>
        <w:t>Neprimeraná cena vyplýva z § 12 ods. 1 až 3 zákona č. 18/1996 Z.</w:t>
      </w:r>
      <w:r>
        <w:rPr>
          <w:sz w:val="18"/>
          <w:szCs w:val="18"/>
        </w:rPr>
        <w:t xml:space="preserve"> </w:t>
      </w:r>
      <w:r w:rsidRPr="00F23B3E">
        <w:rPr>
          <w:sz w:val="18"/>
          <w:szCs w:val="18"/>
        </w:rPr>
        <w:t>z. o cenách v znení neskorších predpisov.</w:t>
      </w:r>
    </w:p>
  </w:footnote>
  <w:footnote w:id="44">
    <w:p w14:paraId="59D55EDD" w14:textId="77777777" w:rsidR="00F96A7D" w:rsidRDefault="00F96A7D" w:rsidP="0003792A">
      <w:pPr>
        <w:pStyle w:val="Textpoznmkypodiarou"/>
        <w:spacing w:after="60" w:line="240" w:lineRule="auto"/>
      </w:pPr>
      <w:r>
        <w:rPr>
          <w:rStyle w:val="Odkaznapoznmkupodiarou"/>
        </w:rPr>
        <w:footnoteRef/>
      </w:r>
      <w:r>
        <w:t xml:space="preserve"> </w:t>
      </w:r>
      <w:r w:rsidRPr="007B5EB3">
        <w:rPr>
          <w:sz w:val="18"/>
        </w:rPr>
        <w:t>Ustanovenia o prieskume trhu pre VO týmto nie sú dotknuté</w:t>
      </w:r>
      <w:r>
        <w:rPr>
          <w:sz w:val="18"/>
        </w:rPr>
        <w:t>.</w:t>
      </w:r>
    </w:p>
  </w:footnote>
  <w:footnote w:id="45">
    <w:p w14:paraId="61532D1A" w14:textId="3D422D03" w:rsidR="00F96A7D" w:rsidRDefault="00F96A7D">
      <w:pPr>
        <w:pStyle w:val="Textpoznmkypodiarou"/>
      </w:pPr>
      <w:r>
        <w:rPr>
          <w:rStyle w:val="Odkaznapoznmkupodiarou"/>
        </w:rPr>
        <w:footnoteRef/>
      </w:r>
      <w:r>
        <w:t xml:space="preserve"> Pri definícii bežnej dostupnosti sa vychádza z ustanovenia § 2 ods. 5 písm. o) v spojení s § 2 ods. 6 a 7 ZVO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23B5E" w14:textId="090F92FA" w:rsidR="00F96A7D" w:rsidRDefault="00F96A7D" w:rsidP="00D52975">
    <w:pPr>
      <w:pStyle w:val="Hlavika"/>
      <w:tabs>
        <w:tab w:val="left" w:pos="1977"/>
      </w:tabs>
      <w:ind w:firstLine="1977"/>
    </w:pPr>
    <w:r>
      <w:rPr>
        <w:noProof/>
      </w:rPr>
      <w:drawing>
        <wp:anchor distT="0" distB="0" distL="114300" distR="114300" simplePos="0" relativeHeight="251662336" behindDoc="1" locked="0" layoutInCell="1" allowOverlap="1" wp14:anchorId="6AA5DA98" wp14:editId="4085C910">
          <wp:simplePos x="0" y="0"/>
          <wp:positionH relativeFrom="column">
            <wp:posOffset>4158615</wp:posOffset>
          </wp:positionH>
          <wp:positionV relativeFrom="paragraph">
            <wp:posOffset>-229235</wp:posOffset>
          </wp:positionV>
          <wp:extent cx="1783080" cy="499745"/>
          <wp:effectExtent l="0" t="0" r="7620" b="0"/>
          <wp:wrapTight wrapText="bothSides">
            <wp:wrapPolygon edited="0">
              <wp:start x="0" y="0"/>
              <wp:lineTo x="0" y="20584"/>
              <wp:lineTo x="21462" y="20584"/>
              <wp:lineTo x="21462" y="0"/>
              <wp:lineTo x="0" y="0"/>
            </wp:wrapPolygon>
          </wp:wrapTight>
          <wp:docPr id="55" name="Obrázok 55"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4997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5B44B23" wp14:editId="1E080A1D">
          <wp:simplePos x="0" y="0"/>
          <wp:positionH relativeFrom="column">
            <wp:posOffset>2629535</wp:posOffset>
          </wp:positionH>
          <wp:positionV relativeFrom="paragraph">
            <wp:posOffset>-199390</wp:posOffset>
          </wp:positionV>
          <wp:extent cx="1498488" cy="401955"/>
          <wp:effectExtent l="0" t="0" r="6985" b="0"/>
          <wp:wrapNone/>
          <wp:docPr id="54"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488" cy="401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52D44A0" wp14:editId="783A8AEF">
          <wp:simplePos x="0" y="0"/>
          <wp:positionH relativeFrom="column">
            <wp:posOffset>554990</wp:posOffset>
          </wp:positionH>
          <wp:positionV relativeFrom="paragraph">
            <wp:posOffset>-170180</wp:posOffset>
          </wp:positionV>
          <wp:extent cx="2006600" cy="461645"/>
          <wp:effectExtent l="0" t="0" r="0" b="0"/>
          <wp:wrapNone/>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006600" cy="4616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6838771" wp14:editId="6B440994">
          <wp:simplePos x="0" y="0"/>
          <wp:positionH relativeFrom="column">
            <wp:posOffset>-134620</wp:posOffset>
          </wp:positionH>
          <wp:positionV relativeFrom="paragraph">
            <wp:posOffset>-188595</wp:posOffset>
          </wp:positionV>
          <wp:extent cx="621030" cy="523875"/>
          <wp:effectExtent l="0" t="0" r="7620" b="9525"/>
          <wp:wrapTight wrapText="bothSides">
            <wp:wrapPolygon edited="0">
              <wp:start x="1988" y="0"/>
              <wp:lineTo x="0" y="14924"/>
              <wp:lineTo x="0" y="19636"/>
              <wp:lineTo x="4638" y="21207"/>
              <wp:lineTo x="15902" y="21207"/>
              <wp:lineTo x="21202" y="19636"/>
              <wp:lineTo x="21202" y="15709"/>
              <wp:lineTo x="18552" y="12567"/>
              <wp:lineTo x="18552" y="0"/>
              <wp:lineTo x="1988" y="0"/>
            </wp:wrapPolygon>
          </wp:wrapTight>
          <wp:docPr id="56" name="Obrázok 56"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 IROP 2014-2020_verzia 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030" cy="5238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B40"/>
    <w:multiLevelType w:val="hybridMultilevel"/>
    <w:tmpl w:val="435A4CF0"/>
    <w:lvl w:ilvl="0" w:tplc="89808C9C">
      <w:start w:val="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AC107E"/>
    <w:multiLevelType w:val="hybridMultilevel"/>
    <w:tmpl w:val="2F2AAFCA"/>
    <w:lvl w:ilvl="0" w:tplc="7AD49C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DE4109"/>
    <w:multiLevelType w:val="hybridMultilevel"/>
    <w:tmpl w:val="8EFE20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401E24"/>
    <w:multiLevelType w:val="hybridMultilevel"/>
    <w:tmpl w:val="F5DEF6E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A31472"/>
    <w:multiLevelType w:val="hybridMultilevel"/>
    <w:tmpl w:val="78748D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BF4E4B"/>
    <w:multiLevelType w:val="hybridMultilevel"/>
    <w:tmpl w:val="7862CC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BC001B2"/>
    <w:multiLevelType w:val="hybridMultilevel"/>
    <w:tmpl w:val="570AAE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0F1A79"/>
    <w:multiLevelType w:val="hybridMultilevel"/>
    <w:tmpl w:val="A25E6036"/>
    <w:lvl w:ilvl="0" w:tplc="884AFD1A">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671012"/>
    <w:multiLevelType w:val="hybridMultilevel"/>
    <w:tmpl w:val="7D20A93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2BA20FF"/>
    <w:multiLevelType w:val="hybridMultilevel"/>
    <w:tmpl w:val="FABCADC8"/>
    <w:lvl w:ilvl="0" w:tplc="89808C9C">
      <w:start w:val="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9C3EB9"/>
    <w:multiLevelType w:val="hybridMultilevel"/>
    <w:tmpl w:val="ED187626"/>
    <w:lvl w:ilvl="0" w:tplc="2692026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FC36E8"/>
    <w:multiLevelType w:val="hybridMultilevel"/>
    <w:tmpl w:val="D186BBF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E846DF4"/>
    <w:multiLevelType w:val="hybridMultilevel"/>
    <w:tmpl w:val="B2922A1E"/>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FA4206D"/>
    <w:multiLevelType w:val="hybridMultilevel"/>
    <w:tmpl w:val="5F48D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88F33A1"/>
    <w:multiLevelType w:val="hybridMultilevel"/>
    <w:tmpl w:val="B6CAFE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8D10E8F"/>
    <w:multiLevelType w:val="hybridMultilevel"/>
    <w:tmpl w:val="C0FAEAFA"/>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385BA6"/>
    <w:multiLevelType w:val="hybridMultilevel"/>
    <w:tmpl w:val="91501B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B896308"/>
    <w:multiLevelType w:val="hybridMultilevel"/>
    <w:tmpl w:val="F1F00F7C"/>
    <w:lvl w:ilvl="0" w:tplc="0405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541574"/>
    <w:multiLevelType w:val="hybridMultilevel"/>
    <w:tmpl w:val="EEEEC63C"/>
    <w:lvl w:ilvl="0" w:tplc="DFF8B7C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4A4041"/>
    <w:multiLevelType w:val="hybridMultilevel"/>
    <w:tmpl w:val="C0A034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7C0859"/>
    <w:multiLevelType w:val="hybridMultilevel"/>
    <w:tmpl w:val="E8BC17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5004F2D"/>
    <w:multiLevelType w:val="hybridMultilevel"/>
    <w:tmpl w:val="92044B8E"/>
    <w:lvl w:ilvl="0" w:tplc="89808C9C">
      <w:start w:val="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563DD6"/>
    <w:multiLevelType w:val="hybridMultilevel"/>
    <w:tmpl w:val="1C88DD6C"/>
    <w:lvl w:ilvl="0" w:tplc="EDB6F8A4">
      <w:numFmt w:val="bullet"/>
      <w:lvlText w:val="-"/>
      <w:lvlJc w:val="left"/>
      <w:pPr>
        <w:ind w:left="720" w:hanging="360"/>
      </w:pPr>
      <w:rPr>
        <w:rFonts w:ascii="Arial" w:eastAsiaTheme="minorHAnsi" w:hAnsi="Arial" w:cs="Arial" w:hint="default"/>
        <w:sz w:val="2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6B97526"/>
    <w:multiLevelType w:val="hybridMultilevel"/>
    <w:tmpl w:val="2D265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BD3175A"/>
    <w:multiLevelType w:val="hybridMultilevel"/>
    <w:tmpl w:val="B716740A"/>
    <w:lvl w:ilvl="0" w:tplc="1C1A5822">
      <w:start w:val="1"/>
      <w:numFmt w:val="bullet"/>
      <w:lvlText w:val=""/>
      <w:lvlJc w:val="left"/>
      <w:pPr>
        <w:ind w:left="720" w:hanging="360"/>
      </w:pPr>
      <w:rPr>
        <w:rFonts w:ascii="Wingdings" w:hAnsi="Wingdings" w:hint="default"/>
        <w:color w:val="00206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C9B1B7D"/>
    <w:multiLevelType w:val="hybridMultilevel"/>
    <w:tmpl w:val="9B1606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DE62670"/>
    <w:multiLevelType w:val="hybridMultilevel"/>
    <w:tmpl w:val="C65AFF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6F0926"/>
    <w:multiLevelType w:val="hybridMultilevel"/>
    <w:tmpl w:val="5D1C5378"/>
    <w:lvl w:ilvl="0" w:tplc="041B0017">
      <w:start w:val="1"/>
      <w:numFmt w:val="lowerLetter"/>
      <w:lvlText w:val="%1)"/>
      <w:lvlJc w:val="left"/>
      <w:pPr>
        <w:ind w:left="720" w:hanging="360"/>
      </w:pPr>
      <w:rPr>
        <w:rFonts w:cs="Times New Roman"/>
      </w:rPr>
    </w:lvl>
    <w:lvl w:ilvl="1" w:tplc="3B86D6B4">
      <w:start w:val="1"/>
      <w:numFmt w:val="decimal"/>
      <w:lvlText w:val="%2."/>
      <w:lvlJc w:val="left"/>
      <w:pPr>
        <w:ind w:left="1440" w:hanging="360"/>
      </w:pPr>
      <w:rPr>
        <w:rFonts w:hint="default"/>
      </w:rPr>
    </w:lvl>
    <w:lvl w:ilvl="2" w:tplc="A366161E">
      <w:start w:val="6"/>
      <w:numFmt w:val="decimal"/>
      <w:lvlText w:val="%3"/>
      <w:lvlJc w:val="left"/>
      <w:pPr>
        <w:ind w:left="2340" w:hanging="36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20A138A"/>
    <w:multiLevelType w:val="hybridMultilevel"/>
    <w:tmpl w:val="DB1078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2780AE6"/>
    <w:multiLevelType w:val="hybridMultilevel"/>
    <w:tmpl w:val="8D3EF028"/>
    <w:lvl w:ilvl="0" w:tplc="89808C9C">
      <w:start w:val="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81576EA"/>
    <w:multiLevelType w:val="hybridMultilevel"/>
    <w:tmpl w:val="DED2B0A2"/>
    <w:lvl w:ilvl="0" w:tplc="041B000F">
      <w:start w:val="1"/>
      <w:numFmt w:val="decimal"/>
      <w:lvlText w:val="%1."/>
      <w:lvlJc w:val="left"/>
      <w:pPr>
        <w:ind w:left="720" w:hanging="360"/>
      </w:pPr>
    </w:lvl>
    <w:lvl w:ilvl="1" w:tplc="F418FC9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9BC4979"/>
    <w:multiLevelType w:val="hybridMultilevel"/>
    <w:tmpl w:val="74788AAE"/>
    <w:lvl w:ilvl="0" w:tplc="A2CCFB88">
      <w:start w:val="1"/>
      <w:numFmt w:val="lowerLetter"/>
      <w:lvlText w:val="%1)"/>
      <w:lvlJc w:val="left"/>
      <w:pPr>
        <w:ind w:left="360" w:hanging="360"/>
      </w:pPr>
      <w:rPr>
        <w:b w:val="0"/>
      </w:rPr>
    </w:lvl>
    <w:lvl w:ilvl="1" w:tplc="041B0019">
      <w:start w:val="1"/>
      <w:numFmt w:val="lowerLetter"/>
      <w:lvlText w:val="%2."/>
      <w:lvlJc w:val="left"/>
      <w:pPr>
        <w:ind w:left="1080" w:hanging="360"/>
      </w:pPr>
    </w:lvl>
    <w:lvl w:ilvl="2" w:tplc="041B0017">
      <w:start w:val="1"/>
      <w:numFmt w:val="lowerLetter"/>
      <w:lvlText w:val="%3)"/>
      <w:lvlJc w:val="lef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E73219C"/>
    <w:multiLevelType w:val="hybridMultilevel"/>
    <w:tmpl w:val="C338CAF0"/>
    <w:lvl w:ilvl="0" w:tplc="0405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3156724"/>
    <w:multiLevelType w:val="multilevel"/>
    <w:tmpl w:val="141CDC78"/>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43402C"/>
    <w:multiLevelType w:val="hybridMultilevel"/>
    <w:tmpl w:val="BB3A5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56C2003"/>
    <w:multiLevelType w:val="hybridMultilevel"/>
    <w:tmpl w:val="4050AA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C5967E7"/>
    <w:multiLevelType w:val="hybridMultilevel"/>
    <w:tmpl w:val="87287898"/>
    <w:lvl w:ilvl="0" w:tplc="7AD49C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E3C4CB0"/>
    <w:multiLevelType w:val="hybridMultilevel"/>
    <w:tmpl w:val="15C6D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0831AEF"/>
    <w:multiLevelType w:val="hybridMultilevel"/>
    <w:tmpl w:val="D3A8649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0C04B70"/>
    <w:multiLevelType w:val="hybridMultilevel"/>
    <w:tmpl w:val="9296E7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0DF5C96"/>
    <w:multiLevelType w:val="hybridMultilevel"/>
    <w:tmpl w:val="802823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256202C"/>
    <w:multiLevelType w:val="hybridMultilevel"/>
    <w:tmpl w:val="CEE233A4"/>
    <w:lvl w:ilvl="0" w:tplc="7AD49C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446657B"/>
    <w:multiLevelType w:val="hybridMultilevel"/>
    <w:tmpl w:val="4B94B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B3F7FA3"/>
    <w:multiLevelType w:val="hybridMultilevel"/>
    <w:tmpl w:val="CA6620E8"/>
    <w:lvl w:ilvl="0" w:tplc="7AD49C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7"/>
  </w:num>
  <w:num w:numId="4">
    <w:abstractNumId w:val="16"/>
  </w:num>
  <w:num w:numId="5">
    <w:abstractNumId w:val="8"/>
  </w:num>
  <w:num w:numId="6">
    <w:abstractNumId w:val="6"/>
  </w:num>
  <w:num w:numId="7">
    <w:abstractNumId w:val="5"/>
  </w:num>
  <w:num w:numId="8">
    <w:abstractNumId w:val="26"/>
  </w:num>
  <w:num w:numId="9">
    <w:abstractNumId w:val="30"/>
  </w:num>
  <w:num w:numId="10">
    <w:abstractNumId w:val="37"/>
  </w:num>
  <w:num w:numId="11">
    <w:abstractNumId w:val="11"/>
  </w:num>
  <w:num w:numId="12">
    <w:abstractNumId w:val="14"/>
  </w:num>
  <w:num w:numId="13">
    <w:abstractNumId w:val="2"/>
  </w:num>
  <w:num w:numId="14">
    <w:abstractNumId w:val="19"/>
  </w:num>
  <w:num w:numId="15">
    <w:abstractNumId w:val="34"/>
  </w:num>
  <w:num w:numId="16">
    <w:abstractNumId w:val="40"/>
  </w:num>
  <w:num w:numId="17">
    <w:abstractNumId w:val="42"/>
  </w:num>
  <w:num w:numId="18">
    <w:abstractNumId w:val="23"/>
  </w:num>
  <w:num w:numId="19">
    <w:abstractNumId w:val="35"/>
  </w:num>
  <w:num w:numId="20">
    <w:abstractNumId w:val="10"/>
  </w:num>
  <w:num w:numId="21">
    <w:abstractNumId w:val="15"/>
  </w:num>
  <w:num w:numId="22">
    <w:abstractNumId w:val="43"/>
  </w:num>
  <w:num w:numId="23">
    <w:abstractNumId w:val="1"/>
  </w:num>
  <w:num w:numId="24">
    <w:abstractNumId w:val="41"/>
  </w:num>
  <w:num w:numId="25">
    <w:abstractNumId w:val="12"/>
  </w:num>
  <w:num w:numId="26">
    <w:abstractNumId w:val="28"/>
  </w:num>
  <w:num w:numId="27">
    <w:abstractNumId w:val="24"/>
  </w:num>
  <w:num w:numId="28">
    <w:abstractNumId w:val="33"/>
  </w:num>
  <w:num w:numId="29">
    <w:abstractNumId w:val="22"/>
  </w:num>
  <w:num w:numId="30">
    <w:abstractNumId w:val="36"/>
  </w:num>
  <w:num w:numId="31">
    <w:abstractNumId w:val="17"/>
  </w:num>
  <w:num w:numId="32">
    <w:abstractNumId w:val="32"/>
  </w:num>
  <w:num w:numId="33">
    <w:abstractNumId w:val="31"/>
  </w:num>
  <w:num w:numId="34">
    <w:abstractNumId w:val="7"/>
  </w:num>
  <w:num w:numId="35">
    <w:abstractNumId w:val="39"/>
  </w:num>
  <w:num w:numId="36">
    <w:abstractNumId w:val="18"/>
  </w:num>
  <w:num w:numId="37">
    <w:abstractNumId w:val="9"/>
  </w:num>
  <w:num w:numId="38">
    <w:abstractNumId w:val="0"/>
  </w:num>
  <w:num w:numId="39">
    <w:abstractNumId w:val="29"/>
  </w:num>
  <w:num w:numId="40">
    <w:abstractNumId w:val="21"/>
  </w:num>
  <w:num w:numId="41">
    <w:abstractNumId w:val="4"/>
  </w:num>
  <w:num w:numId="42">
    <w:abstractNumId w:val="38"/>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56"/>
    <w:rsid w:val="000017DF"/>
    <w:rsid w:val="00013AA4"/>
    <w:rsid w:val="000141A6"/>
    <w:rsid w:val="000201F3"/>
    <w:rsid w:val="00020882"/>
    <w:rsid w:val="0002546E"/>
    <w:rsid w:val="00025AB0"/>
    <w:rsid w:val="000331D7"/>
    <w:rsid w:val="00035E32"/>
    <w:rsid w:val="00036D4B"/>
    <w:rsid w:val="0003730B"/>
    <w:rsid w:val="0003792A"/>
    <w:rsid w:val="000440A1"/>
    <w:rsid w:val="00045244"/>
    <w:rsid w:val="000456F5"/>
    <w:rsid w:val="000462D4"/>
    <w:rsid w:val="00060402"/>
    <w:rsid w:val="00062EF4"/>
    <w:rsid w:val="00066B94"/>
    <w:rsid w:val="00066FA8"/>
    <w:rsid w:val="000670EE"/>
    <w:rsid w:val="00073B26"/>
    <w:rsid w:val="00073F3C"/>
    <w:rsid w:val="00075868"/>
    <w:rsid w:val="00075BB1"/>
    <w:rsid w:val="00080EB6"/>
    <w:rsid w:val="00083857"/>
    <w:rsid w:val="0008560A"/>
    <w:rsid w:val="000864F4"/>
    <w:rsid w:val="00087DB0"/>
    <w:rsid w:val="00091C63"/>
    <w:rsid w:val="00096140"/>
    <w:rsid w:val="000A093F"/>
    <w:rsid w:val="000A362A"/>
    <w:rsid w:val="000B188A"/>
    <w:rsid w:val="000B2051"/>
    <w:rsid w:val="000C3C1B"/>
    <w:rsid w:val="000C7EF0"/>
    <w:rsid w:val="000D0C5B"/>
    <w:rsid w:val="000D5CCE"/>
    <w:rsid w:val="000D7C63"/>
    <w:rsid w:val="000E4072"/>
    <w:rsid w:val="000F0E99"/>
    <w:rsid w:val="000F0FC2"/>
    <w:rsid w:val="000F6D81"/>
    <w:rsid w:val="00106565"/>
    <w:rsid w:val="00106926"/>
    <w:rsid w:val="001224B4"/>
    <w:rsid w:val="00122569"/>
    <w:rsid w:val="00123A81"/>
    <w:rsid w:val="00125B2A"/>
    <w:rsid w:val="00125F88"/>
    <w:rsid w:val="0012602E"/>
    <w:rsid w:val="001332D6"/>
    <w:rsid w:val="00133A17"/>
    <w:rsid w:val="00134199"/>
    <w:rsid w:val="00143FA9"/>
    <w:rsid w:val="00145122"/>
    <w:rsid w:val="00151681"/>
    <w:rsid w:val="001521D3"/>
    <w:rsid w:val="0015370C"/>
    <w:rsid w:val="0016577D"/>
    <w:rsid w:val="00167C54"/>
    <w:rsid w:val="00172BE6"/>
    <w:rsid w:val="00175439"/>
    <w:rsid w:val="001815F6"/>
    <w:rsid w:val="00183BF7"/>
    <w:rsid w:val="00187697"/>
    <w:rsid w:val="001922CA"/>
    <w:rsid w:val="00193069"/>
    <w:rsid w:val="001A0359"/>
    <w:rsid w:val="001A3654"/>
    <w:rsid w:val="001A4880"/>
    <w:rsid w:val="001A49DD"/>
    <w:rsid w:val="001A77B0"/>
    <w:rsid w:val="001B0110"/>
    <w:rsid w:val="001B48E7"/>
    <w:rsid w:val="001C1144"/>
    <w:rsid w:val="001C2C68"/>
    <w:rsid w:val="001C4E14"/>
    <w:rsid w:val="001C4F33"/>
    <w:rsid w:val="001C713E"/>
    <w:rsid w:val="001D094A"/>
    <w:rsid w:val="001D4D00"/>
    <w:rsid w:val="001E3756"/>
    <w:rsid w:val="001E4AC0"/>
    <w:rsid w:val="001E5C25"/>
    <w:rsid w:val="001F30A7"/>
    <w:rsid w:val="0020283D"/>
    <w:rsid w:val="00202F6D"/>
    <w:rsid w:val="00205F9F"/>
    <w:rsid w:val="00206A91"/>
    <w:rsid w:val="002155B3"/>
    <w:rsid w:val="002164C6"/>
    <w:rsid w:val="002167A1"/>
    <w:rsid w:val="00220A21"/>
    <w:rsid w:val="002214CF"/>
    <w:rsid w:val="00231BD8"/>
    <w:rsid w:val="00233D08"/>
    <w:rsid w:val="0023471F"/>
    <w:rsid w:val="00234781"/>
    <w:rsid w:val="0023591B"/>
    <w:rsid w:val="0024569B"/>
    <w:rsid w:val="002478C5"/>
    <w:rsid w:val="002522DB"/>
    <w:rsid w:val="0025393B"/>
    <w:rsid w:val="002543C3"/>
    <w:rsid w:val="00265E25"/>
    <w:rsid w:val="002722EE"/>
    <w:rsid w:val="002809B4"/>
    <w:rsid w:val="002A069B"/>
    <w:rsid w:val="002A0D1D"/>
    <w:rsid w:val="002A4405"/>
    <w:rsid w:val="002B2739"/>
    <w:rsid w:val="002B5D6E"/>
    <w:rsid w:val="002B7D8E"/>
    <w:rsid w:val="002C23E7"/>
    <w:rsid w:val="002C637F"/>
    <w:rsid w:val="002D7E70"/>
    <w:rsid w:val="002E04C9"/>
    <w:rsid w:val="002E084B"/>
    <w:rsid w:val="002E24DC"/>
    <w:rsid w:val="002E6898"/>
    <w:rsid w:val="002E6EBD"/>
    <w:rsid w:val="002E7EEE"/>
    <w:rsid w:val="002F0259"/>
    <w:rsid w:val="002F51AD"/>
    <w:rsid w:val="00306971"/>
    <w:rsid w:val="00312EF7"/>
    <w:rsid w:val="00321828"/>
    <w:rsid w:val="00332E9C"/>
    <w:rsid w:val="00335DAE"/>
    <w:rsid w:val="00337242"/>
    <w:rsid w:val="00341819"/>
    <w:rsid w:val="00341E77"/>
    <w:rsid w:val="00345C0C"/>
    <w:rsid w:val="00351657"/>
    <w:rsid w:val="00351927"/>
    <w:rsid w:val="00352563"/>
    <w:rsid w:val="003548DD"/>
    <w:rsid w:val="00354C0D"/>
    <w:rsid w:val="00357779"/>
    <w:rsid w:val="0036242B"/>
    <w:rsid w:val="0036380F"/>
    <w:rsid w:val="00366310"/>
    <w:rsid w:val="00371586"/>
    <w:rsid w:val="00371D39"/>
    <w:rsid w:val="003730A4"/>
    <w:rsid w:val="00391AA9"/>
    <w:rsid w:val="00396DFE"/>
    <w:rsid w:val="003A188D"/>
    <w:rsid w:val="003A26D8"/>
    <w:rsid w:val="003A348E"/>
    <w:rsid w:val="003B1636"/>
    <w:rsid w:val="003B22BA"/>
    <w:rsid w:val="003B3295"/>
    <w:rsid w:val="003C211D"/>
    <w:rsid w:val="003D3170"/>
    <w:rsid w:val="003D3371"/>
    <w:rsid w:val="003D3CC2"/>
    <w:rsid w:val="003E1D3D"/>
    <w:rsid w:val="003E2ACD"/>
    <w:rsid w:val="003F14D0"/>
    <w:rsid w:val="003F169B"/>
    <w:rsid w:val="003F2102"/>
    <w:rsid w:val="003F49EE"/>
    <w:rsid w:val="003F5566"/>
    <w:rsid w:val="0040448C"/>
    <w:rsid w:val="004076DD"/>
    <w:rsid w:val="0040786F"/>
    <w:rsid w:val="0041707F"/>
    <w:rsid w:val="00420F15"/>
    <w:rsid w:val="00434C86"/>
    <w:rsid w:val="00442BCB"/>
    <w:rsid w:val="00445C4A"/>
    <w:rsid w:val="00446D77"/>
    <w:rsid w:val="00447DCD"/>
    <w:rsid w:val="004578F8"/>
    <w:rsid w:val="00460363"/>
    <w:rsid w:val="00461D6B"/>
    <w:rsid w:val="00463C73"/>
    <w:rsid w:val="00465966"/>
    <w:rsid w:val="00470020"/>
    <w:rsid w:val="00471A96"/>
    <w:rsid w:val="00474680"/>
    <w:rsid w:val="00481903"/>
    <w:rsid w:val="00490228"/>
    <w:rsid w:val="00492941"/>
    <w:rsid w:val="00496451"/>
    <w:rsid w:val="00497805"/>
    <w:rsid w:val="004A0D20"/>
    <w:rsid w:val="004A1891"/>
    <w:rsid w:val="004A6BA1"/>
    <w:rsid w:val="004B75AB"/>
    <w:rsid w:val="004B7756"/>
    <w:rsid w:val="004C1D44"/>
    <w:rsid w:val="004C2DB7"/>
    <w:rsid w:val="004C2F10"/>
    <w:rsid w:val="004C35A9"/>
    <w:rsid w:val="004C3D8A"/>
    <w:rsid w:val="004D23C2"/>
    <w:rsid w:val="004D3399"/>
    <w:rsid w:val="004E2993"/>
    <w:rsid w:val="004E4001"/>
    <w:rsid w:val="004E54DB"/>
    <w:rsid w:val="004F050B"/>
    <w:rsid w:val="0050025E"/>
    <w:rsid w:val="005005DA"/>
    <w:rsid w:val="0050350E"/>
    <w:rsid w:val="0050679D"/>
    <w:rsid w:val="00507F5C"/>
    <w:rsid w:val="005104DB"/>
    <w:rsid w:val="005131BB"/>
    <w:rsid w:val="00514CD3"/>
    <w:rsid w:val="00516643"/>
    <w:rsid w:val="00524214"/>
    <w:rsid w:val="00531B87"/>
    <w:rsid w:val="005340C0"/>
    <w:rsid w:val="0053438B"/>
    <w:rsid w:val="00545AB1"/>
    <w:rsid w:val="005517DE"/>
    <w:rsid w:val="005548AA"/>
    <w:rsid w:val="00554D1E"/>
    <w:rsid w:val="00556AAE"/>
    <w:rsid w:val="00557987"/>
    <w:rsid w:val="005633A0"/>
    <w:rsid w:val="0056387E"/>
    <w:rsid w:val="00566147"/>
    <w:rsid w:val="005723AD"/>
    <w:rsid w:val="00582413"/>
    <w:rsid w:val="00582A45"/>
    <w:rsid w:val="00591103"/>
    <w:rsid w:val="005957D0"/>
    <w:rsid w:val="00596407"/>
    <w:rsid w:val="005A04EA"/>
    <w:rsid w:val="005A1B17"/>
    <w:rsid w:val="005A2B5D"/>
    <w:rsid w:val="005A5EA3"/>
    <w:rsid w:val="005A7F89"/>
    <w:rsid w:val="005B6256"/>
    <w:rsid w:val="005C028B"/>
    <w:rsid w:val="005C05CC"/>
    <w:rsid w:val="005C3F2A"/>
    <w:rsid w:val="005D08EF"/>
    <w:rsid w:val="005D24E6"/>
    <w:rsid w:val="005D4007"/>
    <w:rsid w:val="005D4F47"/>
    <w:rsid w:val="005D6E81"/>
    <w:rsid w:val="005E2B6F"/>
    <w:rsid w:val="005E52E9"/>
    <w:rsid w:val="005E6999"/>
    <w:rsid w:val="005F4E49"/>
    <w:rsid w:val="006044CA"/>
    <w:rsid w:val="00604CFB"/>
    <w:rsid w:val="0060511E"/>
    <w:rsid w:val="00605AA6"/>
    <w:rsid w:val="0060796C"/>
    <w:rsid w:val="00611C0B"/>
    <w:rsid w:val="006145C6"/>
    <w:rsid w:val="00621D4F"/>
    <w:rsid w:val="006229E8"/>
    <w:rsid w:val="0063058B"/>
    <w:rsid w:val="00631176"/>
    <w:rsid w:val="00641E3E"/>
    <w:rsid w:val="006423C5"/>
    <w:rsid w:val="00642F51"/>
    <w:rsid w:val="00650D93"/>
    <w:rsid w:val="00650FFD"/>
    <w:rsid w:val="00652040"/>
    <w:rsid w:val="00652872"/>
    <w:rsid w:val="006548C1"/>
    <w:rsid w:val="00665C56"/>
    <w:rsid w:val="00666D96"/>
    <w:rsid w:val="00670024"/>
    <w:rsid w:val="00670CC4"/>
    <w:rsid w:val="00677F57"/>
    <w:rsid w:val="0068187E"/>
    <w:rsid w:val="00685CCD"/>
    <w:rsid w:val="00694678"/>
    <w:rsid w:val="00694DB9"/>
    <w:rsid w:val="00696081"/>
    <w:rsid w:val="00697549"/>
    <w:rsid w:val="00697933"/>
    <w:rsid w:val="006A023B"/>
    <w:rsid w:val="006A25A3"/>
    <w:rsid w:val="006A2AD6"/>
    <w:rsid w:val="006A2E57"/>
    <w:rsid w:val="006A5795"/>
    <w:rsid w:val="006A5B4A"/>
    <w:rsid w:val="006A6C5D"/>
    <w:rsid w:val="006B05C0"/>
    <w:rsid w:val="006B2E45"/>
    <w:rsid w:val="006B39AD"/>
    <w:rsid w:val="006B5125"/>
    <w:rsid w:val="006B6612"/>
    <w:rsid w:val="006B742C"/>
    <w:rsid w:val="006C4EB3"/>
    <w:rsid w:val="006D2F16"/>
    <w:rsid w:val="006D78D0"/>
    <w:rsid w:val="006E0790"/>
    <w:rsid w:val="006E278D"/>
    <w:rsid w:val="006F2EFF"/>
    <w:rsid w:val="007078FC"/>
    <w:rsid w:val="00715D74"/>
    <w:rsid w:val="00722BBC"/>
    <w:rsid w:val="00727446"/>
    <w:rsid w:val="00730792"/>
    <w:rsid w:val="0073319C"/>
    <w:rsid w:val="007332FF"/>
    <w:rsid w:val="00742933"/>
    <w:rsid w:val="00743258"/>
    <w:rsid w:val="00743514"/>
    <w:rsid w:val="007476D8"/>
    <w:rsid w:val="007511D1"/>
    <w:rsid w:val="0076412B"/>
    <w:rsid w:val="0076635E"/>
    <w:rsid w:val="0077212B"/>
    <w:rsid w:val="00775941"/>
    <w:rsid w:val="007828F4"/>
    <w:rsid w:val="0078764E"/>
    <w:rsid w:val="0079075E"/>
    <w:rsid w:val="00793D90"/>
    <w:rsid w:val="00794E3B"/>
    <w:rsid w:val="007978EE"/>
    <w:rsid w:val="00797AC2"/>
    <w:rsid w:val="007A04B8"/>
    <w:rsid w:val="007A52E6"/>
    <w:rsid w:val="007A61EF"/>
    <w:rsid w:val="007B3325"/>
    <w:rsid w:val="007B5EB3"/>
    <w:rsid w:val="007C5E5C"/>
    <w:rsid w:val="007D0F5B"/>
    <w:rsid w:val="007D1F8C"/>
    <w:rsid w:val="007D1FA2"/>
    <w:rsid w:val="007D47B0"/>
    <w:rsid w:val="007D47ED"/>
    <w:rsid w:val="007D4ED7"/>
    <w:rsid w:val="007D75E4"/>
    <w:rsid w:val="007D7FF5"/>
    <w:rsid w:val="007E1CA1"/>
    <w:rsid w:val="007E35F6"/>
    <w:rsid w:val="007E55F9"/>
    <w:rsid w:val="007E62A8"/>
    <w:rsid w:val="007E73D9"/>
    <w:rsid w:val="007F2F26"/>
    <w:rsid w:val="007F321A"/>
    <w:rsid w:val="007F339C"/>
    <w:rsid w:val="007F3D46"/>
    <w:rsid w:val="007F5D4F"/>
    <w:rsid w:val="0081781D"/>
    <w:rsid w:val="00820485"/>
    <w:rsid w:val="00827F25"/>
    <w:rsid w:val="0083195F"/>
    <w:rsid w:val="00837107"/>
    <w:rsid w:val="00841C16"/>
    <w:rsid w:val="0084510A"/>
    <w:rsid w:val="00847A64"/>
    <w:rsid w:val="00847B8D"/>
    <w:rsid w:val="00851105"/>
    <w:rsid w:val="008517D0"/>
    <w:rsid w:val="00852D29"/>
    <w:rsid w:val="008560E0"/>
    <w:rsid w:val="008572E6"/>
    <w:rsid w:val="00857AF9"/>
    <w:rsid w:val="008623A4"/>
    <w:rsid w:val="008650FB"/>
    <w:rsid w:val="00873D67"/>
    <w:rsid w:val="00876080"/>
    <w:rsid w:val="0087608C"/>
    <w:rsid w:val="00877988"/>
    <w:rsid w:val="008827DA"/>
    <w:rsid w:val="008858BA"/>
    <w:rsid w:val="00896C5C"/>
    <w:rsid w:val="008A1B4E"/>
    <w:rsid w:val="008A2054"/>
    <w:rsid w:val="008A3366"/>
    <w:rsid w:val="008B01FE"/>
    <w:rsid w:val="008B113A"/>
    <w:rsid w:val="008B491A"/>
    <w:rsid w:val="008B6E88"/>
    <w:rsid w:val="008C74B9"/>
    <w:rsid w:val="008D251E"/>
    <w:rsid w:val="008D33A3"/>
    <w:rsid w:val="008D3857"/>
    <w:rsid w:val="008D4584"/>
    <w:rsid w:val="008E1EF5"/>
    <w:rsid w:val="008E5E5F"/>
    <w:rsid w:val="008E6246"/>
    <w:rsid w:val="008E658B"/>
    <w:rsid w:val="008E65E3"/>
    <w:rsid w:val="008E69E7"/>
    <w:rsid w:val="008E6E8B"/>
    <w:rsid w:val="008F1A42"/>
    <w:rsid w:val="008F1F39"/>
    <w:rsid w:val="008F2827"/>
    <w:rsid w:val="008F57B2"/>
    <w:rsid w:val="00901516"/>
    <w:rsid w:val="0091006E"/>
    <w:rsid w:val="00924A31"/>
    <w:rsid w:val="0092680A"/>
    <w:rsid w:val="00931749"/>
    <w:rsid w:val="00932A74"/>
    <w:rsid w:val="009426C9"/>
    <w:rsid w:val="00943259"/>
    <w:rsid w:val="00946DF1"/>
    <w:rsid w:val="00947A4A"/>
    <w:rsid w:val="00951DB4"/>
    <w:rsid w:val="00952F10"/>
    <w:rsid w:val="00956FD1"/>
    <w:rsid w:val="00957134"/>
    <w:rsid w:val="00957E76"/>
    <w:rsid w:val="00960962"/>
    <w:rsid w:val="009745C9"/>
    <w:rsid w:val="00974D05"/>
    <w:rsid w:val="00980857"/>
    <w:rsid w:val="00980E34"/>
    <w:rsid w:val="009824E5"/>
    <w:rsid w:val="0098706A"/>
    <w:rsid w:val="00990D7F"/>
    <w:rsid w:val="009940A9"/>
    <w:rsid w:val="00996EB6"/>
    <w:rsid w:val="009A1DDD"/>
    <w:rsid w:val="009B072F"/>
    <w:rsid w:val="009B2248"/>
    <w:rsid w:val="009C57EC"/>
    <w:rsid w:val="009C6D40"/>
    <w:rsid w:val="009D4149"/>
    <w:rsid w:val="009E3486"/>
    <w:rsid w:val="009E5055"/>
    <w:rsid w:val="009E5973"/>
    <w:rsid w:val="009F27F7"/>
    <w:rsid w:val="009F4636"/>
    <w:rsid w:val="00A02C5F"/>
    <w:rsid w:val="00A05EF8"/>
    <w:rsid w:val="00A137D1"/>
    <w:rsid w:val="00A13922"/>
    <w:rsid w:val="00A172E2"/>
    <w:rsid w:val="00A21BE8"/>
    <w:rsid w:val="00A24EBA"/>
    <w:rsid w:val="00A30C08"/>
    <w:rsid w:val="00A30FEE"/>
    <w:rsid w:val="00A3320D"/>
    <w:rsid w:val="00A35A09"/>
    <w:rsid w:val="00A41BD0"/>
    <w:rsid w:val="00A43DA2"/>
    <w:rsid w:val="00A47281"/>
    <w:rsid w:val="00A472CC"/>
    <w:rsid w:val="00A47AA7"/>
    <w:rsid w:val="00A54581"/>
    <w:rsid w:val="00A60961"/>
    <w:rsid w:val="00A640AC"/>
    <w:rsid w:val="00A64B32"/>
    <w:rsid w:val="00A653E9"/>
    <w:rsid w:val="00A66C06"/>
    <w:rsid w:val="00A70F79"/>
    <w:rsid w:val="00A76FF9"/>
    <w:rsid w:val="00A824F9"/>
    <w:rsid w:val="00A8527E"/>
    <w:rsid w:val="00A85CFE"/>
    <w:rsid w:val="00A86291"/>
    <w:rsid w:val="00A86EBC"/>
    <w:rsid w:val="00A954AF"/>
    <w:rsid w:val="00A975D4"/>
    <w:rsid w:val="00AA1F9B"/>
    <w:rsid w:val="00AA3546"/>
    <w:rsid w:val="00AA6975"/>
    <w:rsid w:val="00AB67C9"/>
    <w:rsid w:val="00AC39AC"/>
    <w:rsid w:val="00AC7B13"/>
    <w:rsid w:val="00AD1391"/>
    <w:rsid w:val="00AD4349"/>
    <w:rsid w:val="00AD50E1"/>
    <w:rsid w:val="00AE6CF7"/>
    <w:rsid w:val="00AF081E"/>
    <w:rsid w:val="00AF5BCC"/>
    <w:rsid w:val="00B047CA"/>
    <w:rsid w:val="00B07BA2"/>
    <w:rsid w:val="00B1165E"/>
    <w:rsid w:val="00B201EB"/>
    <w:rsid w:val="00B21D3B"/>
    <w:rsid w:val="00B230B2"/>
    <w:rsid w:val="00B24583"/>
    <w:rsid w:val="00B27837"/>
    <w:rsid w:val="00B30ECD"/>
    <w:rsid w:val="00B312B4"/>
    <w:rsid w:val="00B329F0"/>
    <w:rsid w:val="00B35AC7"/>
    <w:rsid w:val="00B3734A"/>
    <w:rsid w:val="00B4078C"/>
    <w:rsid w:val="00B419E2"/>
    <w:rsid w:val="00B45E7C"/>
    <w:rsid w:val="00B464C7"/>
    <w:rsid w:val="00B4660C"/>
    <w:rsid w:val="00B555DA"/>
    <w:rsid w:val="00B56CB5"/>
    <w:rsid w:val="00B56D6A"/>
    <w:rsid w:val="00B64A4A"/>
    <w:rsid w:val="00B654F0"/>
    <w:rsid w:val="00B67514"/>
    <w:rsid w:val="00B7226E"/>
    <w:rsid w:val="00B73467"/>
    <w:rsid w:val="00B744AA"/>
    <w:rsid w:val="00B7777E"/>
    <w:rsid w:val="00B83BC5"/>
    <w:rsid w:val="00B866E8"/>
    <w:rsid w:val="00B86D7C"/>
    <w:rsid w:val="00B94A15"/>
    <w:rsid w:val="00BA0AA5"/>
    <w:rsid w:val="00BA0BAE"/>
    <w:rsid w:val="00BA1870"/>
    <w:rsid w:val="00BA33B4"/>
    <w:rsid w:val="00BA755B"/>
    <w:rsid w:val="00BB36DA"/>
    <w:rsid w:val="00BB5EE5"/>
    <w:rsid w:val="00BD3E66"/>
    <w:rsid w:val="00BD530C"/>
    <w:rsid w:val="00BD5A66"/>
    <w:rsid w:val="00BD6F6A"/>
    <w:rsid w:val="00BF15E8"/>
    <w:rsid w:val="00BF250D"/>
    <w:rsid w:val="00BF38E1"/>
    <w:rsid w:val="00BF3DA6"/>
    <w:rsid w:val="00BF4BA5"/>
    <w:rsid w:val="00BF523A"/>
    <w:rsid w:val="00BF69F2"/>
    <w:rsid w:val="00C0141A"/>
    <w:rsid w:val="00C03420"/>
    <w:rsid w:val="00C04242"/>
    <w:rsid w:val="00C073D9"/>
    <w:rsid w:val="00C14498"/>
    <w:rsid w:val="00C14F4C"/>
    <w:rsid w:val="00C161AE"/>
    <w:rsid w:val="00C17971"/>
    <w:rsid w:val="00C24E87"/>
    <w:rsid w:val="00C32E78"/>
    <w:rsid w:val="00C34144"/>
    <w:rsid w:val="00C42023"/>
    <w:rsid w:val="00C441A2"/>
    <w:rsid w:val="00C4679B"/>
    <w:rsid w:val="00C626B8"/>
    <w:rsid w:val="00C62772"/>
    <w:rsid w:val="00C64ABE"/>
    <w:rsid w:val="00C65949"/>
    <w:rsid w:val="00C67C41"/>
    <w:rsid w:val="00C73CB7"/>
    <w:rsid w:val="00C74C28"/>
    <w:rsid w:val="00C8015B"/>
    <w:rsid w:val="00C83A2B"/>
    <w:rsid w:val="00C86C83"/>
    <w:rsid w:val="00C911A1"/>
    <w:rsid w:val="00C914AA"/>
    <w:rsid w:val="00C9371F"/>
    <w:rsid w:val="00CA0E33"/>
    <w:rsid w:val="00CA2432"/>
    <w:rsid w:val="00CB51D2"/>
    <w:rsid w:val="00CB7859"/>
    <w:rsid w:val="00CC4EB0"/>
    <w:rsid w:val="00CD2F4C"/>
    <w:rsid w:val="00CD3A6D"/>
    <w:rsid w:val="00CD4ACC"/>
    <w:rsid w:val="00CD5AE2"/>
    <w:rsid w:val="00CE1869"/>
    <w:rsid w:val="00CE686D"/>
    <w:rsid w:val="00CE6C14"/>
    <w:rsid w:val="00CF44B1"/>
    <w:rsid w:val="00CF5AE5"/>
    <w:rsid w:val="00CF6344"/>
    <w:rsid w:val="00CF6B83"/>
    <w:rsid w:val="00D001A8"/>
    <w:rsid w:val="00D04CFA"/>
    <w:rsid w:val="00D059AE"/>
    <w:rsid w:val="00D0795B"/>
    <w:rsid w:val="00D107BB"/>
    <w:rsid w:val="00D1560D"/>
    <w:rsid w:val="00D159D8"/>
    <w:rsid w:val="00D15B12"/>
    <w:rsid w:val="00D2617A"/>
    <w:rsid w:val="00D27A20"/>
    <w:rsid w:val="00D3305F"/>
    <w:rsid w:val="00D353DA"/>
    <w:rsid w:val="00D456AD"/>
    <w:rsid w:val="00D500FF"/>
    <w:rsid w:val="00D51E7F"/>
    <w:rsid w:val="00D52975"/>
    <w:rsid w:val="00D54AD0"/>
    <w:rsid w:val="00D632F3"/>
    <w:rsid w:val="00D72546"/>
    <w:rsid w:val="00D743A3"/>
    <w:rsid w:val="00D82E7F"/>
    <w:rsid w:val="00D85BCD"/>
    <w:rsid w:val="00D862EE"/>
    <w:rsid w:val="00D87E3A"/>
    <w:rsid w:val="00D90E95"/>
    <w:rsid w:val="00D934B1"/>
    <w:rsid w:val="00D95DCC"/>
    <w:rsid w:val="00D97D0B"/>
    <w:rsid w:val="00DA1CE7"/>
    <w:rsid w:val="00DA352B"/>
    <w:rsid w:val="00DB1450"/>
    <w:rsid w:val="00DB2DAC"/>
    <w:rsid w:val="00DC1D88"/>
    <w:rsid w:val="00DC5069"/>
    <w:rsid w:val="00DD66C7"/>
    <w:rsid w:val="00DE0ADD"/>
    <w:rsid w:val="00DE3934"/>
    <w:rsid w:val="00DE3FBB"/>
    <w:rsid w:val="00DE41A8"/>
    <w:rsid w:val="00DE5A0A"/>
    <w:rsid w:val="00DF30BA"/>
    <w:rsid w:val="00DF40D4"/>
    <w:rsid w:val="00DF46E5"/>
    <w:rsid w:val="00DF73F6"/>
    <w:rsid w:val="00E05FA7"/>
    <w:rsid w:val="00E06C3C"/>
    <w:rsid w:val="00E1483E"/>
    <w:rsid w:val="00E161A4"/>
    <w:rsid w:val="00E17E1B"/>
    <w:rsid w:val="00E21188"/>
    <w:rsid w:val="00E2126A"/>
    <w:rsid w:val="00E23239"/>
    <w:rsid w:val="00E23DD0"/>
    <w:rsid w:val="00E27CD4"/>
    <w:rsid w:val="00E31EB4"/>
    <w:rsid w:val="00E349A9"/>
    <w:rsid w:val="00E369EA"/>
    <w:rsid w:val="00E40070"/>
    <w:rsid w:val="00E403F1"/>
    <w:rsid w:val="00E45A11"/>
    <w:rsid w:val="00E513C5"/>
    <w:rsid w:val="00E60C23"/>
    <w:rsid w:val="00E67A08"/>
    <w:rsid w:val="00E72C38"/>
    <w:rsid w:val="00E77279"/>
    <w:rsid w:val="00E77CAC"/>
    <w:rsid w:val="00E82BB8"/>
    <w:rsid w:val="00E86416"/>
    <w:rsid w:val="00E977A2"/>
    <w:rsid w:val="00E978B5"/>
    <w:rsid w:val="00EA4338"/>
    <w:rsid w:val="00EA61F9"/>
    <w:rsid w:val="00EA6F28"/>
    <w:rsid w:val="00EA7AD0"/>
    <w:rsid w:val="00EB03AA"/>
    <w:rsid w:val="00EB33C3"/>
    <w:rsid w:val="00EB5163"/>
    <w:rsid w:val="00EB71A1"/>
    <w:rsid w:val="00EC2D4A"/>
    <w:rsid w:val="00EC34AE"/>
    <w:rsid w:val="00ED5197"/>
    <w:rsid w:val="00ED5586"/>
    <w:rsid w:val="00EF0E31"/>
    <w:rsid w:val="00EF14AB"/>
    <w:rsid w:val="00EF1B0F"/>
    <w:rsid w:val="00EF2D96"/>
    <w:rsid w:val="00EF6887"/>
    <w:rsid w:val="00EF6AC0"/>
    <w:rsid w:val="00F016BA"/>
    <w:rsid w:val="00F02D35"/>
    <w:rsid w:val="00F043D8"/>
    <w:rsid w:val="00F05A96"/>
    <w:rsid w:val="00F11BF0"/>
    <w:rsid w:val="00F120A9"/>
    <w:rsid w:val="00F16C64"/>
    <w:rsid w:val="00F21C28"/>
    <w:rsid w:val="00F23238"/>
    <w:rsid w:val="00F2707A"/>
    <w:rsid w:val="00F30B50"/>
    <w:rsid w:val="00F31654"/>
    <w:rsid w:val="00F35730"/>
    <w:rsid w:val="00F359F8"/>
    <w:rsid w:val="00F35AD2"/>
    <w:rsid w:val="00F3684C"/>
    <w:rsid w:val="00F3772E"/>
    <w:rsid w:val="00F44440"/>
    <w:rsid w:val="00F46A8D"/>
    <w:rsid w:val="00F51D8E"/>
    <w:rsid w:val="00F5652B"/>
    <w:rsid w:val="00F573BB"/>
    <w:rsid w:val="00F62E30"/>
    <w:rsid w:val="00F63861"/>
    <w:rsid w:val="00F65D42"/>
    <w:rsid w:val="00F66C14"/>
    <w:rsid w:val="00F70D63"/>
    <w:rsid w:val="00F7201B"/>
    <w:rsid w:val="00F874DF"/>
    <w:rsid w:val="00F90A96"/>
    <w:rsid w:val="00F96A7D"/>
    <w:rsid w:val="00FA0A4A"/>
    <w:rsid w:val="00FA54D8"/>
    <w:rsid w:val="00FB7520"/>
    <w:rsid w:val="00FC37DD"/>
    <w:rsid w:val="00FC42BE"/>
    <w:rsid w:val="00FC45EB"/>
    <w:rsid w:val="00FD1515"/>
    <w:rsid w:val="00FD45A9"/>
    <w:rsid w:val="00FF3246"/>
    <w:rsid w:val="00FF5376"/>
    <w:rsid w:val="00FF62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CD06"/>
  <w15:docId w15:val="{7917A88C-8609-4B09-B6D5-4D1A4158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1681"/>
    <w:pPr>
      <w:spacing w:after="120" w:line="264" w:lineRule="auto"/>
      <w:jc w:val="left"/>
    </w:pPr>
    <w:rPr>
      <w:rFonts w:ascii="Calibri" w:eastAsia="Times New Roman" w:hAnsi="Calibri" w:cs="Times New Roman"/>
      <w:lang w:eastAsia="sk-SK"/>
    </w:rPr>
  </w:style>
  <w:style w:type="paragraph" w:styleId="Nadpis1">
    <w:name w:val="heading 1"/>
    <w:basedOn w:val="Normlny"/>
    <w:next w:val="Normlny"/>
    <w:link w:val="Nadpis1Char"/>
    <w:uiPriority w:val="9"/>
    <w:qFormat/>
    <w:rsid w:val="004B7756"/>
    <w:pPr>
      <w:keepNext/>
      <w:spacing w:before="240" w:after="60"/>
      <w:outlineLvl w:val="0"/>
    </w:pPr>
    <w:rPr>
      <w:b/>
      <w:bCs/>
      <w:color w:val="1F497D"/>
      <w:kern w:val="32"/>
      <w:sz w:val="32"/>
      <w:szCs w:val="32"/>
    </w:rPr>
  </w:style>
  <w:style w:type="paragraph" w:styleId="Nadpis2">
    <w:name w:val="heading 2"/>
    <w:basedOn w:val="Normlny"/>
    <w:next w:val="Normlny"/>
    <w:link w:val="Nadpis2Char"/>
    <w:uiPriority w:val="9"/>
    <w:unhideWhenUsed/>
    <w:qFormat/>
    <w:rsid w:val="009940A9"/>
    <w:pPr>
      <w:keepNext/>
      <w:spacing w:before="360" w:after="60"/>
      <w:outlineLvl w:val="1"/>
    </w:pPr>
    <w:rPr>
      <w:rFonts w:ascii="Cambria" w:hAnsi="Cambria"/>
      <w:b/>
      <w:bCs/>
      <w:iCs/>
      <w:color w:val="1F497D"/>
      <w:sz w:val="28"/>
      <w:szCs w:val="28"/>
    </w:rPr>
  </w:style>
  <w:style w:type="paragraph" w:styleId="Nadpis3">
    <w:name w:val="heading 3"/>
    <w:basedOn w:val="Normlny"/>
    <w:next w:val="Normlny"/>
    <w:link w:val="Nadpis3Char"/>
    <w:uiPriority w:val="9"/>
    <w:unhideWhenUsed/>
    <w:qFormat/>
    <w:rsid w:val="00341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B7756"/>
    <w:rPr>
      <w:rFonts w:ascii="Calibri" w:eastAsia="Times New Roman" w:hAnsi="Calibri" w:cs="Times New Roman"/>
      <w:b/>
      <w:bCs/>
      <w:color w:val="1F497D"/>
      <w:kern w:val="32"/>
      <w:sz w:val="32"/>
      <w:szCs w:val="32"/>
      <w:lang w:eastAsia="sk-SK"/>
    </w:rPr>
  </w:style>
  <w:style w:type="character" w:customStyle="1" w:styleId="Nadpis2Char">
    <w:name w:val="Nadpis 2 Char"/>
    <w:basedOn w:val="Predvolenpsmoodseku"/>
    <w:link w:val="Nadpis2"/>
    <w:uiPriority w:val="9"/>
    <w:rsid w:val="009940A9"/>
    <w:rPr>
      <w:rFonts w:ascii="Cambria" w:eastAsia="Times New Roman" w:hAnsi="Cambria" w:cs="Times New Roman"/>
      <w:b/>
      <w:bCs/>
      <w:iCs/>
      <w:color w:val="1F497D"/>
      <w:sz w:val="28"/>
      <w:szCs w:val="28"/>
      <w:lang w:eastAsia="sk-SK"/>
    </w:rPr>
  </w:style>
  <w:style w:type="paragraph" w:styleId="Textbubliny">
    <w:name w:val="Balloon Text"/>
    <w:basedOn w:val="Normlny"/>
    <w:link w:val="TextbublinyChar"/>
    <w:uiPriority w:val="99"/>
    <w:semiHidden/>
    <w:unhideWhenUsed/>
    <w:rsid w:val="004B775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B7756"/>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B7756"/>
    <w:rPr>
      <w:rFonts w:cs="Times New Roman"/>
      <w:sz w:val="16"/>
    </w:rPr>
  </w:style>
  <w:style w:type="paragraph" w:styleId="Textkomentra">
    <w:name w:val="annotation text"/>
    <w:basedOn w:val="Normlny"/>
    <w:link w:val="TextkomentraChar"/>
    <w:uiPriority w:val="99"/>
    <w:semiHidden/>
    <w:unhideWhenUsed/>
    <w:rsid w:val="004B7756"/>
    <w:rPr>
      <w:sz w:val="20"/>
      <w:szCs w:val="20"/>
    </w:rPr>
  </w:style>
  <w:style w:type="character" w:customStyle="1" w:styleId="TextkomentraChar">
    <w:name w:val="Text komentára Char"/>
    <w:basedOn w:val="Predvolenpsmoodseku"/>
    <w:link w:val="Textkomentra"/>
    <w:uiPriority w:val="99"/>
    <w:semiHidden/>
    <w:rsid w:val="004B7756"/>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B7756"/>
    <w:rPr>
      <w:b/>
      <w:bCs/>
    </w:rPr>
  </w:style>
  <w:style w:type="character" w:customStyle="1" w:styleId="PredmetkomentraChar">
    <w:name w:val="Predmet komentára Char"/>
    <w:basedOn w:val="TextkomentraChar"/>
    <w:link w:val="Predmetkomentra"/>
    <w:uiPriority w:val="99"/>
    <w:semiHidden/>
    <w:rsid w:val="004B7756"/>
    <w:rPr>
      <w:rFonts w:ascii="Calibri" w:eastAsia="Times New Roman" w:hAnsi="Calibri" w:cs="Times New Roman"/>
      <w:b/>
      <w:bCs/>
      <w:sz w:val="20"/>
      <w:szCs w:val="20"/>
      <w:lang w:eastAsia="sk-SK"/>
    </w:rPr>
  </w:style>
  <w:style w:type="paragraph" w:styleId="Odsekzoznamu">
    <w:name w:val="List Paragraph"/>
    <w:aliases w:val="body,Odsek zoznamu2,Lettre d'introduction,Paragrafo elenco,List Paragraph1,1st level - Bullet List Paragraph,List Paragraph,Listenabsatz"/>
    <w:basedOn w:val="Normlny"/>
    <w:link w:val="OdsekzoznamuChar"/>
    <w:uiPriority w:val="34"/>
    <w:qFormat/>
    <w:rsid w:val="004B7756"/>
    <w:pPr>
      <w:ind w:left="708"/>
    </w:pPr>
  </w:style>
  <w:style w:type="character" w:styleId="Hypertextovprepojenie">
    <w:name w:val="Hyperlink"/>
    <w:basedOn w:val="Predvolenpsmoodseku"/>
    <w:uiPriority w:val="99"/>
    <w:unhideWhenUsed/>
    <w:rsid w:val="004B7756"/>
    <w:rPr>
      <w:rFonts w:cs="Times New Roman"/>
      <w:color w:val="0000FF"/>
      <w:u w:val="single"/>
    </w:rPr>
  </w:style>
  <w:style w:type="paragraph" w:styleId="Hlavika">
    <w:name w:val="header"/>
    <w:basedOn w:val="Normlny"/>
    <w:link w:val="HlavikaChar"/>
    <w:uiPriority w:val="99"/>
    <w:unhideWhenUsed/>
    <w:rsid w:val="004B7756"/>
    <w:pPr>
      <w:tabs>
        <w:tab w:val="center" w:pos="4536"/>
        <w:tab w:val="right" w:pos="9072"/>
      </w:tabs>
    </w:pPr>
  </w:style>
  <w:style w:type="character" w:customStyle="1" w:styleId="HlavikaChar">
    <w:name w:val="Hlavička Char"/>
    <w:basedOn w:val="Predvolenpsmoodseku"/>
    <w:link w:val="Hlavika"/>
    <w:uiPriority w:val="99"/>
    <w:rsid w:val="004B7756"/>
    <w:rPr>
      <w:rFonts w:ascii="Calibri" w:eastAsia="Times New Roman" w:hAnsi="Calibri" w:cs="Times New Roman"/>
      <w:lang w:eastAsia="sk-SK"/>
    </w:rPr>
  </w:style>
  <w:style w:type="paragraph" w:styleId="Pta">
    <w:name w:val="footer"/>
    <w:basedOn w:val="Normlny"/>
    <w:link w:val="PtaChar"/>
    <w:uiPriority w:val="99"/>
    <w:unhideWhenUsed/>
    <w:rsid w:val="004B7756"/>
    <w:pPr>
      <w:tabs>
        <w:tab w:val="center" w:pos="4536"/>
        <w:tab w:val="right" w:pos="9072"/>
      </w:tabs>
    </w:pPr>
  </w:style>
  <w:style w:type="character" w:customStyle="1" w:styleId="PtaChar">
    <w:name w:val="Päta Char"/>
    <w:basedOn w:val="Predvolenpsmoodseku"/>
    <w:link w:val="Pta"/>
    <w:uiPriority w:val="99"/>
    <w:rsid w:val="004B7756"/>
    <w:rPr>
      <w:rFonts w:ascii="Calibri" w:eastAsia="Times New Roman" w:hAnsi="Calibri" w:cs="Times New Roman"/>
      <w:lang w:eastAsia="sk-SK"/>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 Char4,o"/>
    <w:basedOn w:val="Normlny"/>
    <w:link w:val="TextpoznmkypodiarouChar"/>
    <w:uiPriority w:val="99"/>
    <w:unhideWhenUsed/>
    <w:qFormat/>
    <w:rsid w:val="004B7756"/>
    <w:rPr>
      <w:sz w:val="20"/>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 Char4 Char"/>
    <w:basedOn w:val="Predvolenpsmoodseku"/>
    <w:link w:val="Textpoznmkypodiarou"/>
    <w:uiPriority w:val="99"/>
    <w:rsid w:val="004B7756"/>
    <w:rPr>
      <w:rFonts w:ascii="Calibri" w:eastAsia="Times New Roman" w:hAnsi="Calibri" w:cs="Times New Roman"/>
      <w:sz w:val="20"/>
      <w:szCs w:val="20"/>
      <w:lang w:eastAsia="sk-SK"/>
    </w:rPr>
  </w:style>
  <w:style w:type="character" w:styleId="Odkaznapoznmkupodiarou">
    <w:name w:val="footnote reference"/>
    <w:aliases w:val="Footnote symbol,Footnote,Odkaz na poznámku pod čiarou1,Footnote Refernece,BVI fnr,Fußnotenzeichen_Raxen,callout,Footnote Reference Number,SUPERS,Footnote reference number,Times 10 Point,Exposant 3 Point,EN Footnote Reference"/>
    <w:basedOn w:val="Predvolenpsmoodseku"/>
    <w:link w:val="Char2"/>
    <w:uiPriority w:val="99"/>
    <w:unhideWhenUsed/>
    <w:rsid w:val="004B7756"/>
    <w:rPr>
      <w:rFonts w:cs="Times New Roman"/>
      <w:vertAlign w:val="superscript"/>
    </w:rPr>
  </w:style>
  <w:style w:type="table" w:styleId="Mriekatabuky">
    <w:name w:val="Table Grid"/>
    <w:aliases w:val="Deloitte table 3"/>
    <w:basedOn w:val="Normlnatabuka"/>
    <w:uiPriority w:val="59"/>
    <w:rsid w:val="004B7756"/>
    <w:pPr>
      <w:spacing w:after="0" w:line="240" w:lineRule="auto"/>
      <w:jc w:val="left"/>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semiHidden/>
    <w:unhideWhenUsed/>
    <w:qFormat/>
    <w:rsid w:val="004B7756"/>
    <w:pPr>
      <w:keepLines/>
      <w:spacing w:before="480" w:after="0"/>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1B0110"/>
    <w:pPr>
      <w:tabs>
        <w:tab w:val="left" w:pos="284"/>
        <w:tab w:val="right" w:leader="dot" w:pos="9070"/>
      </w:tabs>
      <w:spacing w:after="60"/>
      <w:jc w:val="both"/>
    </w:pPr>
    <w:rPr>
      <w:b/>
      <w:noProof/>
    </w:rPr>
  </w:style>
  <w:style w:type="paragraph" w:styleId="Obsah2">
    <w:name w:val="toc 2"/>
    <w:basedOn w:val="Normlny"/>
    <w:next w:val="Normlny"/>
    <w:autoRedefine/>
    <w:uiPriority w:val="39"/>
    <w:unhideWhenUsed/>
    <w:rsid w:val="001B0110"/>
    <w:pPr>
      <w:tabs>
        <w:tab w:val="right" w:leader="dot" w:pos="9070"/>
      </w:tabs>
      <w:ind w:left="284"/>
      <w:jc w:val="both"/>
    </w:pPr>
  </w:style>
  <w:style w:type="paragraph" w:customStyle="1" w:styleId="Default">
    <w:name w:val="Default"/>
    <w:rsid w:val="005131BB"/>
    <w:pPr>
      <w:autoSpaceDE w:val="0"/>
      <w:autoSpaceDN w:val="0"/>
      <w:adjustRightInd w:val="0"/>
      <w:spacing w:after="0" w:line="240" w:lineRule="auto"/>
      <w:jc w:val="left"/>
    </w:pPr>
    <w:rPr>
      <w:rFonts w:ascii="Calibri" w:hAnsi="Calibri" w:cs="Calibri"/>
      <w:color w:val="000000"/>
      <w:sz w:val="24"/>
      <w:szCs w:val="24"/>
    </w:rPr>
  </w:style>
  <w:style w:type="character" w:customStyle="1" w:styleId="Nadpis3Char">
    <w:name w:val="Nadpis 3 Char"/>
    <w:basedOn w:val="Predvolenpsmoodseku"/>
    <w:link w:val="Nadpis3"/>
    <w:uiPriority w:val="9"/>
    <w:rsid w:val="00341E77"/>
    <w:rPr>
      <w:rFonts w:asciiTheme="majorHAnsi" w:eastAsiaTheme="majorEastAsia" w:hAnsiTheme="majorHAnsi" w:cstheme="majorBidi"/>
      <w:b/>
      <w:bCs/>
      <w:color w:val="4F81BD" w:themeColor="accent1"/>
      <w:lang w:eastAsia="sk-SK"/>
    </w:rPr>
  </w:style>
  <w:style w:type="paragraph" w:styleId="Obsah3">
    <w:name w:val="toc 3"/>
    <w:basedOn w:val="Normlny"/>
    <w:next w:val="Normlny"/>
    <w:autoRedefine/>
    <w:uiPriority w:val="39"/>
    <w:unhideWhenUsed/>
    <w:rsid w:val="00E21188"/>
    <w:pPr>
      <w:tabs>
        <w:tab w:val="right" w:leader="dot" w:pos="9070"/>
      </w:tabs>
      <w:spacing w:after="60"/>
      <w:ind w:left="709"/>
    </w:pPr>
    <w:rPr>
      <w:rFonts w:eastAsiaTheme="minorHAnsi"/>
      <w:i/>
      <w:noProof/>
      <w:lang w:eastAsia="en-US"/>
    </w:rPr>
  </w:style>
  <w:style w:type="character" w:customStyle="1" w:styleId="OdsekzoznamuChar">
    <w:name w:val="Odsek zoznamu Char"/>
    <w:aliases w:val="body Char,Odsek zoznamu2 Char,Lettre d'introduction Char,Paragrafo elenco Char,List Paragraph1 Char,1st level - Bullet List Paragraph Char,List Paragraph Char,Listenabsatz Char"/>
    <w:link w:val="Odsekzoznamu"/>
    <w:uiPriority w:val="34"/>
    <w:locked/>
    <w:rsid w:val="00C34144"/>
    <w:rPr>
      <w:rFonts w:ascii="Calibri" w:eastAsia="Times New Roman" w:hAnsi="Calibri" w:cs="Times New Roman"/>
      <w:lang w:eastAsia="sk-SK"/>
    </w:rPr>
  </w:style>
  <w:style w:type="paragraph" w:customStyle="1" w:styleId="Char2">
    <w:name w:val="Char2"/>
    <w:basedOn w:val="Normlny"/>
    <w:link w:val="Odkaznapoznmkupodiarou"/>
    <w:uiPriority w:val="99"/>
    <w:rsid w:val="00C34144"/>
    <w:pPr>
      <w:spacing w:after="160" w:line="240" w:lineRule="exact"/>
    </w:pPr>
    <w:rPr>
      <w:rFonts w:asciiTheme="minorHAnsi" w:eastAsiaTheme="minorHAnsi" w:hAnsiTheme="minorHAnsi"/>
      <w:vertAlign w:val="superscript"/>
      <w:lang w:eastAsia="en-US"/>
    </w:rPr>
  </w:style>
  <w:style w:type="character" w:styleId="Siln">
    <w:name w:val="Strong"/>
    <w:basedOn w:val="Predvolenpsmoodseku"/>
    <w:uiPriority w:val="22"/>
    <w:qFormat/>
    <w:rsid w:val="003B22BA"/>
    <w:rPr>
      <w:b/>
      <w:bCs/>
    </w:rPr>
  </w:style>
  <w:style w:type="paragraph" w:styleId="Normlnywebov">
    <w:name w:val="Normal (Web)"/>
    <w:basedOn w:val="Normlny"/>
    <w:uiPriority w:val="99"/>
    <w:unhideWhenUsed/>
    <w:rsid w:val="003B22BA"/>
    <w:pPr>
      <w:spacing w:before="100" w:beforeAutospacing="1" w:after="100" w:afterAutospacing="1" w:line="240" w:lineRule="auto"/>
    </w:pPr>
    <w:rPr>
      <w:rFonts w:ascii="Times New Roman" w:hAnsi="Times New Roman"/>
      <w:sz w:val="24"/>
      <w:szCs w:val="24"/>
    </w:rPr>
  </w:style>
  <w:style w:type="character" w:styleId="PouitHypertextovPrepojenie">
    <w:name w:val="FollowedHyperlink"/>
    <w:basedOn w:val="Predvolenpsmoodseku"/>
    <w:uiPriority w:val="99"/>
    <w:semiHidden/>
    <w:unhideWhenUsed/>
    <w:rsid w:val="00193069"/>
    <w:rPr>
      <w:color w:val="800080" w:themeColor="followedHyperlink"/>
      <w:u w:val="single"/>
    </w:rPr>
  </w:style>
  <w:style w:type="paragraph" w:styleId="Bezriadkovania">
    <w:name w:val="No Spacing"/>
    <w:link w:val="BezriadkovaniaChar"/>
    <w:uiPriority w:val="99"/>
    <w:qFormat/>
    <w:rsid w:val="00D353DA"/>
    <w:pPr>
      <w:spacing w:after="0" w:line="240" w:lineRule="auto"/>
      <w:jc w:val="left"/>
    </w:pPr>
    <w:rPr>
      <w:rFonts w:ascii="Calibri" w:eastAsia="Times New Roman" w:hAnsi="Calibri" w:cs="Times New Roman"/>
      <w:lang w:eastAsia="sk-SK"/>
    </w:rPr>
  </w:style>
  <w:style w:type="paragraph" w:styleId="Revzia">
    <w:name w:val="Revision"/>
    <w:hidden/>
    <w:uiPriority w:val="99"/>
    <w:semiHidden/>
    <w:rsid w:val="007511D1"/>
    <w:pPr>
      <w:spacing w:after="0" w:line="240" w:lineRule="auto"/>
      <w:jc w:val="left"/>
    </w:pPr>
    <w:rPr>
      <w:rFonts w:ascii="Calibri" w:eastAsia="Times New Roman" w:hAnsi="Calibri" w:cs="Times New Roman"/>
      <w:lang w:eastAsia="sk-SK"/>
    </w:rPr>
  </w:style>
  <w:style w:type="paragraph" w:styleId="Zkladntext">
    <w:name w:val="Body Text"/>
    <w:basedOn w:val="Normlny"/>
    <w:link w:val="ZkladntextChar"/>
    <w:qFormat/>
    <w:rsid w:val="00946DF1"/>
    <w:pPr>
      <w:spacing w:before="130" w:after="130" w:line="240" w:lineRule="auto"/>
      <w:jc w:val="both"/>
    </w:pPr>
    <w:rPr>
      <w:rFonts w:ascii="Times New Roman" w:hAnsi="Times New Roman"/>
      <w:szCs w:val="20"/>
      <w:lang w:eastAsia="en-US"/>
    </w:rPr>
  </w:style>
  <w:style w:type="character" w:customStyle="1" w:styleId="ZkladntextChar">
    <w:name w:val="Základný text Char"/>
    <w:basedOn w:val="Predvolenpsmoodseku"/>
    <w:link w:val="Zkladntext"/>
    <w:rsid w:val="00946DF1"/>
    <w:rPr>
      <w:rFonts w:ascii="Times New Roman" w:eastAsia="Times New Roman" w:hAnsi="Times New Roman" w:cs="Times New Roman"/>
      <w:szCs w:val="20"/>
    </w:rPr>
  </w:style>
  <w:style w:type="paragraph" w:customStyle="1" w:styleId="MPCKO2">
    <w:name w:val="MP CKO 2"/>
    <w:basedOn w:val="Nadpis3"/>
    <w:qFormat/>
    <w:rsid w:val="004C2DB7"/>
    <w:pPr>
      <w:spacing w:line="240" w:lineRule="auto"/>
      <w:jc w:val="both"/>
    </w:pPr>
    <w:rPr>
      <w:rFonts w:ascii="Times New Roman" w:hAnsi="Times New Roman"/>
      <w:color w:val="365F91" w:themeColor="accent1" w:themeShade="BF"/>
      <w:sz w:val="26"/>
      <w:lang w:eastAsia="en-US"/>
    </w:rPr>
  </w:style>
  <w:style w:type="character" w:customStyle="1" w:styleId="BezriadkovaniaChar">
    <w:name w:val="Bez riadkovania Char"/>
    <w:basedOn w:val="Predvolenpsmoodseku"/>
    <w:link w:val="Bezriadkovania"/>
    <w:uiPriority w:val="99"/>
    <w:rsid w:val="00087DB0"/>
    <w:rPr>
      <w:rFonts w:ascii="Calibri" w:eastAsia="Times New Roman"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64920">
      <w:bodyDiv w:val="1"/>
      <w:marLeft w:val="0"/>
      <w:marRight w:val="0"/>
      <w:marTop w:val="0"/>
      <w:marBottom w:val="0"/>
      <w:divBdr>
        <w:top w:val="none" w:sz="0" w:space="0" w:color="auto"/>
        <w:left w:val="none" w:sz="0" w:space="0" w:color="auto"/>
        <w:bottom w:val="none" w:sz="0" w:space="0" w:color="auto"/>
        <w:right w:val="none" w:sz="0" w:space="0" w:color="auto"/>
      </w:divBdr>
    </w:div>
    <w:div w:id="1146165272">
      <w:bodyDiv w:val="1"/>
      <w:marLeft w:val="0"/>
      <w:marRight w:val="0"/>
      <w:marTop w:val="0"/>
      <w:marBottom w:val="0"/>
      <w:divBdr>
        <w:top w:val="none" w:sz="0" w:space="0" w:color="auto"/>
        <w:left w:val="none" w:sz="0" w:space="0" w:color="auto"/>
        <w:bottom w:val="none" w:sz="0" w:space="0" w:color="auto"/>
        <w:right w:val="none" w:sz="0" w:space="0" w:color="auto"/>
      </w:divBdr>
      <w:divsChild>
        <w:div w:id="609320120">
          <w:marLeft w:val="0"/>
          <w:marRight w:val="0"/>
          <w:marTop w:val="0"/>
          <w:marBottom w:val="0"/>
          <w:divBdr>
            <w:top w:val="none" w:sz="0" w:space="0" w:color="auto"/>
            <w:left w:val="none" w:sz="0" w:space="0" w:color="auto"/>
            <w:bottom w:val="none" w:sz="0" w:space="0" w:color="auto"/>
            <w:right w:val="none" w:sz="0" w:space="0" w:color="auto"/>
          </w:divBdr>
          <w:divsChild>
            <w:div w:id="1575428316">
              <w:marLeft w:val="0"/>
              <w:marRight w:val="0"/>
              <w:marTop w:val="0"/>
              <w:marBottom w:val="0"/>
              <w:divBdr>
                <w:top w:val="none" w:sz="0" w:space="0" w:color="auto"/>
                <w:left w:val="none" w:sz="0" w:space="0" w:color="auto"/>
                <w:bottom w:val="none" w:sz="0" w:space="0" w:color="auto"/>
                <w:right w:val="none" w:sz="0" w:space="0" w:color="auto"/>
              </w:divBdr>
              <w:divsChild>
                <w:div w:id="1377005902">
                  <w:marLeft w:val="0"/>
                  <w:marRight w:val="0"/>
                  <w:marTop w:val="0"/>
                  <w:marBottom w:val="0"/>
                  <w:divBdr>
                    <w:top w:val="none" w:sz="0" w:space="0" w:color="auto"/>
                    <w:left w:val="none" w:sz="0" w:space="0" w:color="auto"/>
                    <w:bottom w:val="none" w:sz="0" w:space="0" w:color="auto"/>
                    <w:right w:val="none" w:sz="0" w:space="0" w:color="auto"/>
                  </w:divBdr>
                  <w:divsChild>
                    <w:div w:id="85729578">
                      <w:marLeft w:val="0"/>
                      <w:marRight w:val="0"/>
                      <w:marTop w:val="900"/>
                      <w:marBottom w:val="0"/>
                      <w:divBdr>
                        <w:top w:val="single" w:sz="6" w:space="0" w:color="D7D7D7"/>
                        <w:left w:val="single" w:sz="6" w:space="0" w:color="D7D7D7"/>
                        <w:bottom w:val="single" w:sz="6" w:space="0" w:color="D7D7D7"/>
                        <w:right w:val="single" w:sz="6" w:space="0" w:color="D7D7D7"/>
                      </w:divBdr>
                      <w:divsChild>
                        <w:div w:id="3762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765202">
      <w:bodyDiv w:val="1"/>
      <w:marLeft w:val="0"/>
      <w:marRight w:val="0"/>
      <w:marTop w:val="0"/>
      <w:marBottom w:val="0"/>
      <w:divBdr>
        <w:top w:val="none" w:sz="0" w:space="0" w:color="auto"/>
        <w:left w:val="none" w:sz="0" w:space="0" w:color="auto"/>
        <w:bottom w:val="none" w:sz="0" w:space="0" w:color="auto"/>
        <w:right w:val="none" w:sz="0" w:space="0" w:color="auto"/>
      </w:divBdr>
      <w:divsChild>
        <w:div w:id="478228416">
          <w:marLeft w:val="0"/>
          <w:marRight w:val="0"/>
          <w:marTop w:val="0"/>
          <w:marBottom w:val="0"/>
          <w:divBdr>
            <w:top w:val="none" w:sz="0" w:space="0" w:color="auto"/>
            <w:left w:val="none" w:sz="0" w:space="0" w:color="auto"/>
            <w:bottom w:val="none" w:sz="0" w:space="0" w:color="auto"/>
            <w:right w:val="none" w:sz="0" w:space="0" w:color="auto"/>
          </w:divBdr>
          <w:divsChild>
            <w:div w:id="1364403794">
              <w:marLeft w:val="0"/>
              <w:marRight w:val="0"/>
              <w:marTop w:val="0"/>
              <w:marBottom w:val="0"/>
              <w:divBdr>
                <w:top w:val="none" w:sz="0" w:space="0" w:color="auto"/>
                <w:left w:val="none" w:sz="0" w:space="0" w:color="auto"/>
                <w:bottom w:val="none" w:sz="0" w:space="0" w:color="auto"/>
                <w:right w:val="none" w:sz="0" w:space="0" w:color="auto"/>
              </w:divBdr>
              <w:divsChild>
                <w:div w:id="1041202981">
                  <w:marLeft w:val="0"/>
                  <w:marRight w:val="0"/>
                  <w:marTop w:val="0"/>
                  <w:marBottom w:val="0"/>
                  <w:divBdr>
                    <w:top w:val="none" w:sz="0" w:space="0" w:color="auto"/>
                    <w:left w:val="none" w:sz="0" w:space="0" w:color="auto"/>
                    <w:bottom w:val="none" w:sz="0" w:space="0" w:color="auto"/>
                    <w:right w:val="none" w:sz="0" w:space="0" w:color="auto"/>
                  </w:divBdr>
                  <w:divsChild>
                    <w:div w:id="1208179096">
                      <w:marLeft w:val="0"/>
                      <w:marRight w:val="0"/>
                      <w:marTop w:val="0"/>
                      <w:marBottom w:val="0"/>
                      <w:divBdr>
                        <w:top w:val="none" w:sz="0" w:space="0" w:color="auto"/>
                        <w:left w:val="none" w:sz="0" w:space="0" w:color="auto"/>
                        <w:bottom w:val="none" w:sz="0" w:space="0" w:color="auto"/>
                        <w:right w:val="none" w:sz="0" w:space="0" w:color="auto"/>
                      </w:divBdr>
                      <w:divsChild>
                        <w:div w:id="2044746693">
                          <w:marLeft w:val="0"/>
                          <w:marRight w:val="0"/>
                          <w:marTop w:val="0"/>
                          <w:marBottom w:val="0"/>
                          <w:divBdr>
                            <w:top w:val="none" w:sz="0" w:space="0" w:color="auto"/>
                            <w:left w:val="none" w:sz="0" w:space="0" w:color="auto"/>
                            <w:bottom w:val="none" w:sz="0" w:space="0" w:color="auto"/>
                            <w:right w:val="none" w:sz="0" w:space="0" w:color="auto"/>
                          </w:divBdr>
                          <w:divsChild>
                            <w:div w:id="880169135">
                              <w:marLeft w:val="0"/>
                              <w:marRight w:val="0"/>
                              <w:marTop w:val="0"/>
                              <w:marBottom w:val="0"/>
                              <w:divBdr>
                                <w:top w:val="none" w:sz="0" w:space="0" w:color="auto"/>
                                <w:left w:val="none" w:sz="0" w:space="0" w:color="auto"/>
                                <w:bottom w:val="none" w:sz="0" w:space="0" w:color="auto"/>
                                <w:right w:val="none" w:sz="0" w:space="0" w:color="auto"/>
                              </w:divBdr>
                              <w:divsChild>
                                <w:div w:id="19136930">
                                  <w:marLeft w:val="0"/>
                                  <w:marRight w:val="0"/>
                                  <w:marTop w:val="0"/>
                                  <w:marBottom w:val="0"/>
                                  <w:divBdr>
                                    <w:top w:val="none" w:sz="0" w:space="0" w:color="auto"/>
                                    <w:left w:val="none" w:sz="0" w:space="0" w:color="auto"/>
                                    <w:bottom w:val="none" w:sz="0" w:space="0" w:color="auto"/>
                                    <w:right w:val="none" w:sz="0" w:space="0" w:color="auto"/>
                                  </w:divBdr>
                                  <w:divsChild>
                                    <w:div w:id="896624600">
                                      <w:marLeft w:val="0"/>
                                      <w:marRight w:val="0"/>
                                      <w:marTop w:val="0"/>
                                      <w:marBottom w:val="0"/>
                                      <w:divBdr>
                                        <w:top w:val="none" w:sz="0" w:space="0" w:color="auto"/>
                                        <w:left w:val="none" w:sz="0" w:space="0" w:color="auto"/>
                                        <w:bottom w:val="none" w:sz="0" w:space="0" w:color="auto"/>
                                        <w:right w:val="none" w:sz="0" w:space="0" w:color="auto"/>
                                      </w:divBdr>
                                      <w:divsChild>
                                        <w:div w:id="1047755312">
                                          <w:marLeft w:val="0"/>
                                          <w:marRight w:val="0"/>
                                          <w:marTop w:val="0"/>
                                          <w:marBottom w:val="0"/>
                                          <w:divBdr>
                                            <w:top w:val="none" w:sz="0" w:space="0" w:color="auto"/>
                                            <w:left w:val="none" w:sz="0" w:space="0" w:color="auto"/>
                                            <w:bottom w:val="none" w:sz="0" w:space="0" w:color="auto"/>
                                            <w:right w:val="none" w:sz="0" w:space="0" w:color="auto"/>
                                          </w:divBdr>
                                          <w:divsChild>
                                            <w:div w:id="686447354">
                                              <w:marLeft w:val="0"/>
                                              <w:marRight w:val="0"/>
                                              <w:marTop w:val="0"/>
                                              <w:marBottom w:val="0"/>
                                              <w:divBdr>
                                                <w:top w:val="none" w:sz="0" w:space="0" w:color="auto"/>
                                                <w:left w:val="none" w:sz="0" w:space="0" w:color="auto"/>
                                                <w:bottom w:val="none" w:sz="0" w:space="0" w:color="auto"/>
                                                <w:right w:val="none" w:sz="0" w:space="0" w:color="auto"/>
                                              </w:divBdr>
                                              <w:divsChild>
                                                <w:div w:id="1939175483">
                                                  <w:marLeft w:val="0"/>
                                                  <w:marRight w:val="0"/>
                                                  <w:marTop w:val="0"/>
                                                  <w:marBottom w:val="0"/>
                                                  <w:divBdr>
                                                    <w:top w:val="none" w:sz="0" w:space="0" w:color="auto"/>
                                                    <w:left w:val="none" w:sz="0" w:space="0" w:color="auto"/>
                                                    <w:bottom w:val="none" w:sz="0" w:space="0" w:color="auto"/>
                                                    <w:right w:val="none" w:sz="0" w:space="0" w:color="auto"/>
                                                  </w:divBdr>
                                                  <w:divsChild>
                                                    <w:div w:id="339742554">
                                                      <w:marLeft w:val="0"/>
                                                      <w:marRight w:val="0"/>
                                                      <w:marTop w:val="0"/>
                                                      <w:marBottom w:val="0"/>
                                                      <w:divBdr>
                                                        <w:top w:val="none" w:sz="0" w:space="0" w:color="auto"/>
                                                        <w:left w:val="none" w:sz="0" w:space="0" w:color="auto"/>
                                                        <w:bottom w:val="none" w:sz="0" w:space="0" w:color="auto"/>
                                                        <w:right w:val="none" w:sz="0" w:space="0" w:color="auto"/>
                                                      </w:divBdr>
                                                      <w:divsChild>
                                                        <w:div w:id="230627457">
                                                          <w:marLeft w:val="0"/>
                                                          <w:marRight w:val="0"/>
                                                          <w:marTop w:val="0"/>
                                                          <w:marBottom w:val="0"/>
                                                          <w:divBdr>
                                                            <w:top w:val="none" w:sz="0" w:space="0" w:color="auto"/>
                                                            <w:left w:val="none" w:sz="0" w:space="0" w:color="auto"/>
                                                            <w:bottom w:val="none" w:sz="0" w:space="0" w:color="auto"/>
                                                            <w:right w:val="none" w:sz="0" w:space="0" w:color="auto"/>
                                                          </w:divBdr>
                                                          <w:divsChild>
                                                            <w:div w:id="2094473135">
                                                              <w:marLeft w:val="0"/>
                                                              <w:marRight w:val="0"/>
                                                              <w:marTop w:val="0"/>
                                                              <w:marBottom w:val="0"/>
                                                              <w:divBdr>
                                                                <w:top w:val="none" w:sz="0" w:space="0" w:color="auto"/>
                                                                <w:left w:val="none" w:sz="0" w:space="0" w:color="auto"/>
                                                                <w:bottom w:val="none" w:sz="0" w:space="0" w:color="auto"/>
                                                                <w:right w:val="none" w:sz="0" w:space="0" w:color="auto"/>
                                                              </w:divBdr>
                                                              <w:divsChild>
                                                                <w:div w:id="2032949931">
                                                                  <w:marLeft w:val="0"/>
                                                                  <w:marRight w:val="0"/>
                                                                  <w:marTop w:val="0"/>
                                                                  <w:marBottom w:val="0"/>
                                                                  <w:divBdr>
                                                                    <w:top w:val="none" w:sz="0" w:space="0" w:color="auto"/>
                                                                    <w:left w:val="none" w:sz="0" w:space="0" w:color="auto"/>
                                                                    <w:bottom w:val="none" w:sz="0" w:space="0" w:color="auto"/>
                                                                    <w:right w:val="none" w:sz="0" w:space="0" w:color="auto"/>
                                                                  </w:divBdr>
                                                                  <w:divsChild>
                                                                    <w:div w:id="1197280860">
                                                                      <w:marLeft w:val="0"/>
                                                                      <w:marRight w:val="0"/>
                                                                      <w:marTop w:val="0"/>
                                                                      <w:marBottom w:val="0"/>
                                                                      <w:divBdr>
                                                                        <w:top w:val="none" w:sz="0" w:space="0" w:color="auto"/>
                                                                        <w:left w:val="none" w:sz="0" w:space="0" w:color="auto"/>
                                                                        <w:bottom w:val="none" w:sz="0" w:space="0" w:color="auto"/>
                                                                        <w:right w:val="none" w:sz="0" w:space="0" w:color="auto"/>
                                                                      </w:divBdr>
                                                                    </w:div>
                                                                    <w:div w:id="933781719">
                                                                      <w:marLeft w:val="0"/>
                                                                      <w:marRight w:val="0"/>
                                                                      <w:marTop w:val="0"/>
                                                                      <w:marBottom w:val="0"/>
                                                                      <w:divBdr>
                                                                        <w:top w:val="none" w:sz="0" w:space="0" w:color="auto"/>
                                                                        <w:left w:val="none" w:sz="0" w:space="0" w:color="auto"/>
                                                                        <w:bottom w:val="none" w:sz="0" w:space="0" w:color="auto"/>
                                                                        <w:right w:val="none" w:sz="0" w:space="0" w:color="auto"/>
                                                                      </w:divBdr>
                                                                      <w:divsChild>
                                                                        <w:div w:id="2032533751">
                                                                          <w:marLeft w:val="0"/>
                                                                          <w:marRight w:val="0"/>
                                                                          <w:marTop w:val="0"/>
                                                                          <w:marBottom w:val="0"/>
                                                                          <w:divBdr>
                                                                            <w:top w:val="none" w:sz="0" w:space="0" w:color="auto"/>
                                                                            <w:left w:val="none" w:sz="0" w:space="0" w:color="auto"/>
                                                                            <w:bottom w:val="none" w:sz="0" w:space="0" w:color="auto"/>
                                                                            <w:right w:val="none" w:sz="0" w:space="0" w:color="auto"/>
                                                                          </w:divBdr>
                                                                        </w:div>
                                                                        <w:div w:id="2107772904">
                                                                          <w:marLeft w:val="0"/>
                                                                          <w:marRight w:val="0"/>
                                                                          <w:marTop w:val="0"/>
                                                                          <w:marBottom w:val="0"/>
                                                                          <w:divBdr>
                                                                            <w:top w:val="none" w:sz="0" w:space="0" w:color="auto"/>
                                                                            <w:left w:val="none" w:sz="0" w:space="0" w:color="auto"/>
                                                                            <w:bottom w:val="none" w:sz="0" w:space="0" w:color="auto"/>
                                                                            <w:right w:val="none" w:sz="0" w:space="0" w:color="auto"/>
                                                                          </w:divBdr>
                                                                        </w:div>
                                                                      </w:divsChild>
                                                                    </w:div>
                                                                    <w:div w:id="1206328115">
                                                                      <w:marLeft w:val="0"/>
                                                                      <w:marRight w:val="0"/>
                                                                      <w:marTop w:val="0"/>
                                                                      <w:marBottom w:val="0"/>
                                                                      <w:divBdr>
                                                                        <w:top w:val="none" w:sz="0" w:space="0" w:color="auto"/>
                                                                        <w:left w:val="none" w:sz="0" w:space="0" w:color="auto"/>
                                                                        <w:bottom w:val="none" w:sz="0" w:space="0" w:color="auto"/>
                                                                        <w:right w:val="none" w:sz="0" w:space="0" w:color="auto"/>
                                                                      </w:divBdr>
                                                                      <w:divsChild>
                                                                        <w:div w:id="1241792465">
                                                                          <w:marLeft w:val="0"/>
                                                                          <w:marRight w:val="0"/>
                                                                          <w:marTop w:val="0"/>
                                                                          <w:marBottom w:val="0"/>
                                                                          <w:divBdr>
                                                                            <w:top w:val="none" w:sz="0" w:space="0" w:color="auto"/>
                                                                            <w:left w:val="none" w:sz="0" w:space="0" w:color="auto"/>
                                                                            <w:bottom w:val="none" w:sz="0" w:space="0" w:color="auto"/>
                                                                            <w:right w:val="none" w:sz="0" w:space="0" w:color="auto"/>
                                                                          </w:divBdr>
                                                                        </w:div>
                                                                        <w:div w:id="1650329098">
                                                                          <w:marLeft w:val="0"/>
                                                                          <w:marRight w:val="0"/>
                                                                          <w:marTop w:val="0"/>
                                                                          <w:marBottom w:val="0"/>
                                                                          <w:divBdr>
                                                                            <w:top w:val="none" w:sz="0" w:space="0" w:color="auto"/>
                                                                            <w:left w:val="none" w:sz="0" w:space="0" w:color="auto"/>
                                                                            <w:bottom w:val="none" w:sz="0" w:space="0" w:color="auto"/>
                                                                            <w:right w:val="none" w:sz="0" w:space="0" w:color="auto"/>
                                                                          </w:divBdr>
                                                                        </w:div>
                                                                      </w:divsChild>
                                                                    </w:div>
                                                                    <w:div w:id="1714696492">
                                                                      <w:marLeft w:val="0"/>
                                                                      <w:marRight w:val="0"/>
                                                                      <w:marTop w:val="0"/>
                                                                      <w:marBottom w:val="0"/>
                                                                      <w:divBdr>
                                                                        <w:top w:val="none" w:sz="0" w:space="0" w:color="auto"/>
                                                                        <w:left w:val="none" w:sz="0" w:space="0" w:color="auto"/>
                                                                        <w:bottom w:val="none" w:sz="0" w:space="0" w:color="auto"/>
                                                                        <w:right w:val="none" w:sz="0" w:space="0" w:color="auto"/>
                                                                      </w:divBdr>
                                                                      <w:divsChild>
                                                                        <w:div w:id="2081053085">
                                                                          <w:marLeft w:val="0"/>
                                                                          <w:marRight w:val="0"/>
                                                                          <w:marTop w:val="0"/>
                                                                          <w:marBottom w:val="0"/>
                                                                          <w:divBdr>
                                                                            <w:top w:val="none" w:sz="0" w:space="0" w:color="auto"/>
                                                                            <w:left w:val="none" w:sz="0" w:space="0" w:color="auto"/>
                                                                            <w:bottom w:val="none" w:sz="0" w:space="0" w:color="auto"/>
                                                                            <w:right w:val="none" w:sz="0" w:space="0" w:color="auto"/>
                                                                          </w:divBdr>
                                                                        </w:div>
                                                                        <w:div w:id="1048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73804">
      <w:bodyDiv w:val="1"/>
      <w:marLeft w:val="0"/>
      <w:marRight w:val="0"/>
      <w:marTop w:val="0"/>
      <w:marBottom w:val="0"/>
      <w:divBdr>
        <w:top w:val="none" w:sz="0" w:space="0" w:color="auto"/>
        <w:left w:val="none" w:sz="0" w:space="0" w:color="auto"/>
        <w:bottom w:val="none" w:sz="0" w:space="0" w:color="auto"/>
        <w:right w:val="none" w:sz="0" w:space="0" w:color="auto"/>
      </w:divBdr>
    </w:div>
    <w:div w:id="1809468194">
      <w:bodyDiv w:val="1"/>
      <w:marLeft w:val="0"/>
      <w:marRight w:val="0"/>
      <w:marTop w:val="0"/>
      <w:marBottom w:val="0"/>
      <w:divBdr>
        <w:top w:val="none" w:sz="0" w:space="0" w:color="auto"/>
        <w:left w:val="none" w:sz="0" w:space="0" w:color="auto"/>
        <w:bottom w:val="none" w:sz="0" w:space="0" w:color="auto"/>
        <w:right w:val="none" w:sz="0" w:space="0" w:color="auto"/>
      </w:divBdr>
      <w:divsChild>
        <w:div w:id="796682193">
          <w:marLeft w:val="0"/>
          <w:marRight w:val="0"/>
          <w:marTop w:val="0"/>
          <w:marBottom w:val="0"/>
          <w:divBdr>
            <w:top w:val="none" w:sz="0" w:space="0" w:color="auto"/>
            <w:left w:val="none" w:sz="0" w:space="0" w:color="auto"/>
            <w:bottom w:val="none" w:sz="0" w:space="0" w:color="auto"/>
            <w:right w:val="none" w:sz="0" w:space="0" w:color="auto"/>
          </w:divBdr>
          <w:divsChild>
            <w:div w:id="2076513713">
              <w:marLeft w:val="0"/>
              <w:marRight w:val="0"/>
              <w:marTop w:val="0"/>
              <w:marBottom w:val="0"/>
              <w:divBdr>
                <w:top w:val="none" w:sz="0" w:space="0" w:color="auto"/>
                <w:left w:val="none" w:sz="0" w:space="0" w:color="auto"/>
                <w:bottom w:val="none" w:sz="0" w:space="0" w:color="auto"/>
                <w:right w:val="none" w:sz="0" w:space="0" w:color="auto"/>
              </w:divBdr>
              <w:divsChild>
                <w:div w:id="420225293">
                  <w:marLeft w:val="0"/>
                  <w:marRight w:val="0"/>
                  <w:marTop w:val="0"/>
                  <w:marBottom w:val="0"/>
                  <w:divBdr>
                    <w:top w:val="none" w:sz="0" w:space="0" w:color="auto"/>
                    <w:left w:val="none" w:sz="0" w:space="0" w:color="auto"/>
                    <w:bottom w:val="none" w:sz="0" w:space="0" w:color="auto"/>
                    <w:right w:val="none" w:sz="0" w:space="0" w:color="auto"/>
                  </w:divBdr>
                  <w:divsChild>
                    <w:div w:id="311184033">
                      <w:marLeft w:val="0"/>
                      <w:marRight w:val="0"/>
                      <w:marTop w:val="900"/>
                      <w:marBottom w:val="0"/>
                      <w:divBdr>
                        <w:top w:val="single" w:sz="6" w:space="0" w:color="D7D7D7"/>
                        <w:left w:val="single" w:sz="6" w:space="0" w:color="D7D7D7"/>
                        <w:bottom w:val="single" w:sz="6" w:space="0" w:color="D7D7D7"/>
                        <w:right w:val="single" w:sz="6" w:space="0" w:color="D7D7D7"/>
                      </w:divBdr>
                      <w:divsChild>
                        <w:div w:id="15625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540726">
      <w:bodyDiv w:val="1"/>
      <w:marLeft w:val="0"/>
      <w:marRight w:val="0"/>
      <w:marTop w:val="0"/>
      <w:marBottom w:val="0"/>
      <w:divBdr>
        <w:top w:val="none" w:sz="0" w:space="0" w:color="auto"/>
        <w:left w:val="none" w:sz="0" w:space="0" w:color="auto"/>
        <w:bottom w:val="none" w:sz="0" w:space="0" w:color="auto"/>
        <w:right w:val="none" w:sz="0" w:space="0" w:color="auto"/>
      </w:divBdr>
    </w:div>
    <w:div w:id="2147356663">
      <w:bodyDiv w:val="1"/>
      <w:marLeft w:val="0"/>
      <w:marRight w:val="0"/>
      <w:marTop w:val="0"/>
      <w:marBottom w:val="0"/>
      <w:divBdr>
        <w:top w:val="none" w:sz="0" w:space="0" w:color="auto"/>
        <w:left w:val="none" w:sz="0" w:space="0" w:color="auto"/>
        <w:bottom w:val="none" w:sz="0" w:space="0" w:color="auto"/>
        <w:right w:val="none" w:sz="0" w:space="0" w:color="auto"/>
      </w:divBdr>
      <w:divsChild>
        <w:div w:id="409691857">
          <w:marLeft w:val="0"/>
          <w:marRight w:val="0"/>
          <w:marTop w:val="0"/>
          <w:marBottom w:val="0"/>
          <w:divBdr>
            <w:top w:val="none" w:sz="0" w:space="0" w:color="auto"/>
            <w:left w:val="none" w:sz="0" w:space="0" w:color="auto"/>
            <w:bottom w:val="none" w:sz="0" w:space="0" w:color="auto"/>
            <w:right w:val="none" w:sz="0" w:space="0" w:color="auto"/>
          </w:divBdr>
          <w:divsChild>
            <w:div w:id="220025722">
              <w:marLeft w:val="0"/>
              <w:marRight w:val="0"/>
              <w:marTop w:val="0"/>
              <w:marBottom w:val="0"/>
              <w:divBdr>
                <w:top w:val="none" w:sz="0" w:space="0" w:color="auto"/>
                <w:left w:val="none" w:sz="0" w:space="0" w:color="auto"/>
                <w:bottom w:val="none" w:sz="0" w:space="0" w:color="auto"/>
                <w:right w:val="none" w:sz="0" w:space="0" w:color="auto"/>
              </w:divBdr>
              <w:divsChild>
                <w:div w:id="243077502">
                  <w:marLeft w:val="0"/>
                  <w:marRight w:val="0"/>
                  <w:marTop w:val="0"/>
                  <w:marBottom w:val="0"/>
                  <w:divBdr>
                    <w:top w:val="none" w:sz="0" w:space="0" w:color="auto"/>
                    <w:left w:val="none" w:sz="0" w:space="0" w:color="auto"/>
                    <w:bottom w:val="none" w:sz="0" w:space="0" w:color="auto"/>
                    <w:right w:val="none" w:sz="0" w:space="0" w:color="auto"/>
                  </w:divBdr>
                  <w:divsChild>
                    <w:div w:id="234094792">
                      <w:marLeft w:val="0"/>
                      <w:marRight w:val="0"/>
                      <w:marTop w:val="900"/>
                      <w:marBottom w:val="0"/>
                      <w:divBdr>
                        <w:top w:val="single" w:sz="6" w:space="0" w:color="D7D7D7"/>
                        <w:left w:val="single" w:sz="6" w:space="0" w:color="D7D7D7"/>
                        <w:bottom w:val="single" w:sz="6" w:space="0" w:color="D7D7D7"/>
                        <w:right w:val="single" w:sz="6" w:space="0" w:color="D7D7D7"/>
                      </w:divBdr>
                      <w:divsChild>
                        <w:div w:id="340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partnerskadohoda.gov.sk/zakladne-dokumenty/" TargetMode="External"/><Relationship Id="rId18" Type="http://schemas.openxmlformats.org/officeDocument/2006/relationships/hyperlink" Target="http://www.eks.sk"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psr.sk/sk/index.php?navID=373" TargetMode="External"/><Relationship Id="rId17" Type="http://schemas.openxmlformats.org/officeDocument/2006/relationships/hyperlink" Target="http://www.partnerskadohoda.gov.sk/"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r.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225;kazkycko@vlada.gov.s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health.gov.sk" TargetMode="External"/><Relationship Id="rId4" Type="http://schemas.openxmlformats.org/officeDocument/2006/relationships/settings" Target="settings.xml"/><Relationship Id="rId9" Type="http://schemas.openxmlformats.org/officeDocument/2006/relationships/hyperlink" Target="http://www.mpsr.sk/sk/index/.php?navID=373" TargetMode="External"/><Relationship Id="rId14" Type="http://schemas.openxmlformats.org/officeDocument/2006/relationships/hyperlink" Target="https://www.uvo.gov.sk/legislativametodika-dohlad/metodika-zadavania-zakaziek-5ae.html"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F33C16C4521047BA44DE4F2591E763" ma:contentTypeVersion="1" ma:contentTypeDescription="Umožňuje vytvoriť nový dokument." ma:contentTypeScope="" ma:versionID="161177c2ca8885206981406b90cc2cce">
  <xsd:schema xmlns:xsd="http://www.w3.org/2001/XMLSchema" xmlns:xs="http://www.w3.org/2001/XMLSchema" xmlns:p="http://schemas.microsoft.com/office/2006/metadata/properties" xmlns:ns2="8b2bea62-61d3-4dfc-a22b-21f5798475a1" targetNamespace="http://schemas.microsoft.com/office/2006/metadata/properties" ma:root="true" ma:fieldsID="c1e0a35ab8d0c3f585b9f11038ff658f" ns2:_="">
    <xsd:import namespace="8b2bea62-61d3-4dfc-a22b-21f5798475a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ea62-61d3-4dfc-a22b-21f5798475a1"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CAA59-B6CE-4518-A29D-81A8B710CA14}">
  <ds:schemaRefs>
    <ds:schemaRef ds:uri="http://schemas.openxmlformats.org/officeDocument/2006/bibliography"/>
  </ds:schemaRefs>
</ds:datastoreItem>
</file>

<file path=customXml/itemProps2.xml><?xml version="1.0" encoding="utf-8"?>
<ds:datastoreItem xmlns:ds="http://schemas.openxmlformats.org/officeDocument/2006/customXml" ds:itemID="{699C362E-26F6-4743-8CCF-E7061A05ADEB}"/>
</file>

<file path=customXml/itemProps3.xml><?xml version="1.0" encoding="utf-8"?>
<ds:datastoreItem xmlns:ds="http://schemas.openxmlformats.org/officeDocument/2006/customXml" ds:itemID="{A92923A3-AC71-46D3-BF0C-B5B27E3EA742}"/>
</file>

<file path=customXml/itemProps4.xml><?xml version="1.0" encoding="utf-8"?>
<ds:datastoreItem xmlns:ds="http://schemas.openxmlformats.org/officeDocument/2006/customXml" ds:itemID="{B4CFD304-FB96-4A83-978B-A46C83306F6F}"/>
</file>

<file path=docProps/app.xml><?xml version="1.0" encoding="utf-8"?>
<Properties xmlns="http://schemas.openxmlformats.org/officeDocument/2006/extended-properties" xmlns:vt="http://schemas.openxmlformats.org/officeDocument/2006/docPropsVTypes">
  <Template>Normal.dotm</Template>
  <TotalTime>0</TotalTime>
  <Pages>34</Pages>
  <Words>13391</Words>
  <Characters>76334</Characters>
  <Application>Microsoft Office Word</Application>
  <DocSecurity>0</DocSecurity>
  <Lines>636</Lines>
  <Paragraphs>179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 SR</dc:creator>
  <cp:lastModifiedBy>Kadáková Lea</cp:lastModifiedBy>
  <cp:revision>2</cp:revision>
  <cp:lastPrinted>2020-07-02T06:38:00Z</cp:lastPrinted>
  <dcterms:created xsi:type="dcterms:W3CDTF">2020-11-12T15:15:00Z</dcterms:created>
  <dcterms:modified xsi:type="dcterms:W3CDTF">2020-11-12T15:15:00Z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0x01010014F33C16C4521047BA44DE4F2591E763</vt:lpwstr>
  </property>
</Properties>
</file>