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744B" w14:textId="77777777" w:rsidR="00841663" w:rsidRPr="00904FF6" w:rsidRDefault="00107570" w:rsidP="00CB1050">
      <w:pPr>
        <w:jc w:val="both"/>
        <w:rPr>
          <w:rFonts w:ascii="Times New Roman" w:hAnsi="Times New Roman"/>
          <w:b/>
          <w:bCs/>
          <w:u w:val="single"/>
        </w:rPr>
      </w:pPr>
      <w:r w:rsidRPr="00A91910">
        <w:rPr>
          <w:rFonts w:ascii="Times New Roman" w:hAnsi="Times New Roman"/>
          <w:bCs/>
        </w:rPr>
        <w:t>Príloha č. 1 Zmluvy o poskytnutí NFP</w:t>
      </w:r>
      <w:r w:rsidR="00841663">
        <w:rPr>
          <w:rFonts w:ascii="Times New Roman" w:hAnsi="Times New Roman"/>
          <w:bCs/>
        </w:rPr>
        <w:t xml:space="preserve"> – </w:t>
      </w:r>
      <w:r w:rsidR="00D72FF2" w:rsidRPr="00D72FF2">
        <w:rPr>
          <w:rFonts w:ascii="Times New Roman" w:hAnsi="Times New Roman"/>
          <w:bCs/>
        </w:rPr>
        <w:t>čl. 15 - 18</w:t>
      </w:r>
    </w:p>
    <w:p w14:paraId="6878BA3E" w14:textId="77777777" w:rsidR="00A91910" w:rsidRPr="00D836D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eastAsia="sk-SK"/>
        </w:rPr>
      </w:pPr>
      <w:r w:rsidRPr="00D836DF">
        <w:rPr>
          <w:rFonts w:ascii="Times New Roman" w:hAnsi="Times New Roman"/>
          <w:sz w:val="26"/>
          <w:szCs w:val="26"/>
          <w:lang w:eastAsia="sk-SK"/>
        </w:rPr>
        <w:t xml:space="preserve">Článok 15 </w:t>
      </w:r>
      <w:r w:rsidRPr="00D836DF">
        <w:rPr>
          <w:rFonts w:ascii="Times New Roman" w:hAnsi="Times New Roman"/>
          <w:sz w:val="26"/>
          <w:szCs w:val="26"/>
          <w:lang w:eastAsia="sk-SK"/>
        </w:rPr>
        <w:tab/>
      </w:r>
      <w:r w:rsidRPr="00D836DF">
        <w:rPr>
          <w:rFonts w:ascii="Times New Roman" w:hAnsi="Times New Roman"/>
          <w:caps/>
          <w:sz w:val="26"/>
          <w:szCs w:val="26"/>
          <w:lang w:eastAsia="sk-SK"/>
        </w:rPr>
        <w:t xml:space="preserve">ÚČtY PrijímateľA – OSOBITNÉ USTANOVENIA </w:t>
      </w:r>
    </w:p>
    <w:p w14:paraId="7A8DC0A0" w14:textId="5191CB59" w:rsidR="00A91910" w:rsidRPr="00A91910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Účty štátnej príspevkovej organizácie</w:t>
      </w:r>
      <w:r w:rsidR="0092418C">
        <w:rPr>
          <w:b/>
          <w:bCs/>
          <w:sz w:val="22"/>
          <w:szCs w:val="22"/>
        </w:rPr>
        <w:t>, VÚC</w:t>
      </w:r>
      <w:r w:rsidR="00AA2EE0">
        <w:rPr>
          <w:b/>
          <w:bCs/>
          <w:sz w:val="22"/>
          <w:szCs w:val="22"/>
        </w:rPr>
        <w:t xml:space="preserve">, </w:t>
      </w:r>
      <w:r w:rsidR="00AA2EE0" w:rsidRPr="00A91910">
        <w:rPr>
          <w:b/>
          <w:bCs/>
          <w:sz w:val="22"/>
          <w:szCs w:val="22"/>
        </w:rPr>
        <w:t>subjektov zo súkromného sektora vrátane mimovládnych organizácií</w:t>
      </w:r>
      <w:r w:rsidR="0092418C">
        <w:rPr>
          <w:b/>
          <w:bCs/>
          <w:sz w:val="22"/>
          <w:szCs w:val="22"/>
        </w:rPr>
        <w:t xml:space="preserve"> </w:t>
      </w:r>
      <w:r w:rsidR="00671E9C">
        <w:rPr>
          <w:b/>
          <w:bCs/>
          <w:sz w:val="22"/>
          <w:szCs w:val="22"/>
        </w:rPr>
        <w:t xml:space="preserve">a účty </w:t>
      </w:r>
      <w:r w:rsidR="0092418C">
        <w:rPr>
          <w:b/>
          <w:bCs/>
          <w:sz w:val="22"/>
          <w:szCs w:val="22"/>
        </w:rPr>
        <w:t>iného subjektu</w:t>
      </w:r>
      <w:r w:rsidR="0092418C" w:rsidRPr="00A91910">
        <w:rPr>
          <w:b/>
          <w:bCs/>
          <w:sz w:val="22"/>
          <w:szCs w:val="22"/>
        </w:rPr>
        <w:t xml:space="preserve"> verejnej správy s výnimkou </w:t>
      </w:r>
      <w:r w:rsidR="00671E9C">
        <w:rPr>
          <w:b/>
          <w:bCs/>
          <w:sz w:val="22"/>
          <w:szCs w:val="22"/>
        </w:rPr>
        <w:t>sub</w:t>
      </w:r>
      <w:r w:rsidR="00324D28">
        <w:rPr>
          <w:b/>
          <w:bCs/>
          <w:sz w:val="22"/>
          <w:szCs w:val="22"/>
        </w:rPr>
        <w:t>jektov uvedených v</w:t>
      </w:r>
      <w:r w:rsidR="00357EB2">
        <w:rPr>
          <w:b/>
          <w:bCs/>
          <w:sz w:val="22"/>
          <w:szCs w:val="22"/>
        </w:rPr>
        <w:t> </w:t>
      </w:r>
      <w:r w:rsidR="00324D28">
        <w:rPr>
          <w:b/>
          <w:bCs/>
          <w:sz w:val="22"/>
          <w:szCs w:val="22"/>
        </w:rPr>
        <w:t>ods</w:t>
      </w:r>
      <w:r w:rsidR="00357EB2">
        <w:rPr>
          <w:b/>
          <w:bCs/>
          <w:sz w:val="22"/>
          <w:szCs w:val="22"/>
        </w:rPr>
        <w:t>.</w:t>
      </w:r>
      <w:r w:rsidR="00324D28">
        <w:rPr>
          <w:b/>
          <w:bCs/>
          <w:sz w:val="22"/>
          <w:szCs w:val="22"/>
        </w:rPr>
        <w:t xml:space="preserve"> 2 až 4</w:t>
      </w:r>
      <w:r w:rsidR="00671E9C">
        <w:rPr>
          <w:b/>
          <w:bCs/>
          <w:sz w:val="22"/>
          <w:szCs w:val="22"/>
        </w:rPr>
        <w:t xml:space="preserve"> tohto článku VZP</w:t>
      </w:r>
    </w:p>
    <w:p w14:paraId="2B23ADBE" w14:textId="78A71901" w:rsidR="00A91910" w:rsidRPr="00A91910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rijímateľovi bezhotovostne na účet vedený v </w:t>
      </w:r>
      <w:r w:rsidR="00D50F07">
        <w:rPr>
          <w:rFonts w:ascii="Times New Roman" w:hAnsi="Times New Roman"/>
          <w:lang w:eastAsia="sk-SK"/>
        </w:rPr>
        <w:t>eurách</w:t>
      </w:r>
      <w:r w:rsidR="00D50F07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rijímateľa“). Číslo účtu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rijímateľa  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</w:p>
    <w:p w14:paraId="5FEB3F11" w14:textId="77777777" w:rsidR="00A91910" w:rsidRPr="00A91910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Účty obce</w:t>
      </w:r>
    </w:p>
    <w:p w14:paraId="5EDF4711" w14:textId="3D773918" w:rsidR="00A91910" w:rsidRPr="00A91910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účet vedený v </w:t>
      </w:r>
      <w:r w:rsidR="00D50F07">
        <w:rPr>
          <w:rFonts w:ascii="Times New Roman" w:hAnsi="Times New Roman"/>
          <w:lang w:eastAsia="sk-SK"/>
        </w:rPr>
        <w:t>eurách</w:t>
      </w:r>
      <w:r w:rsidR="00D50F07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rijímateľa“). </w:t>
      </w:r>
      <w:r w:rsidRPr="003B1B29">
        <w:rPr>
          <w:rFonts w:ascii="Times New Roman" w:hAnsi="Times New Roman"/>
          <w:lang w:eastAsia="sk-SK"/>
        </w:rPr>
        <w:t xml:space="preserve">Prijímateľ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 xml:space="preserve">chválených oprávnených výdavkov z účtu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>rijímateľa, a to prostredníctvom svojho rozpočtu</w:t>
      </w:r>
      <w:r w:rsidRPr="00A91910">
        <w:rPr>
          <w:rFonts w:ascii="Times New Roman" w:hAnsi="Times New Roman"/>
          <w:lang w:eastAsia="sk-SK"/>
        </w:rPr>
        <w:t xml:space="preserve">. Číslo účtu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rijímateľa  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</w:p>
    <w:p w14:paraId="36B6337D" w14:textId="2928F97A" w:rsidR="00A91910" w:rsidRPr="00A91910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Účty rozpočtovej organizácie</w:t>
      </w:r>
      <w:r w:rsidR="00B60300">
        <w:rPr>
          <w:b/>
          <w:bCs/>
          <w:sz w:val="22"/>
          <w:szCs w:val="22"/>
        </w:rPr>
        <w:t xml:space="preserve"> v zriaďovacej pôsobnosti</w:t>
      </w:r>
      <w:r w:rsidR="00637205">
        <w:rPr>
          <w:b/>
          <w:bCs/>
          <w:sz w:val="22"/>
          <w:szCs w:val="22"/>
        </w:rPr>
        <w:t xml:space="preserve"> </w:t>
      </w:r>
      <w:r w:rsidRPr="00A91910">
        <w:rPr>
          <w:b/>
          <w:bCs/>
          <w:sz w:val="22"/>
          <w:szCs w:val="22"/>
        </w:rPr>
        <w:t>VÚC</w:t>
      </w:r>
      <w:r w:rsidR="00B60300">
        <w:rPr>
          <w:b/>
          <w:bCs/>
          <w:sz w:val="22"/>
          <w:szCs w:val="22"/>
        </w:rPr>
        <w:t xml:space="preserve"> a</w:t>
      </w:r>
      <w:r w:rsidRPr="00A91910">
        <w:rPr>
          <w:b/>
          <w:bCs/>
          <w:sz w:val="22"/>
          <w:szCs w:val="22"/>
        </w:rPr>
        <w:t xml:space="preserve"> obce</w:t>
      </w:r>
    </w:p>
    <w:p w14:paraId="06E213DC" w14:textId="21D61FC4" w:rsidR="00A91910" w:rsidRPr="00A91910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</w:t>
      </w:r>
      <w:commentRangeStart w:id="0"/>
      <w:r w:rsidR="00BB3ED5">
        <w:rPr>
          <w:rFonts w:ascii="Times New Roman" w:hAnsi="Times New Roman"/>
          <w:lang w:eastAsia="sk-SK"/>
        </w:rPr>
        <w:t>osobitný</w:t>
      </w:r>
      <w:r w:rsidR="00BB3ED5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účet </w:t>
      </w:r>
      <w:commentRangeEnd w:id="0"/>
      <w:r w:rsidR="00C92165">
        <w:rPr>
          <w:rStyle w:val="Odkaznakomentr"/>
          <w:rFonts w:ascii="Times New Roman" w:eastAsia="Times New Roman" w:hAnsi="Times New Roman"/>
          <w:lang w:val="x-none" w:eastAsia="x-none"/>
        </w:rPr>
        <w:commentReference w:id="0"/>
      </w:r>
      <w:r w:rsidRPr="00A91910">
        <w:rPr>
          <w:rFonts w:ascii="Times New Roman" w:hAnsi="Times New Roman"/>
          <w:lang w:eastAsia="sk-SK"/>
        </w:rPr>
        <w:t>(ďalej len „</w:t>
      </w:r>
      <w:r w:rsidR="00BB3ED5">
        <w:rPr>
          <w:rFonts w:ascii="Times New Roman" w:hAnsi="Times New Roman"/>
          <w:lang w:eastAsia="sk-SK"/>
        </w:rPr>
        <w:t>osobitný</w:t>
      </w:r>
      <w:r w:rsidR="00BB3ED5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účet“), ktorý je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. </w:t>
      </w:r>
      <w:r w:rsidRPr="003B1B29">
        <w:rPr>
          <w:rFonts w:ascii="Times New Roman" w:hAnsi="Times New Roman"/>
          <w:lang w:eastAsia="sk-SK"/>
        </w:rPr>
        <w:t xml:space="preserve">Pred použitím týchto prostriedkov je ich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povinný previesť do rozpočtu svojho zriaďovateľa, a to do piatich dní od pripísania týchto prostriedkov na </w:t>
      </w:r>
      <w:r w:rsidR="00BB3ED5">
        <w:rPr>
          <w:rFonts w:ascii="Times New Roman" w:hAnsi="Times New Roman"/>
          <w:lang w:eastAsia="sk-SK"/>
        </w:rPr>
        <w:t>osobitný</w:t>
      </w:r>
      <w:r w:rsidR="00BB3ED5" w:rsidRPr="003B1B29">
        <w:rPr>
          <w:rFonts w:ascii="Times New Roman" w:hAnsi="Times New Roman"/>
          <w:lang w:eastAsia="sk-SK"/>
        </w:rPr>
        <w:t xml:space="preserve"> </w:t>
      </w:r>
      <w:r w:rsidRPr="003B1B29">
        <w:rPr>
          <w:rFonts w:ascii="Times New Roman" w:hAnsi="Times New Roman"/>
          <w:lang w:eastAsia="sk-SK"/>
        </w:rPr>
        <w:t xml:space="preserve">účet. Zriaďovateľ následne prevedie prostriedky NFP na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rijímateľom určený účet (ďalej len „účet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rijímateľa“), z ktorého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>chválených oprávnených výdavkov, a to prostredníctvom svojho rozpočtu</w:t>
      </w:r>
      <w:r w:rsidRPr="00A91910">
        <w:rPr>
          <w:rFonts w:ascii="Times New Roman" w:hAnsi="Times New Roman"/>
          <w:lang w:eastAsia="sk-SK"/>
        </w:rPr>
        <w:t xml:space="preserve">. Číslo </w:t>
      </w:r>
      <w:r w:rsidR="00BB3ED5">
        <w:rPr>
          <w:rFonts w:ascii="Times New Roman" w:hAnsi="Times New Roman"/>
          <w:lang w:eastAsia="sk-SK"/>
        </w:rPr>
        <w:t>osobitného</w:t>
      </w:r>
      <w:r w:rsidR="00BB3ED5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účtu </w:t>
      </w:r>
      <w:r w:rsidR="0092418C">
        <w:rPr>
          <w:rFonts w:ascii="Times New Roman" w:hAnsi="Times New Roman"/>
          <w:lang w:eastAsia="sk-SK"/>
        </w:rPr>
        <w:t xml:space="preserve">a číslo účtu </w:t>
      </w:r>
      <w:r w:rsidR="00D836DF">
        <w:rPr>
          <w:rFonts w:ascii="Times New Roman" w:hAnsi="Times New Roman"/>
          <w:lang w:eastAsia="sk-SK"/>
        </w:rPr>
        <w:t>p</w:t>
      </w:r>
      <w:r w:rsidR="0092418C">
        <w:rPr>
          <w:rFonts w:ascii="Times New Roman" w:hAnsi="Times New Roman"/>
          <w:lang w:eastAsia="sk-SK"/>
        </w:rPr>
        <w:t xml:space="preserve">rijímateľa </w:t>
      </w:r>
      <w:r w:rsidRPr="00A91910">
        <w:rPr>
          <w:rFonts w:ascii="Times New Roman" w:hAnsi="Times New Roman"/>
          <w:lang w:eastAsia="sk-SK"/>
        </w:rPr>
        <w:t>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  <w:r w:rsidR="0092418C">
        <w:rPr>
          <w:rFonts w:ascii="Times New Roman" w:hAnsi="Times New Roman"/>
          <w:lang w:eastAsia="sk-SK"/>
        </w:rPr>
        <w:t>A</w:t>
      </w:r>
      <w:r w:rsidRPr="00A91910">
        <w:rPr>
          <w:rFonts w:ascii="Times New Roman" w:hAnsi="Times New Roman"/>
          <w:lang w:eastAsia="sk-SK"/>
        </w:rPr>
        <w:t xml:space="preserve">k zriaďovateľ neprevedie NFP na rozpočtový výdavkový 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rijímateľa, a výdavky potrebné na financovanie určených účelov sú zabezpečené v rozpočte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rijímateľa, zriaďovateľ dá pokyn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na preklasifikovanie výdavkov (realizované úhrady oprávnených výdavkov z iných účtov otvorených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rijímateľom) v rámci svojho výkazníctva na výdavky na realizáciu prostriedkov NFP.</w:t>
      </w:r>
    </w:p>
    <w:p w14:paraId="2A20A368" w14:textId="4C88784A" w:rsidR="00A91910" w:rsidRPr="00A91910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 xml:space="preserve">Účty príspevkovej organizácie </w:t>
      </w:r>
      <w:r w:rsidR="00B60300">
        <w:rPr>
          <w:b/>
          <w:bCs/>
          <w:sz w:val="22"/>
          <w:szCs w:val="22"/>
        </w:rPr>
        <w:t>v zriaďovacej pôsobnosti</w:t>
      </w:r>
      <w:r w:rsidR="00B60300" w:rsidRPr="00A91910">
        <w:rPr>
          <w:b/>
          <w:bCs/>
          <w:sz w:val="22"/>
          <w:szCs w:val="22"/>
        </w:rPr>
        <w:t xml:space="preserve"> </w:t>
      </w:r>
      <w:r w:rsidR="00B60300">
        <w:rPr>
          <w:b/>
          <w:bCs/>
          <w:sz w:val="22"/>
          <w:szCs w:val="22"/>
        </w:rPr>
        <w:t xml:space="preserve"> </w:t>
      </w:r>
      <w:r w:rsidRPr="00A91910">
        <w:rPr>
          <w:b/>
          <w:bCs/>
          <w:sz w:val="22"/>
          <w:szCs w:val="22"/>
        </w:rPr>
        <w:t>VÚC</w:t>
      </w:r>
      <w:r w:rsidR="00B60300">
        <w:rPr>
          <w:b/>
          <w:bCs/>
          <w:sz w:val="22"/>
          <w:szCs w:val="22"/>
        </w:rPr>
        <w:t xml:space="preserve"> a</w:t>
      </w:r>
      <w:r w:rsidRPr="00A91910">
        <w:rPr>
          <w:b/>
          <w:bCs/>
          <w:sz w:val="22"/>
          <w:szCs w:val="22"/>
        </w:rPr>
        <w:t xml:space="preserve"> obce</w:t>
      </w:r>
    </w:p>
    <w:p w14:paraId="4129A75F" w14:textId="2169C814" w:rsidR="00A91910" w:rsidRPr="00A91910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ak príspevková organizácia ne</w:t>
      </w:r>
      <w:r w:rsidR="0092418C">
        <w:rPr>
          <w:b/>
          <w:bCs/>
          <w:sz w:val="22"/>
          <w:szCs w:val="22"/>
        </w:rPr>
        <w:t>žiada</w:t>
      </w:r>
      <w:r w:rsidRPr="00A91910">
        <w:rPr>
          <w:b/>
          <w:bCs/>
          <w:sz w:val="22"/>
          <w:szCs w:val="22"/>
        </w:rPr>
        <w:t xml:space="preserve"> príspevok na </w:t>
      </w:r>
      <w:r w:rsidR="00D836DF">
        <w:rPr>
          <w:b/>
          <w:bCs/>
          <w:sz w:val="22"/>
          <w:szCs w:val="22"/>
        </w:rPr>
        <w:t>r</w:t>
      </w:r>
      <w:r w:rsidRPr="00A91910">
        <w:rPr>
          <w:b/>
          <w:bCs/>
          <w:sz w:val="22"/>
          <w:szCs w:val="22"/>
        </w:rPr>
        <w:t xml:space="preserve">ealizáciu aktivít </w:t>
      </w:r>
      <w:r w:rsidR="00D836DF">
        <w:rPr>
          <w:b/>
          <w:bCs/>
          <w:sz w:val="22"/>
          <w:szCs w:val="22"/>
        </w:rPr>
        <w:t>p</w:t>
      </w:r>
      <w:r w:rsidRPr="00A91910">
        <w:rPr>
          <w:b/>
          <w:bCs/>
          <w:sz w:val="22"/>
          <w:szCs w:val="22"/>
        </w:rPr>
        <w:t>rojektu od zriaďovateľa</w:t>
      </w:r>
    </w:p>
    <w:p w14:paraId="7606B223" w14:textId="2E8D7813" w:rsidR="00A91910" w:rsidRPr="00A91910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. </w:t>
      </w:r>
      <w:r w:rsidRPr="003B1B29">
        <w:rPr>
          <w:rFonts w:ascii="Times New Roman" w:hAnsi="Times New Roman"/>
          <w:lang w:eastAsia="sk-SK"/>
        </w:rPr>
        <w:t xml:space="preserve">Prijímateľ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 xml:space="preserve">chválených oprávnených výdavkov z účtu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>rijímateľa je uvedené v 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>rílohe č.</w:t>
      </w:r>
      <w:r w:rsidRPr="00A91910">
        <w:rPr>
          <w:rFonts w:ascii="Times New Roman" w:hAnsi="Times New Roman"/>
          <w:lang w:eastAsia="sk-SK"/>
        </w:rPr>
        <w:t xml:space="preserve">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redmet podpory).</w:t>
      </w:r>
    </w:p>
    <w:p w14:paraId="79ECE59E" w14:textId="39295AE6" w:rsidR="00A91910" w:rsidRPr="00A91910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sz w:val="22"/>
          <w:szCs w:val="22"/>
        </w:rPr>
      </w:pPr>
      <w:r w:rsidRPr="00A91910">
        <w:rPr>
          <w:b/>
          <w:bCs/>
          <w:sz w:val="22"/>
          <w:szCs w:val="22"/>
        </w:rPr>
        <w:t xml:space="preserve">ak príspevková organizácia </w:t>
      </w:r>
      <w:r w:rsidR="0092418C">
        <w:rPr>
          <w:b/>
          <w:bCs/>
          <w:sz w:val="22"/>
          <w:szCs w:val="22"/>
        </w:rPr>
        <w:t>žiada</w:t>
      </w:r>
      <w:r w:rsidRPr="00A91910">
        <w:rPr>
          <w:b/>
          <w:bCs/>
          <w:sz w:val="22"/>
          <w:szCs w:val="22"/>
        </w:rPr>
        <w:t xml:space="preserve"> príspevok na </w:t>
      </w:r>
      <w:r w:rsidR="00D836DF">
        <w:rPr>
          <w:b/>
          <w:bCs/>
          <w:sz w:val="22"/>
          <w:szCs w:val="22"/>
        </w:rPr>
        <w:t>r</w:t>
      </w:r>
      <w:r w:rsidRPr="00A91910">
        <w:rPr>
          <w:b/>
          <w:bCs/>
          <w:sz w:val="22"/>
          <w:szCs w:val="22"/>
        </w:rPr>
        <w:t xml:space="preserve">ealizáciu aktivít </w:t>
      </w:r>
      <w:r w:rsidR="00D836DF">
        <w:rPr>
          <w:b/>
          <w:bCs/>
          <w:sz w:val="22"/>
          <w:szCs w:val="22"/>
        </w:rPr>
        <w:t>p</w:t>
      </w:r>
      <w:r w:rsidRPr="00A91910">
        <w:rPr>
          <w:b/>
          <w:bCs/>
          <w:sz w:val="22"/>
          <w:szCs w:val="22"/>
        </w:rPr>
        <w:t>rojektu od zriaďovateľa</w:t>
      </w:r>
    </w:p>
    <w:p w14:paraId="1031D6D0" w14:textId="04442A87" w:rsidR="00A91910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rijímateľa“), ktorý je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. </w:t>
      </w:r>
      <w:r w:rsidRPr="003B1B29">
        <w:rPr>
          <w:rFonts w:ascii="Times New Roman" w:hAnsi="Times New Roman"/>
          <w:lang w:eastAsia="sk-SK"/>
        </w:rPr>
        <w:t xml:space="preserve">Pred použitím týchto prostriedkov je ich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povinný previesť do rozpočtu svojho zriaďovateľa, a to do </w:t>
      </w:r>
      <w:r w:rsidR="00324D28">
        <w:rPr>
          <w:rFonts w:ascii="Times New Roman" w:hAnsi="Times New Roman"/>
          <w:lang w:eastAsia="sk-SK"/>
        </w:rPr>
        <w:t xml:space="preserve">5 </w:t>
      </w:r>
      <w:r w:rsidRPr="003B1B29">
        <w:rPr>
          <w:rFonts w:ascii="Times New Roman" w:hAnsi="Times New Roman"/>
          <w:lang w:eastAsia="sk-SK"/>
        </w:rPr>
        <w:t xml:space="preserve">dní od pripísania týchto prostriedkov. Zriaďovateľ následne prevedie prostriedky NFP na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rijímateľom určený účet, z ktorého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>chválených oprávnených výdavkov</w:t>
      </w:r>
      <w:r w:rsidRPr="00A91910">
        <w:rPr>
          <w:rFonts w:ascii="Times New Roman" w:hAnsi="Times New Roman"/>
          <w:lang w:eastAsia="sk-SK"/>
        </w:rPr>
        <w:t xml:space="preserve">, a to </w:t>
      </w:r>
      <w:r w:rsidRPr="00A91910">
        <w:rPr>
          <w:rFonts w:ascii="Times New Roman" w:hAnsi="Times New Roman"/>
          <w:lang w:eastAsia="sk-SK"/>
        </w:rPr>
        <w:lastRenderedPageBreak/>
        <w:t xml:space="preserve">prostredníctvom svojho rozpočtu. Číslo účtu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rijímateľa 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</w:p>
    <w:p w14:paraId="630A9924" w14:textId="77777777" w:rsidR="00A91910" w:rsidRPr="000F24EC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eastAsia="sk-SK"/>
        </w:rPr>
      </w:pPr>
      <w:r w:rsidRPr="000F24EC">
        <w:rPr>
          <w:rFonts w:ascii="Times New Roman" w:hAnsi="Times New Roman"/>
          <w:sz w:val="26"/>
          <w:szCs w:val="26"/>
          <w:lang w:eastAsia="sk-SK"/>
        </w:rPr>
        <w:t xml:space="preserve">Článok 16 </w:t>
      </w:r>
      <w:r w:rsidRPr="000F24EC">
        <w:rPr>
          <w:rFonts w:ascii="Times New Roman" w:hAnsi="Times New Roman"/>
          <w:sz w:val="26"/>
          <w:szCs w:val="26"/>
          <w:lang w:eastAsia="sk-SK"/>
        </w:rPr>
        <w:tab/>
      </w:r>
      <w:r w:rsidRPr="000F24EC">
        <w:rPr>
          <w:rFonts w:ascii="Times New Roman" w:hAnsi="Times New Roman"/>
          <w:caps/>
          <w:sz w:val="26"/>
          <w:szCs w:val="26"/>
          <w:lang w:eastAsia="sk-SK"/>
        </w:rPr>
        <w:t>ÚČtY PrijímateľA – SPOLOČNÉ USTANOVENIA</w:t>
      </w:r>
    </w:p>
    <w:p w14:paraId="0568DF51" w14:textId="76299561" w:rsidR="00CB1050" w:rsidRPr="004A1377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udržiavať účet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otvorený a nesmie ho zrušiť až do </w:t>
      </w:r>
      <w:r w:rsidR="00D53C7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finančného ukončenia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D53C7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V prípade otvorenia účtu pre príjem NFP v komerčnej banke v zahraničí,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zodpovedá za úhradu všetkých nákladov spojených s realizáciou platieb na a z tohto účtu.</w:t>
      </w:r>
    </w:p>
    <w:p w14:paraId="6542B969" w14:textId="42498B0F" w:rsidR="00A91910" w:rsidRPr="004A1377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má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poskytnutý úver na financovanie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rojektu, zmena účtu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je možná až po písomnom súhlase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f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inancujúcej banky. Písomný súhlas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f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inancujúcej banky podľa predchádzajúcej vety musí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doručiť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oskytovateľovi</w:t>
      </w:r>
      <w:r w:rsidR="00B77B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do dňa vykonania zmeny účtu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B77B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</w:t>
      </w:r>
    </w:p>
    <w:p w14:paraId="4BCFD240" w14:textId="59AB5990" w:rsidR="00A91910" w:rsidRPr="004A1377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využitia systému refundácie môže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realizovať úhrady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právnených výdavkov aj z iných účtov otvorených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rijímateľom pri dodržaní podmienok existencie účtu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určeného na príjem NFP. Prijímateľ je povinný oznámiť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oskytovateľovi identifikáciu týchto účtov.</w:t>
      </w:r>
    </w:p>
    <w:p w14:paraId="7EC1CAAC" w14:textId="686B953F" w:rsidR="00A91910" w:rsidRPr="004A1377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poskytnutia NFP systémom refundácie sú úroky vzniknuté na účte </w:t>
      </w:r>
      <w:r w:rsidR="000F24E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príjmom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rijímateľa.</w:t>
      </w:r>
    </w:p>
    <w:p w14:paraId="6B891820" w14:textId="68C57450" w:rsidR="00A91910" w:rsidRPr="004A1377" w:rsidRDefault="003726AF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k je NFP poskytnutý systémom </w:t>
      </w:r>
      <w:proofErr w:type="spellStart"/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 zálohovej platby a takto poskytnuté prostriedky </w:t>
      </w:r>
      <w:commentRangeStart w:id="1"/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sú úročené</w:t>
      </w:r>
      <w:commentRangeEnd w:id="1"/>
      <w:r w:rsidR="005C5BA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commentReference w:id="1"/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je povinný otvoriť si ako účet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osobitný účet 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</w:t>
      </w:r>
      <w:r w:rsidR="008C19F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(ďalej len „osobitný účet 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C19F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rojekt“)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 Prijímateľ je povinný výnosy z</w:t>
      </w:r>
      <w:r w:rsidR="008C19F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 prostriedkov na tomto osobitnom účte 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C19F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 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vysporiadať </w:t>
      </w:r>
      <w:r w:rsidR="00A91910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podľa čl</w:t>
      </w:r>
      <w:r w:rsidR="00357EB2" w:rsidRP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A91910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10 týchto VZP.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14:paraId="056F7658" w14:textId="4620244E" w:rsidR="00A91910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otvorenia osobitného účtu 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podľa predchádzajúceho odseku a poskytovania NFP systémom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 zálohovej platby, vlastné zdroje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na </w:t>
      </w:r>
      <w:r w:rsidR="00D50F0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ealizáciu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aktivít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 môžu prechádzať cez tento osobitný účet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V takomto prípade je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povinný najneskôr pred vykonaním </w:t>
      </w:r>
      <w:r w:rsidR="00BB3ED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úhrady záväzku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vložiť vlastné zdroje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na tento osobitný účet 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  predložiť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výpis z osobitného účtu 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ako potvrdenie o prevode vlastných zdrojov. V prípade, ak vlastné zdroje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 neprechádzajú cez tento osobitný účet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na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je povinný ku každému uhradenému výdavku doložiť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výpis z iného účtu otvoreného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rijímateľom o úhrade vlastných </w:t>
      </w:r>
      <w:r w:rsidR="004A137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drojov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</w:t>
      </w:r>
      <w:r w:rsidR="0075449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okrem prípadov, ak vlastné zdroje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75449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sú zabezpečované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75449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ecným príspevkom.</w:t>
      </w:r>
    </w:p>
    <w:p w14:paraId="201BC50B" w14:textId="098D7E57" w:rsidR="00781591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 prípade využitia systému zálohovej platby môže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realizovať špecifické typy výdavkov aj z iného účtu otvoreného </w:t>
      </w:r>
      <w:r w:rsidR="00C172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rijímateľom</w:t>
      </w:r>
      <w:r w:rsidR="00AB56D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7E751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 súlade s príslušnými ustanoveniami Systému</w:t>
      </w:r>
      <w:r w:rsidR="00AB56D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A7705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f</w:t>
      </w:r>
      <w:r w:rsidR="00AB56D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inančného riadenia.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14:paraId="6462FDE0" w14:textId="6C8E641C" w:rsidR="00A91910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oznámiť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identifikáciu iného účtu otvoreného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rijímateľom, z ktorého realizuje špecifické typy výdavkov</w:t>
      </w:r>
      <w:r w:rsidR="002F6EB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Zoznam špecifických typov výdavkov uvedie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 v 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ríručke pre žiadateľa, resp.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ríručke pre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rijímateľa.</w:t>
      </w:r>
    </w:p>
    <w:p w14:paraId="2DA36ACD" w14:textId="77777777" w:rsidR="004A1377" w:rsidRPr="004A1377" w:rsidRDefault="004A1377" w:rsidP="004A1377">
      <w:pPr>
        <w:rPr>
          <w:lang w:val="x-none" w:eastAsia="x-none"/>
        </w:rPr>
      </w:pPr>
    </w:p>
    <w:p w14:paraId="44B27422" w14:textId="684AAE82" w:rsidR="00A91910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 xml:space="preserve">Oprávnený výdavok za podmienok definovaných v predchádzajúcom odseku vzniká prevodom príslušnej časti NFP z účtu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na iný účet otvorený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rijímateľom, definovaný v predchádzajúcom odseku a </w:t>
      </w:r>
      <w:r w:rsidR="00E2343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úhradou záväzku</w:t>
      </w:r>
      <w:r w:rsidR="0078159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 úhradou špecifického typu výdavku.</w:t>
      </w:r>
    </w:p>
    <w:p w14:paraId="0D1E1C90" w14:textId="519CE526" w:rsidR="00A91910" w:rsidRDefault="00A91910" w:rsidP="00986236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sa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 realizuje prostredníctvom subjektu v zriaďovateľskej pôsobnosti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rijímateľa, úhrada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s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chválených oprávnených výdavkov môže byť realizovaná aj z účtov tohto subjektu pri dodržaní podmienky existencie účtu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určeného na príjem NFP. Zároveň subjekt v zriaďovateľskej pôsobnosti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je povinný realizovať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s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chválené oprávnené výdavky prostredníctvom rozpočtu. Prijímateľ je povinný oznámiť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identifikáciu účtov, z ktorých realizuje úhradu Schválených oprávnených výdavkov za podmienky dodržania pravidiel vzťahujúcich sa na špecifické výdavky a úroky. </w:t>
      </w:r>
    </w:p>
    <w:p w14:paraId="0B0FD3CD" w14:textId="77777777" w:rsidR="004A1377" w:rsidRPr="004A1377" w:rsidRDefault="004A1377" w:rsidP="004A1377">
      <w:pPr>
        <w:rPr>
          <w:lang w:val="x-none" w:eastAsia="x-none"/>
        </w:rPr>
      </w:pPr>
    </w:p>
    <w:p w14:paraId="573A7C7B" w14:textId="77777777" w:rsidR="00A91910" w:rsidRPr="00750E84" w:rsidRDefault="00A91910" w:rsidP="004A1377">
      <w:pPr>
        <w:pStyle w:val="Nadpis1"/>
        <w:spacing w:before="0" w:after="24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eastAsia="sk-SK"/>
        </w:rPr>
      </w:pPr>
      <w:r w:rsidRPr="00750E84">
        <w:rPr>
          <w:rFonts w:ascii="Times New Roman" w:hAnsi="Times New Roman"/>
          <w:sz w:val="26"/>
          <w:szCs w:val="26"/>
          <w:lang w:eastAsia="sk-SK"/>
        </w:rPr>
        <w:t>Článok 17a</w:t>
      </w:r>
      <w:r w:rsidRPr="00750E84">
        <w:rPr>
          <w:rFonts w:ascii="Times New Roman" w:hAnsi="Times New Roman"/>
          <w:sz w:val="26"/>
          <w:szCs w:val="26"/>
          <w:lang w:eastAsia="sk-SK"/>
        </w:rPr>
        <w:tab/>
      </w:r>
      <w:r w:rsidRPr="00750E84">
        <w:rPr>
          <w:rFonts w:ascii="Times New Roman" w:hAnsi="Times New Roman"/>
          <w:caps/>
          <w:sz w:val="26"/>
          <w:szCs w:val="26"/>
          <w:lang w:eastAsia="sk-SK"/>
        </w:rPr>
        <w:t>PLATBY SYSTÉMOM PREDFINANCOVANIA</w:t>
      </w:r>
    </w:p>
    <w:p w14:paraId="79C64F0D" w14:textId="3E526A1F" w:rsidR="00A91910" w:rsidRPr="004A1377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Systémom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sa NFP, resp. jeho časť (ďalej aj „platba“) poskytuje na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právnené výdavky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 na základe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rijímateľom predložených neuhradených účtovných dokladov </w:t>
      </w:r>
      <w:r w:rsidR="00BD347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lehote splatnosti záväzku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odávateľov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</w:t>
      </w:r>
      <w:r w:rsidR="00BD347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resp. na základe drobných hotovostných úhrad a/alebo hotovostných alebo bezhotovostných úhrad správcovi dane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</w:t>
      </w:r>
      <w:r w:rsidR="00735B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Podrobnosti a detailné postupy realizácie platieb systémom </w:t>
      </w:r>
      <w:proofErr w:type="spellStart"/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</w:t>
      </w:r>
      <w:r w:rsidR="00905F8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financovania</w:t>
      </w:r>
      <w:proofErr w:type="spellEnd"/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735B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sú upravené v</w:t>
      </w:r>
      <w:r w:rsidR="001C657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 príslušnej </w:t>
      </w:r>
      <w:r w:rsidR="00AA2EE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kapitol</w:t>
      </w:r>
      <w:r w:rsidR="00735B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</w:t>
      </w:r>
      <w:r w:rsidR="00735B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ystému finančného riadenia, ktorý sa </w:t>
      </w:r>
      <w:r w:rsidR="00750E8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735B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mluvné strany zaväzujú dodržiavať. </w:t>
      </w:r>
    </w:p>
    <w:p w14:paraId="1AD9A625" w14:textId="66D84D22" w:rsidR="00A91910" w:rsidRPr="004A1377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zabezpečí poskytnutie platby výlučne na základe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), predloženej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rijímateľom v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="00D50F0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eurách</w:t>
      </w:r>
      <w:r w:rsidR="00D50F0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ačatí realizácie aktivít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 a nadobudnutí účinnosti</w:t>
      </w:r>
      <w:r w:rsidR="002D72E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2D72E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mluvy o poskytnutí NFP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Žiadosť o platbu </w:t>
      </w:r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(poskytnutie </w:t>
      </w:r>
      <w:proofErr w:type="spellStart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musí byť v súlade s rozpočtom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rojektu. Prijímateľ v rámci formulára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</w:t>
      </w:r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(poskytnutie </w:t>
      </w:r>
      <w:proofErr w:type="spellStart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uvedie nárokovanú sumu</w:t>
      </w:r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finančných prostriedkov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podľa skupiny výdavkov uvedenej v prílohe č. </w:t>
      </w:r>
      <w:r w:rsidR="00904D3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3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mluvy </w:t>
      </w:r>
      <w:r w:rsidR="002D72E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 poskytnutí NFP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(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ozpočet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rojektu).</w:t>
      </w:r>
    </w:p>
    <w:p w14:paraId="7C04870A" w14:textId="27502F19" w:rsidR="004A1377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Spolu so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iadosťou o platbu (poskytnutie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predkladá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aj neuhradené účtovné doklady (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faktúra, prípadne doklad rovnocennej dôkaznej hodnoty</w:t>
      </w:r>
      <w:r w:rsidR="003A5DE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resp. ich kópia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prijaté od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odávateľa</w:t>
      </w:r>
      <w:r w:rsidR="0091448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F7345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 relevantnú podpornú dokumentáciu</w:t>
      </w:r>
      <w:r w:rsidR="003A5DE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resp. jej kópiu</w:t>
      </w:r>
      <w:r w:rsidR="00CD7B9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ktorej minimálny rozsah stanovuje Systém riadenia EŠIF a </w:t>
      </w:r>
      <w:r w:rsidR="00232B4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1B1F4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a to v lehote splatnosti týchto účtovných dokladov. Jeden rovnopis účtovných dokladov si ponecháva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rijímateľ. Ak sú súčasťou výdavkov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aj hotovostné úhrady, tieto výdavky zahrnie do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</w:t>
      </w:r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(poskytnutie </w:t>
      </w:r>
      <w:proofErr w:type="spellStart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 predloží k nim príslušné účtovné doklady, ktoré potvrdzujú hotovostnú úhradu (napr. pokladničný blok). 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môže do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</w:t>
      </w:r>
      <w:proofErr w:type="spellStart"/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 zahrnúť aj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hotovostnú a</w:t>
      </w:r>
      <w:r w:rsidR="00CD7B9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lebo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bezhotovostnú úhradu daňovému úradu v prípade prenesenej daňovej povinnosti v </w:t>
      </w:r>
      <w:r w:rsidR="00CC56A4" w:rsidRPr="00986236">
        <w:rPr>
          <w:rFonts w:ascii="Times New Roman" w:hAnsi="Times New Roman"/>
          <w:b w:val="0"/>
          <w:i w:val="0"/>
          <w:color w:val="000000"/>
          <w:sz w:val="22"/>
          <w:szCs w:val="22"/>
        </w:rPr>
        <w:t>súlade so zákonom</w:t>
      </w:r>
      <w:r w:rsidR="00986236" w:rsidRPr="0098623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 DPH</w:t>
      </w:r>
      <w:r w:rsidR="00CC56A4" w:rsidRPr="00986236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 pravidlami oprávnenosti, ktoré stanovuje Systém riadenia </w:t>
      </w:r>
      <w:r w:rsidR="00735B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EŠIF</w:t>
      </w:r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</w:t>
      </w:r>
      <w:r w:rsidR="00D50F0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="00AA2EE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</w:t>
      </w:r>
      <w:proofErr w:type="spellEnd"/>
      <w:r w:rsidR="00CC5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5432356D" w14:textId="7CED3431" w:rsidR="00A91910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uhradiť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odávateľom účtovné doklady súvisiace s 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ealizáciou aktivít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 najneskôr do </w:t>
      </w:r>
      <w:r w:rsidR="00481D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3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dní od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 dňa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pripísania príslušnej platby na účet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rijímateľa. 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Úrok z omeškania </w:t>
      </w:r>
      <w:r w:rsidR="005D50C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 úhradou záväzku 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voči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odávateľovi</w:t>
      </w:r>
      <w:r w:rsidR="0091448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F7345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 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znáša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rijímateľ.</w:t>
      </w:r>
    </w:p>
    <w:p w14:paraId="32F83184" w14:textId="77777777" w:rsidR="004A1377" w:rsidRPr="004A1377" w:rsidRDefault="004A1377" w:rsidP="004A1377">
      <w:pPr>
        <w:rPr>
          <w:lang w:val="x-none" w:eastAsia="x-none"/>
        </w:rPr>
      </w:pPr>
    </w:p>
    <w:p w14:paraId="0044359D" w14:textId="5D9C0720" w:rsidR="00A91910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 xml:space="preserve">Po poskytnutí každej platby systémom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je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povinný celú jej výšku zúčtovať, a to do 10 dní od</w:t>
      </w:r>
      <w:r w:rsidR="0089166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 </w:t>
      </w:r>
      <w:r w:rsidR="00E2707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dňa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pripísania týchto prostriedkov na účet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rijímateľa. </w:t>
      </w:r>
    </w:p>
    <w:p w14:paraId="757FAC25" w14:textId="4A2BABFF" w:rsidR="00A91910" w:rsidRPr="004A1377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zúčtuje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platbu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predložením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(zúčtovanie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), ktorú predkladá spolu s výpisom z účtu potvrdzujúcom príjem NFP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ako aj doklad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mi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potvrdzujúc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imi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skutočnú úhradu výdavkov deklarovaných v 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</w:t>
      </w:r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(zúčtovanie </w:t>
      </w:r>
      <w:proofErr w:type="spellStart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6F265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– výpis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om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z účtu alebo prehlásen</w:t>
      </w:r>
      <w:r w:rsidR="00CA55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ím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banky o úhrade; tieto doklady nie je potrebné predkladať pri výdavkoch zjednodušene vykazovaných prostredníctvom paušálnej sadzby, jednotkových cien alebo paušálnej sumy. V rámci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uvedie aj výdavky viažuce sa na prípadné hotovostné </w:t>
      </w:r>
      <w:r w:rsidR="001D2CE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 bezhotovostné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úhrady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voči daňovému úradu v prípade prenesenej daňovej povinnosti v súlade so </w:t>
      </w:r>
      <w:r w:rsidR="00DF36D9" w:rsidRPr="00986236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zákonom </w:t>
      </w:r>
      <w:r w:rsidR="00986236" w:rsidRPr="0098623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 DPH</w:t>
      </w:r>
      <w:r w:rsidRPr="00986236">
        <w:rPr>
          <w:rFonts w:ascii="Times New Roman" w:hAnsi="Times New Roman"/>
          <w:b w:val="0"/>
          <w:i w:val="0"/>
          <w:color w:val="000000"/>
          <w:sz w:val="22"/>
          <w:szCs w:val="22"/>
        </w:rPr>
        <w:t>, kto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ré boli zahrnuté do 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platbu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(poskytnutie </w:t>
      </w:r>
      <w:proofErr w:type="spellStart"/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pričom nie je povinný opätovne predkladať tie isté doklady potvrdzujúce hotovostnú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 bezhotovostnú úhradu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K jednej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môže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predložiť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len jednu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(zúčtovanie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).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C9216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k bolo </w:t>
      </w:r>
      <w:proofErr w:type="spellStart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predfinancovanie</w:t>
      </w:r>
      <w:proofErr w:type="spellEnd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poskytnuté vo viacerých platbách, z dôvodu vyčlenenej časti nárokovaných finančných prostriedkov z predloženej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</w:t>
      </w:r>
      <w:proofErr w:type="spellStart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), je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povinný </w:t>
      </w:r>
      <w:r w:rsidR="00B30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zúčtovať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každú jednu poskytnutú platbu </w:t>
      </w:r>
      <w:proofErr w:type="spellStart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samostatne (t.</w:t>
      </w:r>
      <w:r w:rsidR="001C657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j. predložiť samostatnú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– zúčtovanie </w:t>
      </w:r>
      <w:proofErr w:type="spellStart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Nezúčtovaný rozdiel 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poskytnutého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je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povinný najneskôr do 5 dní od uplynutia lehoty na zúčtovanie vrátiť na účet určený </w:t>
      </w:r>
      <w:r w:rsidR="00DE2B5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oskytovateľom. 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Podrobnosti </w:t>
      </w:r>
      <w:r w:rsidR="00E21FE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vrátenia nezúčtovaného rozdielu </w:t>
      </w:r>
      <w:proofErr w:type="spellStart"/>
      <w:r w:rsidR="00E21FE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E21FE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stanovuje </w:t>
      </w:r>
      <w:r w:rsidR="001C657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príslušná </w:t>
      </w:r>
      <w:r w:rsidR="00AA2EE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kapitol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</w:t>
      </w:r>
      <w:r w:rsidR="00E21FE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ystému finančného riadenia</w:t>
      </w:r>
      <w:r w:rsidR="00E21FE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14:paraId="34A320C1" w14:textId="1F662F10" w:rsidR="00A91910" w:rsidRPr="00855793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vo všetkých predkladaných </w:t>
      </w:r>
      <w:r w:rsidR="00DA7FB2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iadostiach o platbu uvádzať výlučne </w:t>
      </w:r>
      <w:r w:rsidR="00481DCF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nárokované finančné prostriedky/deklarované 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výdavky, ktoré zodpovedajú podmienkam uvedeným v čl</w:t>
      </w:r>
      <w:r w:rsidR="00357EB2" w:rsidRP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14 VZP. Prijímateľ zodpovedá za pravosť, správnosť a kompletnosť údajov uvedených v týchto </w:t>
      </w:r>
      <w:r w:rsidR="00DA7FB2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iadostiach o platbu. </w:t>
      </w:r>
      <w:r w:rsidR="0021081B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Ak</w:t>
      </w:r>
      <w:r w:rsidR="0047436B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na základe nepravých alebo nesprávnych údajov uvedených v</w:t>
      </w:r>
      <w:r w:rsidR="0021081B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 akejkoľvek </w:t>
      </w:r>
      <w:r w:rsidR="00DA7FB2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dôjde k vyplateniu </w:t>
      </w:r>
      <w:r w:rsidR="0021081B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alebo schváleniu 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platby, </w:t>
      </w:r>
      <w:r w:rsidR="00DA7FB2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je povinný takto vyplatené </w:t>
      </w:r>
      <w:r w:rsidR="0021081B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alebo schválené 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prostriedky </w:t>
      </w:r>
      <w:r w:rsidR="00B63C53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bezodkladne, od kedy sa o tejto skutočnosti dozvie, 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vrátiť</w:t>
      </w:r>
      <w:r w:rsidR="00B63C53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; ak sa o skutočnosti, že došlo k vyplateniu alebo schváleniu platby na základe nesprávnych alebo nepravých údajov dozvie </w:t>
      </w:r>
      <w:r w:rsidR="00DA7FB2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B63C53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oskytovateľ, postupuje podľa čl</w:t>
      </w:r>
      <w:r w:rsidR="00357EB2" w:rsidRP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B63C53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47436B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10</w:t>
      </w:r>
      <w:r w:rsidR="00B63C53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VZP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4D67694C" w14:textId="5A4875BD" w:rsidR="008A7C34" w:rsidRPr="004A1377" w:rsidRDefault="008A7C34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je povinný vykonať kontrolu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podľa § 7 a § 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8 </w:t>
      </w:r>
      <w:r w:rsidR="00D50F0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ákona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finančnej kontrole a audite a 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B80A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125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všeobecného nariadenia, 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ričom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</w:t>
      </w:r>
      <w:r w:rsidR="00B1318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je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povinný sa na úče</w:t>
      </w:r>
      <w:r w:rsidR="00F461A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ly výkonu kontroly riadiť § 21 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ákona o finančnej kontrole a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audite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inými relevantnými právnymi predpismi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inými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dokumentmi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032096E6" w14:textId="76A2C8AF" w:rsidR="00A91910" w:rsidRPr="004A1377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 vykonaní kontroly </w:t>
      </w:r>
      <w:r w:rsidR="006F3FB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podľa predchádzajúceho odseku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</w:t>
      </w:r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(poskytnutie </w:t>
      </w:r>
      <w:proofErr w:type="spellStart"/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(zúčtovanie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 schváli v plnej výške, schváli v zníženej výške</w:t>
      </w:r>
      <w:r w:rsidR="00B0411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zamietne</w:t>
      </w:r>
      <w:r w:rsidR="002857D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pozastaví</w:t>
      </w:r>
      <w:r w:rsidR="002857D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pričom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zo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</w:t>
      </w:r>
      <w:proofErr w:type="spellStart"/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</w:t>
      </w:r>
      <w:r w:rsidR="00C843D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financovania</w:t>
      </w:r>
      <w:proofErr w:type="spellEnd"/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</w:t>
      </w:r>
      <w:r w:rsidR="002857D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môže časť nárokovaných výdavkov, u ktorých je potrebné pokračovať v kontrole, </w:t>
      </w:r>
      <w:r w:rsidR="00B0411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vyčlen</w:t>
      </w:r>
      <w:r w:rsidR="002857D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iť, a to v lehotách určených Systémom finančného riadenia, resp. vo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2857D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ýnimke zo Systému finančného riadenia štrukturálnych fondov, Kohézneho fondu a Európskeho námorného a rybárskeho fondu na programové obdobie 2014-2020 zo dňa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08. 04. 2020</w:t>
      </w:r>
      <w:r w:rsidR="0098623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(ďalej len „výnimka“</w:t>
      </w:r>
      <w:r w:rsid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="0098623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Prijímateľovi vznikne nárok na schválenie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</w:t>
      </w:r>
      <w:proofErr w:type="spellStart"/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</w:t>
      </w:r>
      <w:r w:rsidR="0018671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</w:t>
      </w:r>
      <w:proofErr w:type="spellEnd"/>
      <w:r w:rsidR="00DF36D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iba ak podá túto </w:t>
      </w:r>
      <w:r w:rsidR="00DA7F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úplnú a správnu, a to až v momente schválenia súhrnnej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ertifikačným orgánom a len v rozsahu Schválených oprávnených výdavkov zo strany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oskytovateľa a 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ertifikačného orgánu. </w:t>
      </w:r>
    </w:p>
    <w:p w14:paraId="1DC7ABE2" w14:textId="62AC98EA" w:rsidR="000D1AD5" w:rsidRPr="004A1377" w:rsidRDefault="004E0031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Predfinancovanie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sa poskytuje až do momentu dosiahnutia maximálne 100 % celkových oprávnených výdavkov na projekt. </w:t>
      </w:r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Posledná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(zúčtovanie </w:t>
      </w:r>
      <w:proofErr w:type="spellStart"/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predložená v rámci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</w:t>
      </w:r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ealizácie aktivít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 plní funkciu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B6030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(s príznakom záverečná). </w:t>
      </w:r>
    </w:p>
    <w:p w14:paraId="5831B78C" w14:textId="45CD3B33" w:rsidR="009C2F7D" w:rsidRPr="004A1377" w:rsidRDefault="000D1AD5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(poskytnutie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obsahuje výdavky, ktoré sú predmetom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rebiehajúceho skúmania,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 môže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pozastav</w:t>
      </w:r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iť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schvaľovanie </w:t>
      </w:r>
      <w:r w:rsidR="00044FB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dotknutých</w:t>
      </w:r>
      <w:r w:rsidR="00C10D5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výdavkov </w:t>
      </w:r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až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do času ukončenia</w:t>
      </w:r>
      <w:r w:rsidR="00D42F5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D42F5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rebiehajúceho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skúmania</w:t>
      </w:r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Ak sú výdavky, ktorých sa týka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 skúmanie zahrnuté do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</w:t>
      </w:r>
      <w:proofErr w:type="spellStart"/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8D1F0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pozastaví schvaľovanie celej takejto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(a to aj za výdavky, ktorých sa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 skúmanie netýka), a to až do času ukončenia </w:t>
      </w:r>
      <w:r w:rsidR="00B10EB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F2D1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rebiehajúceho 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skúmania.  </w:t>
      </w:r>
    </w:p>
    <w:p w14:paraId="79FBC174" w14:textId="77777777" w:rsidR="009C2F7D" w:rsidRDefault="009C2F7D" w:rsidP="00CB1050">
      <w:pPr>
        <w:pStyle w:val="Odsekzoznamu"/>
        <w:spacing w:after="200" w:line="276" w:lineRule="auto"/>
        <w:jc w:val="both"/>
        <w:rPr>
          <w:sz w:val="22"/>
          <w:szCs w:val="22"/>
        </w:rPr>
      </w:pPr>
    </w:p>
    <w:p w14:paraId="0F1479CB" w14:textId="2AC0D407" w:rsidR="00A91910" w:rsidRPr="00942619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eastAsia="sk-SK"/>
        </w:rPr>
      </w:pPr>
      <w:r w:rsidRPr="00942619">
        <w:rPr>
          <w:rFonts w:ascii="Times New Roman" w:hAnsi="Times New Roman"/>
          <w:sz w:val="26"/>
          <w:szCs w:val="26"/>
          <w:lang w:eastAsia="sk-SK"/>
        </w:rPr>
        <w:t xml:space="preserve">Článok 17b </w:t>
      </w:r>
      <w:r w:rsidRPr="00942619">
        <w:rPr>
          <w:rFonts w:ascii="Times New Roman" w:hAnsi="Times New Roman"/>
          <w:sz w:val="26"/>
          <w:szCs w:val="26"/>
          <w:lang w:eastAsia="sk-SK"/>
        </w:rPr>
        <w:tab/>
      </w:r>
      <w:r w:rsidRPr="00942619">
        <w:rPr>
          <w:rFonts w:ascii="Times New Roman" w:hAnsi="Times New Roman"/>
          <w:caps/>
          <w:sz w:val="26"/>
          <w:szCs w:val="26"/>
          <w:lang w:eastAsia="sk-SK"/>
        </w:rPr>
        <w:t>PLATBY SYSTÉMOM ZÁLOHOVÝCH PLATIEB</w:t>
      </w:r>
    </w:p>
    <w:p w14:paraId="1F9125C2" w14:textId="57853362" w:rsidR="00A91910" w:rsidRPr="004A1377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zabezpečí poskytnutie NFP, resp. jeho časti (ďalej aj „platba“) systémom zálohových platieb na základe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 platbu (poskytnutie zálohovej platby)</w:t>
      </w:r>
      <w:r w:rsidR="00193AC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Žiados</w:t>
      </w:r>
      <w:r w:rsidR="00193AC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ť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 platbu </w:t>
      </w:r>
      <w:r w:rsidR="00193AC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(poskytnutie zálohovej platby)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predkladá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v </w:t>
      </w:r>
      <w:r w:rsidR="00D50F0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eurách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</w:t>
      </w:r>
      <w:r w:rsidR="00A22BF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súlade s Systémom finančného riadenia sú systém zálohových platieb oprávnení využívať všetci prijímatelia v rámci projektov financovaných z Európskeho sociálneho fondu, Európskeho fondu regionálneho rozvoja, Kohézneho fondu a Európskeho námorného a rybárskeho fondu. 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Podrobnosti a detailné postupy realizácie platieb systémom zálohových platieb sú upravené v</w:t>
      </w:r>
      <w:r w:rsidR="001C657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príslušnej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kapitole Systému finančného riadenia, ktorý sa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mluvné strany zaväzujú dodržiavať.</w:t>
      </w:r>
    </w:p>
    <w:p w14:paraId="3A8F4D0B" w14:textId="2C112BA4" w:rsidR="00A91910" w:rsidRPr="004A1377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po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ačatí realizácie</w:t>
      </w:r>
      <w:r w:rsidR="0018671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aktivít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</w:t>
      </w:r>
      <w:r w:rsidR="00A5656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nadobudnutí účinnosti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A5656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mluvy</w:t>
      </w:r>
      <w:r w:rsidR="00671E9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 poskytnutí NFP</w:t>
      </w:r>
      <w:r w:rsidR="00A5656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predkladá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oskytovateľovi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(poskytnutie zálohovej platby) maximálne do výšky </w:t>
      </w:r>
      <w:r w:rsidR="00605CE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stanovenej vo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605CE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ýnimke. V zmysle uvedenej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605CE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ýnimky sa maximálna výška zálohovej platby vypočíta ako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40%</w:t>
      </w:r>
      <w:r w:rsidR="00605CE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z celkového NFP zníženého o už poskytnutú časť NFP systémom refundácie. Pri výpočte sa nezohľadňuje počet mesiacov realizácie projektu.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14:paraId="4F8D9C94" w14:textId="00BD3741" w:rsidR="00A56561" w:rsidRPr="004A1377" w:rsidRDefault="00A56561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Pravidlá pre výpočet maximálnej výšky zálohovej platby a pravidlá poskytnutia nasledujúcej zálohovej platby sú uvedené v</w:t>
      </w:r>
      <w:r w:rsidR="001C657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príslušnej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kapitole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</w:t>
      </w:r>
      <w:r w:rsidR="00E35C3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ystému finančného riadenia.</w:t>
      </w:r>
    </w:p>
    <w:p w14:paraId="1000F5F5" w14:textId="7DA9C8A2" w:rsidR="00A91910" w:rsidRPr="004A1377" w:rsidRDefault="006E152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 poskytnutí zálohovej platby je </w:t>
      </w:r>
      <w:r w:rsidR="009426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povinný každú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jednu 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poskytnutú zálohovú platbu priebežne zúčtovávať</w:t>
      </w:r>
      <w:r w:rsidR="00907D4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pričom n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ajneskôr do </w:t>
      </w:r>
      <w:r w:rsidR="00ED5BAA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mesiacov odo dňa pripísania platby na účte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je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povinný zúčtovať 100 %</w:t>
      </w:r>
      <w:r w:rsidR="00B9024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sumy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každej</w:t>
      </w:r>
      <w:r w:rsidR="00B9024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jednej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poskytnutej zálohovej platby. </w:t>
      </w:r>
    </w:p>
    <w:p w14:paraId="6513A0F6" w14:textId="58F59B18" w:rsidR="00A91910" w:rsidRPr="004A1377" w:rsidRDefault="00CF2EE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rámci formulára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</w:t>
      </w:r>
      <w:r w:rsidR="009216C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(zúčtovanie zálohovej platby)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uvedie deklarované výda</w:t>
      </w:r>
      <w:r w:rsidR="003B1B2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ky podľa skupiny výdavkov v</w:t>
      </w:r>
      <w:r w:rsidR="0018671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zmysle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18671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mluvy o poskytnutí NFP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Spolu so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iadosťou o platbu (zúčtovanie zálohovej platby)</w:t>
      </w:r>
      <w:r w:rsidR="009216C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predkladá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aj účtovné doklady preukazujúc</w:t>
      </w:r>
      <w:r w:rsidR="00F7345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úhradu výdavkov deklarovaných v 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platbu (zúčtovanie zálohovej platby) a relevantnú podpornú dokumentáciu</w:t>
      </w:r>
      <w:r w:rsidR="009803B7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ktorej minimálny rozsah stanovuje Systém riadenia EŠIF a 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1B1F4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1B1E0CA8" w14:textId="44C35151" w:rsidR="00A91910" w:rsidRPr="004A1377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Zálohovú platbu je možné zúčtovať predložením viacerých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iadostí o platbu (zúčtovanie zálohovej platby). Povinnosť zúčtovať 100 % </w:t>
      </w:r>
      <w:r w:rsidR="003B6A4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sumy 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každej jednej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poskytnutej zálohovej platby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 xml:space="preserve">v lehote </w:t>
      </w:r>
      <w:r w:rsidR="00C8086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mesiacov odo dňa pripísania finančných prostriedkov na účte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sa vzťahuje osobitne ku každej </w:t>
      </w:r>
      <w:r w:rsidR="003B6A4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jednej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poskytnutej zálohovej platbe, pričom každú predkladanú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(zúčtovanie zálohovej platby) je potrebné priradiť k najstaršej poskytnutej nezúčtovanej zálohovej platbe.</w:t>
      </w:r>
    </w:p>
    <w:p w14:paraId="04EF34E5" w14:textId="30C6ED5B" w:rsidR="00A91910" w:rsidRPr="004A1377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oprávnený požiadať o ďalšiu zálohovú platbu najskôr súčasne s podaním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zálohovej platby). Poskytovateľ zabezpečí poskytnutie platby na základe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(poskytnutie zálohovej platby) až po schválení predloženej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zálohovej platby)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ertifikačným orgánom</w:t>
      </w:r>
      <w:r w:rsidR="00C8086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ak nie je dohodnuté inak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3912904C" w14:textId="29C401C7" w:rsidR="00A91910" w:rsidRPr="004A1377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predchádzajúca zálohová platba nebola poskytnutá v maximálnej možnej výške,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môže požiadať o ďalšiu zálohovú platbu vo výške súčtu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ertifikačným orgánom schválenej výšky NFP a sumy rovnajúcej sa rozdielu maximálnej výšky zálohovej platby a predchádzajúcej poskytnutej zálohovej platby. Súčet týchto prostriedkov, a teda výška možnej zálohovej platby, je maximálne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40% </w:t>
      </w:r>
      <w:r w:rsidR="00AA703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 celkového NFP zníženého o už poskytnutú časť NFP systémom refundácie</w:t>
      </w:r>
      <w:r w:rsidR="007B6D4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7E05DBA8" w14:textId="43E94331" w:rsidR="007B6D4E" w:rsidRPr="004A1377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v predloženej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zálohovej platby) identifikoval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eoprávnené výdavky pred uplynutím príslušnej </w:t>
      </w:r>
      <w:r w:rsidR="00D1406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-mesačnej lehoty na zúčtovanie,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môže takto identifikovanú nezúčtovanú sumu zúčtovať predložením ďalšej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zálohovej platby) s výdavkami minimálne vo výške identifikovaných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eoprávnených výdavkov</w:t>
      </w:r>
      <w:r w:rsidR="00B306A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Prijímateľ môže tento postup uplatniť do skončenia príslušnej </w:t>
      </w:r>
      <w:r w:rsidR="00D1406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-mesačnej lehoty na zúčtovanie; podrobnosti sú upravené v príslušnej kapitole Systému finančného riadenia.</w:t>
      </w:r>
    </w:p>
    <w:p w14:paraId="4AA575AB" w14:textId="115F9CC2" w:rsidR="007B6D4E" w:rsidRPr="004A1377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nezúčtuje 100 % poskytnutej zálohovej platby do </w:t>
      </w:r>
      <w:r w:rsidR="00D1406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mesiacov odo dňa pripísania platby na účet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</w:t>
      </w:r>
      <w:r w:rsidR="0021677A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to ani využitím možnosti podľa predchádzajúceho odseku VZP,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je povinný najneskôr do 5 dní po uplynutí </w:t>
      </w:r>
      <w:r w:rsidR="00D1406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-mesačnej lehoty vrátiť sumu nezúčtovaného rozdielu na účet určený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oskytovateľom. Ak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nevráti sumu nezúčtovaného rozdielu podľa predchádzajúcej vety, okrem povinnosti vrátenia tejto sumy sa </w:t>
      </w:r>
      <w:r w:rsidR="005D416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rijímateľovi </w:t>
      </w:r>
      <w:commentRangeStart w:id="2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 túto sumu zároveň znižuje NFP ako celok; </w:t>
      </w:r>
      <w:commentRangeEnd w:id="2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commentReference w:id="2"/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podrobnosti sú upravené v príslušnej kapitole Systému finančného riadenia. </w:t>
      </w:r>
    </w:p>
    <w:p w14:paraId="3BAAE9B4" w14:textId="0F668699" w:rsidR="007B6D4E" w:rsidRPr="00855793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v predloženej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zálohovej platby) identifikoval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eoprávnené výdavky až po uplynutí </w:t>
      </w:r>
      <w:r w:rsidR="00D1406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-mesačnej lehoty na zúčtovanie,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je povinný vrátiť sumu nezúčtovaného rozdielu poskytnutej zálohovej platby v 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súlade s čl</w:t>
      </w:r>
      <w:r w:rsidR="00357EB2" w:rsidRP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10 týchto VZP. Ak </w:t>
      </w:r>
      <w:r w:rsidR="001022CF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sumu nezúčtovaného rozdielu poskytnutej zálohovej platby v určenej lehote nevráti, okrem povinnosti vrátenia tejto sumy môže </w:t>
      </w:r>
      <w:r w:rsidR="001022CF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určiť, že sa </w:t>
      </w:r>
      <w:commentRangeStart w:id="3"/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 túto sumu zároveň znižuje </w:t>
      </w:r>
      <w:r w:rsidR="001022CF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rijímateľovi NFP ako celok</w:t>
      </w:r>
      <w:commentRangeEnd w:id="3"/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commentReference w:id="3"/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; podrobnosti sú upravené v príslušnej kapitole Systému finančného riadenia. </w:t>
      </w:r>
    </w:p>
    <w:p w14:paraId="412654D2" w14:textId="146EFF89" w:rsidR="00A91910" w:rsidRPr="00855793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vo všetkých predkladaných </w:t>
      </w:r>
      <w:r w:rsidR="001022CF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iadostiach o platbu uvádzať výlučne výdavky, ktoré zodpovedajú podmienkam uvedeným v čl</w:t>
      </w:r>
      <w:r w:rsidR="00357EB2" w:rsidRP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14 VZP. Prijímateľ zodpovedá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za pravosť, správnosť a kompletnosť údajov uvedených v 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platbu. </w:t>
      </w:r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na základe nepravých alebo nesprávnych údajov dôjde k</w:t>
      </w:r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vyplateniu</w:t>
      </w:r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 schváleniu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platby,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je povinný takto vyplatené </w:t>
      </w:r>
      <w:r w:rsidR="0021081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alebo schválené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prostriedky </w:t>
      </w:r>
      <w:r w:rsidR="00E9752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bezodkladne, od </w:t>
      </w:r>
      <w:r w:rsidR="00E9752C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kedy sa o tejto skutočnosti dozvedel, </w:t>
      </w:r>
      <w:r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vrátiť</w:t>
      </w:r>
      <w:r w:rsidR="00E9752C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; ak sa o skutočnosti, že došlo k vyplateniu alebo schváleniu platby na základe nesprávnych alebo nepravých údajov dozvie </w:t>
      </w:r>
      <w:r w:rsidR="001022CF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9752C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oskytovateľ, postupuje podľa čl</w:t>
      </w:r>
      <w:r w:rsidR="00357EB2" w:rsidRPr="00855793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E9752C" w:rsidRPr="00855793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10 VZP. </w:t>
      </w:r>
    </w:p>
    <w:p w14:paraId="2C347004" w14:textId="24CE02FE" w:rsidR="001E030D" w:rsidRPr="004A1377" w:rsidRDefault="001E030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je povinný vykonať kontrolu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podľa § 7 a § 8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ákona o finančnej kontrole a audite a 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F47F4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125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všeobecného nariadenia, pričom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</w:t>
      </w:r>
      <w:r w:rsidR="00B1318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je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povinný sa na účely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 xml:space="preserve">výkonu kontroly riadiť § 21 </w:t>
      </w:r>
      <w:r w:rsidR="00F461A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ákona o finančnej kontrole a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audite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inými relevantnými právnymi predpismi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inými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dokumentmi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oskytovateľa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696A4B9B" w14:textId="5F8508E8" w:rsidR="00A91910" w:rsidRPr="004A1377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 vykonaní kontroly </w:t>
      </w:r>
      <w:r w:rsidR="000507B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podľa predchádzajúceho odseku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(poskytnutie zálohovej platby) a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(zúčtovanie zálohovej platby) schváli v plnej výške, schváli v zníženej výške</w:t>
      </w:r>
      <w:r w:rsidR="00BF0C2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zamietne</w:t>
      </w:r>
      <w:r w:rsidR="0018321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</w:t>
      </w:r>
      <w:r w:rsidR="0056773A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pozastaví</w:t>
      </w:r>
      <w:r w:rsidR="0018321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pričom 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zo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 platbu (zúčtovanie zálohovej platby)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18321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môže časť nárokovaných výdavkov, u ktorých je potrebné pokračovať v kontrole, </w:t>
      </w:r>
      <w:r w:rsidR="00BF0C2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vyčlen</w:t>
      </w:r>
      <w:r w:rsidR="0018321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iť, a to v lehotách určených Systémom finančného riadenia, resp. vo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18321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ýnimke.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Prijímateľovi vznikne nárok na schválenie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(zúčtovanie zálohovej platby) iba ak podá túto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úplnú a správnu, a to až v momente schválenia súhrnnej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ertifikačným orgánom a len v rozsahu </w:t>
      </w:r>
      <w:r w:rsidR="00D50F07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chválených oprávnených výdavkov zo strany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poskytovateľa a 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ertifikačného orgánu. </w:t>
      </w:r>
    </w:p>
    <w:p w14:paraId="091B7AE3" w14:textId="5FA107E9" w:rsidR="00A91910" w:rsidRPr="004A1377" w:rsidRDefault="00DF6B24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Zálohové platby sa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rijímateľovi poskytujú až do dosiahnutia maximálne 100 % aktuálnej výšky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právnených výdavkov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rojektu. Po poskytnutí poslednej zálohovej platby je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povinný zúčtovať celý zostatok NFP postupom podľa ods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986236">
        <w:rPr>
          <w:rFonts w:ascii="Times New Roman" w:hAnsi="Times New Roman"/>
          <w:b w:val="0"/>
          <w:i w:val="0"/>
          <w:color w:val="000000"/>
          <w:sz w:val="22"/>
          <w:szCs w:val="22"/>
          <w:highlight w:val="yellow"/>
        </w:rPr>
        <w:t>4 až 1</w:t>
      </w:r>
      <w:r w:rsidR="004E0031" w:rsidRPr="00986236">
        <w:rPr>
          <w:rFonts w:ascii="Times New Roman" w:hAnsi="Times New Roman"/>
          <w:b w:val="0"/>
          <w:i w:val="0"/>
          <w:color w:val="000000"/>
          <w:sz w:val="22"/>
          <w:szCs w:val="22"/>
          <w:highlight w:val="yellow"/>
        </w:rPr>
        <w:t>2</w:t>
      </w:r>
      <w:r w:rsidRPr="00986236">
        <w:rPr>
          <w:rFonts w:ascii="Times New Roman" w:hAnsi="Times New Roman"/>
          <w:b w:val="0"/>
          <w:i w:val="0"/>
          <w:color w:val="000000"/>
          <w:sz w:val="22"/>
          <w:szCs w:val="22"/>
          <w:highlight w:val="yellow"/>
        </w:rPr>
        <w:t xml:space="preserve"> tohto čl</w:t>
      </w:r>
      <w:r w:rsidR="00357EB2" w:rsidRPr="00986236">
        <w:rPr>
          <w:rFonts w:ascii="Times New Roman" w:hAnsi="Times New Roman"/>
          <w:b w:val="0"/>
          <w:i w:val="0"/>
          <w:color w:val="000000"/>
          <w:sz w:val="22"/>
          <w:szCs w:val="22"/>
          <w:highlight w:val="yellow"/>
          <w:lang w:val="sk-SK"/>
        </w:rPr>
        <w:t>.</w:t>
      </w:r>
      <w:r w:rsidRPr="00986236">
        <w:rPr>
          <w:rFonts w:ascii="Times New Roman" w:hAnsi="Times New Roman"/>
          <w:b w:val="0"/>
          <w:i w:val="0"/>
          <w:color w:val="000000"/>
          <w:sz w:val="22"/>
          <w:szCs w:val="22"/>
          <w:highlight w:val="yellow"/>
        </w:rPr>
        <w:t xml:space="preserve"> VZP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="004E003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Posledná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(zúčtovanie zálohovej platby) predložená v rámci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ealizácie aktivít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 </w:t>
      </w:r>
      <w:r w:rsidR="00A62C2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plní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funkciu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(s príznakom záverečná). </w:t>
      </w:r>
    </w:p>
    <w:p w14:paraId="21C5C007" w14:textId="0F70DBED" w:rsidR="009C2F7D" w:rsidRPr="004A1377" w:rsidRDefault="009C2F7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(</w:t>
      </w:r>
      <w:r w:rsidR="00E206A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zúčtovanie zálohovej platby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) obsahuje výdavky, ktoré sú predmetom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rebiehajúceho skúmania,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 pozastav</w:t>
      </w:r>
      <w:r w:rsidR="00E206A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í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schvaľovanie </w:t>
      </w:r>
      <w:r w:rsidR="00E206A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dotknutých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výdavkov až do času ukončenia</w:t>
      </w:r>
      <w:r w:rsidR="00836F2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836F2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rebiehajúceho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skúmania. </w:t>
      </w:r>
    </w:p>
    <w:p w14:paraId="1DCB6544" w14:textId="73FAEB59" w:rsidR="00DF1B47" w:rsidRPr="004A1377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Zmluvné strany sa osobitne dohodli, že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môže poskytnúť ďalšiu zálohovú platbu aj bez predchádzajúceho schválenia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 platbu (zúčtovanie zálohovej platby) v súlade s</w:t>
      </w:r>
      <w:r w:rsidR="00986236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="0098623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udelenou výnimkou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</w:t>
      </w:r>
      <w:r w:rsidR="00153C9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Postup podľa predchádzajúcej vety je časovo obmedzený na platnosť </w:t>
      </w:r>
      <w:r w:rsidR="00986236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udelenej</w:t>
      </w:r>
      <w:r w:rsidR="0098623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153C9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ýnimky.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14:paraId="1EF8AF8E" w14:textId="690D070F" w:rsidR="00DF1B47" w:rsidRPr="004A1377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došlo k márnemu uplynutiu pôvodne dohodnutej 9-mesačnej lehoty na zúčtovanie zálohovej platby, ktorá sa 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ýnimkou, resp. Systémom finančného riadenia predĺžila na 12 mesiacov,</w:t>
      </w:r>
      <w:r w:rsidR="001022C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nepovažuje sa to za omeškanie 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 za predpokladu, že splní svoje povinnosti v tejto predĺženej 12-mesačnej lehote. Predĺžením lehoty na 12 mesiacov nie je začiatok plynutia tejto lehoty dotknutý.</w:t>
      </w:r>
    </w:p>
    <w:p w14:paraId="400FEC9F" w14:textId="77777777" w:rsidR="00DF1B47" w:rsidRPr="00E206A6" w:rsidRDefault="00DF1B47" w:rsidP="00CB1050">
      <w:pPr>
        <w:pStyle w:val="Odsekzoznamu1"/>
        <w:spacing w:after="200" w:line="276" w:lineRule="auto"/>
        <w:jc w:val="both"/>
        <w:rPr>
          <w:sz w:val="22"/>
          <w:szCs w:val="22"/>
        </w:rPr>
      </w:pPr>
    </w:p>
    <w:p w14:paraId="7E461B78" w14:textId="77777777" w:rsidR="00A91910" w:rsidRPr="006E2CB0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eastAsia="sk-SK"/>
        </w:rPr>
      </w:pPr>
      <w:r w:rsidRPr="006E2CB0">
        <w:rPr>
          <w:rFonts w:ascii="Times New Roman" w:hAnsi="Times New Roman"/>
          <w:sz w:val="26"/>
          <w:szCs w:val="26"/>
          <w:lang w:eastAsia="sk-SK"/>
        </w:rPr>
        <w:t xml:space="preserve">Článok 17c </w:t>
      </w:r>
      <w:r w:rsidRPr="006E2CB0">
        <w:rPr>
          <w:rFonts w:ascii="Times New Roman" w:hAnsi="Times New Roman"/>
          <w:sz w:val="26"/>
          <w:szCs w:val="26"/>
          <w:lang w:eastAsia="sk-SK"/>
        </w:rPr>
        <w:tab/>
      </w:r>
      <w:r w:rsidRPr="006E2CB0">
        <w:rPr>
          <w:rFonts w:ascii="Times New Roman" w:hAnsi="Times New Roman"/>
          <w:caps/>
          <w:sz w:val="26"/>
          <w:szCs w:val="26"/>
          <w:lang w:eastAsia="sk-SK"/>
        </w:rPr>
        <w:t>PLATBY SYSTÉMOM REFUNDÁCIE</w:t>
      </w:r>
    </w:p>
    <w:p w14:paraId="6298D5F5" w14:textId="738EC517" w:rsidR="00A91910" w:rsidRPr="004A1377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zabezpečí poskytovanie NFP, resp. jeho časti (ďalej aj „platba“) systémom refundácie, pričom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je povinný uhradiť výdavky z vlastných zdrojov a tie mu budú pri jednotlivých platbách refundované v pomernej výške k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elkovým oprávneným výdavkom.</w:t>
      </w:r>
      <w:r w:rsidR="001E030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Podrobnosti a detailné postupy realizácie platieb systémom </w:t>
      </w:r>
      <w:r w:rsidR="00B878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refundácie</w:t>
      </w:r>
      <w:r w:rsidR="001E030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sú upravené v</w:t>
      </w:r>
      <w:r w:rsidR="0063720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 príslušnej </w:t>
      </w:r>
      <w:r w:rsidR="001E030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kapitole Systému finančného riadenia, ktorý sa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1E030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mluvné strany zaväzujú dodržiavať.</w:t>
      </w:r>
    </w:p>
    <w:p w14:paraId="06B404C2" w14:textId="0DA43865" w:rsidR="00A91910" w:rsidRPr="004A1377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zabezpečí poskytnutie platby systémom refundácie výlučne na základe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</w:t>
      </w:r>
      <w:r w:rsidR="00B1318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platbu</w:t>
      </w:r>
      <w:r w:rsidR="00B1318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ktorú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B1318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predkladá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EUR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ačatí realizácie</w:t>
      </w:r>
      <w:r w:rsidR="009950F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aktivít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</w:t>
      </w:r>
      <w:r w:rsidR="00A62C2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po nadobudnutí účinnosti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A62C28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mluvy o poskytnutí NFP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1FEA74ED" w14:textId="79FF6107" w:rsidR="00A91910" w:rsidRPr="004A1377" w:rsidRDefault="00E34019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rámci formulára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 uvedie deklarované výdavky podľa skupiny výdavkov v zmysle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mluvy o poskytnutí </w:t>
      </w:r>
      <w:r w:rsidR="00B878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NFP.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spolu so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iadosťou o platbu predložiť aj účtovné doklady preukazujúc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e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úhradu výdavkov deklarovaných v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platbu 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>a relevantnú podpornú dokumentáciu</w:t>
      </w:r>
      <w:r w:rsidR="00334FF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ktorej minimálny </w:t>
      </w:r>
      <w:r w:rsidR="007D580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</w:t>
      </w:r>
      <w:r w:rsidR="00334FF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ozsah stanovuje Systém riadenia EŠIF a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1B1F4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 </w:t>
      </w:r>
    </w:p>
    <w:p w14:paraId="592D69AE" w14:textId="5089F6AD" w:rsidR="00A91910" w:rsidRPr="004A1377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Prijímateľ je povinný vo všetkých predkladaných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iadostiach o platbu uvádzať výlučne </w:t>
      </w:r>
      <w:r w:rsidR="0097253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deklarované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výdavky, ktoré zodpovedajú podmienkam uvedeným v 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14 VZP. Prijímateľ zodpovedá za pravosť, správnosť a kompletnosť údajov uvedených v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platbu. </w:t>
      </w:r>
      <w:r w:rsidR="0097253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Ak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na základe nepravých alebo nesprávnych údajov uvedených v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dôjde k vyplateniu platby,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je povinný takto vyplatené prostriedky </w:t>
      </w:r>
      <w:r w:rsidR="00E9752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bezodkladne, od kedy sa o tejto skutočnosti dozvedel,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vrátiť</w:t>
      </w:r>
      <w:r w:rsidR="00E9752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; ak sa o skutočnosti, že došlo k vyplateniu platby na základe nesprávnych alebo nepravých údajov dozvie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9752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oskytovateľ, postupuje podľa 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E9752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10 VZP.</w:t>
      </w:r>
    </w:p>
    <w:p w14:paraId="7E0C8E35" w14:textId="011758AD" w:rsidR="006338C6" w:rsidRPr="004A1377" w:rsidRDefault="00B878E5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je povinný vykonať kontrolu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podľa § 7 a § 8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ákona o finančnej kontrole a audite a 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2D7C9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125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všeobecného nariadenia, pričom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</w:t>
      </w:r>
      <w:r w:rsidR="00B1318E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je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povinný sa na účely výkonu kontroly riadiť § 21 </w:t>
      </w:r>
      <w:r w:rsidR="00F461A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ákona o finančnej kontrole a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 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audite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inými relevantnými právnymi predpismi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</w:t>
      </w:r>
      <w:r w:rsidR="009C2F7D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inými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dokumentmi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67ED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oskytovateľa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55508F56" w14:textId="19B3A556" w:rsidR="002145FE" w:rsidRPr="004A1377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 vykonaní kontroly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</w:t>
      </w:r>
      <w:r w:rsidR="004E3D2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podľa predchádzajúceho odseku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schváli v plnej výške, schváli v zníženej výške</w:t>
      </w:r>
      <w:r w:rsidR="00B0411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 zamietne</w:t>
      </w:r>
      <w:r w:rsidR="006338C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alebo </w:t>
      </w:r>
      <w:r w:rsidR="0056773A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pozastaví</w:t>
      </w:r>
      <w:r w:rsidR="006338C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pričom časť nárokovaných výdavkov, u ktorých je potrebné pokračovať v kontrole, môže </w:t>
      </w:r>
      <w:r w:rsidR="00B0411F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vyčlen</w:t>
      </w:r>
      <w:r w:rsidR="006338C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iť</w:t>
      </w:r>
      <w:r w:rsidR="00FC205A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,</w:t>
      </w:r>
      <w:r w:rsidR="006338C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to v lehotách určených Systémom finančného riadenia, resp. vo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6338C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ýnimke.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Prijímateľovi vznikne nárok na vyplatenie platby iba ak podá úplnú a správnu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ži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adosť o platbu, a to až v momente schválenia súhrnnej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ertifikačným orgánom, a to len v rozsahu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s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chválených oprávnených výdavkov zo strany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CE3D33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oskytovateľa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c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ertifikačného orgánu. </w:t>
      </w:r>
    </w:p>
    <w:p w14:paraId="73EEC875" w14:textId="03101D03" w:rsidR="00E206A6" w:rsidRPr="004A1377" w:rsidRDefault="00E206A6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obsahuje výdavky, ktoré sú predmetom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rebiehajúceho skúmania,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pozastaví schvaľovanie dotknutých výdavkov až do času ukončenia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EE344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rebiehajúceho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skúmania. </w:t>
      </w:r>
    </w:p>
    <w:p w14:paraId="48D36461" w14:textId="77777777" w:rsidR="001C6578" w:rsidRDefault="001C6578" w:rsidP="00CB1050">
      <w:pPr>
        <w:pStyle w:val="Odsekzoznamu1"/>
        <w:spacing w:after="200" w:line="276" w:lineRule="auto"/>
        <w:jc w:val="both"/>
        <w:rPr>
          <w:b/>
          <w:bCs/>
          <w:caps/>
        </w:rPr>
      </w:pPr>
    </w:p>
    <w:p w14:paraId="70BEBCEB" w14:textId="2CF4C9E9" w:rsidR="00A91910" w:rsidRPr="006E2CB0" w:rsidRDefault="00A91910" w:rsidP="00CB1050">
      <w:pPr>
        <w:pStyle w:val="Nadpis1"/>
        <w:tabs>
          <w:tab w:val="left" w:pos="1701"/>
        </w:tabs>
        <w:spacing w:before="0" w:after="200" w:line="276" w:lineRule="auto"/>
        <w:ind w:left="1701" w:hanging="1701"/>
        <w:jc w:val="both"/>
        <w:rPr>
          <w:rFonts w:ascii="Times New Roman" w:hAnsi="Times New Roman"/>
          <w:b w:val="0"/>
          <w:bCs w:val="0"/>
          <w:caps/>
          <w:sz w:val="26"/>
          <w:szCs w:val="26"/>
          <w:lang w:eastAsia="sk-SK"/>
        </w:rPr>
      </w:pPr>
      <w:r w:rsidRPr="006E2CB0">
        <w:rPr>
          <w:rFonts w:ascii="Times New Roman" w:hAnsi="Times New Roman"/>
          <w:caps/>
          <w:sz w:val="26"/>
          <w:szCs w:val="26"/>
          <w:lang w:eastAsia="sk-SK"/>
        </w:rPr>
        <w:t xml:space="preserve">Článok 18 </w:t>
      </w:r>
      <w:r w:rsidR="006E2CB0">
        <w:rPr>
          <w:rFonts w:ascii="Times New Roman" w:hAnsi="Times New Roman"/>
          <w:caps/>
          <w:sz w:val="26"/>
          <w:szCs w:val="26"/>
          <w:lang w:eastAsia="sk-SK"/>
        </w:rPr>
        <w:tab/>
      </w:r>
      <w:r w:rsidRPr="006E2CB0">
        <w:rPr>
          <w:rFonts w:ascii="Times New Roman" w:hAnsi="Times New Roman"/>
          <w:caps/>
          <w:sz w:val="26"/>
          <w:szCs w:val="26"/>
          <w:lang w:eastAsia="sk-SK"/>
        </w:rPr>
        <w:t>SPOLOČNÉ USTANOVENIA PRE VŠETKY SYSTÉMY FINANCOVANIA A PRIJÍMATEĽOV</w:t>
      </w:r>
    </w:p>
    <w:p w14:paraId="3E1C530D" w14:textId="7241320B" w:rsidR="00A91910" w:rsidRPr="004A1377" w:rsidRDefault="006E2CB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Deň pripísania platby na účet p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sa považuje za deň čerpania NFP, resp. jeho časti. </w:t>
      </w:r>
    </w:p>
    <w:p w14:paraId="393270CF" w14:textId="259EBCBC" w:rsidR="00A91910" w:rsidRPr="004A1377" w:rsidRDefault="00DC3D58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prijímateľ predkladá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v listinnej forme, v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šetky dokumenty (účtovné doklady, výpisy z účtu, podporná dokumentácia) predklad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ané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spolu so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A9191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iadosťou o platbu sú rovnopisy originálov alebo ich kópie</w:t>
      </w:r>
      <w:r w:rsidR="00870BD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="009A0992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 </w:t>
      </w:r>
    </w:p>
    <w:p w14:paraId="30E9B53F" w14:textId="6FA695F0" w:rsidR="00A91910" w:rsidRPr="004A1377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Jednotlivé systémy financovania sa môžu v rámci jedného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rojektu kombinovať.</w:t>
      </w:r>
      <w:r w:rsidR="002F403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Kombinácia všetkých troch systémov financovania (systém zálohových platieb, systém </w:t>
      </w:r>
      <w:proofErr w:type="spellStart"/>
      <w:r w:rsidR="002F403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2F403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 systém refundácie navzájom) je možná pre všetkých prijímateľov, za dodržania podmienok definovaných vo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2F403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ýnimke, v Systéme finančného riadenia a vo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2F403B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ýzve.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</w:p>
    <w:p w14:paraId="22FE6897" w14:textId="76237A72" w:rsidR="00D93041" w:rsidRPr="004A1377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kombinácie dvoch </w:t>
      </w:r>
      <w:r w:rsidR="003B1B2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alebo viacerých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systémov financovania v rámci jedného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 sa na určenie práv a povinností zmluvných strán súčasne použijú ustanovenia čl. 17a až 17c VZP pre dané systémy financovania a daného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 vo vzájomnej kombinácii.</w:t>
      </w:r>
    </w:p>
    <w:p w14:paraId="05C5E687" w14:textId="7C2398C2" w:rsidR="001B1F4E" w:rsidRPr="004A1377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dôjde ku kombinácií dvoch </w:t>
      </w:r>
      <w:r w:rsidR="003B1B2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alebo viacerých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systémov financovania v rámci jedného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rojektu, jednotlivé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môže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predkladať len na jeden z uvedených systémov, tzn. že napr. výdavky realizované z poskytnutých zálohových platieb nemôže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kombinovať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lastRenderedPageBreak/>
        <w:t>spolu s výdavkami uplatňovanými systémom refundácie</w:t>
      </w:r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a/alebo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 výdavkami uplatňovanými systémom </w:t>
      </w:r>
      <w:proofErr w:type="spellStart"/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</w:t>
      </w:r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rámci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 jednej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platbu. V takom prípade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predkladá samostatne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iadosť o platbu (zúčtovanie zálohovej platby) a samostatne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(priebežná platba – refundácia)</w:t>
      </w:r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a/alebo samostatne žiadosť o platbu (zúčtovanie </w:t>
      </w:r>
      <w:proofErr w:type="spellStart"/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="00FD6506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)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Pri využití troch systémov financovania v rámci jedného projektu zmluvné strany za týmto účelom v rámci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rílohy č. 4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mluvy </w:t>
      </w:r>
      <w:r w:rsidR="002A27CC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 poskytnutí NFP 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identifikovali jednotlivé typy výdavkov (rozpočtových položiek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rojektu) tak, že je jednoznačne určené, ktoré konkrétne výdavky budú deklarované ktorým systémom financovania. Pri kombinácii dvoch alebo viacerých systémov financovania sa predkladá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="00DF6B24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iadosť o platbu (s príznakom záverečná) len za jeden z využitých systémov.</w:t>
      </w:r>
    </w:p>
    <w:p w14:paraId="169ACBFE" w14:textId="174A3F3F" w:rsidR="00A91910" w:rsidRPr="004A1377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Ak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rojekt obsahuje aj výdavky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eoprávnené na financovanie nad rámec finančnej medzery, je tieto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povinný uhrádzať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odávateľom pomerne z každého účtovného dokladu podľa pomeru stanoveného v 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3 ods. 3.1 písm. c) zmluvy, pričom vecne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n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eoprávnené výdavky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hradí z vlastných zdrojov. </w:t>
      </w:r>
    </w:p>
    <w:p w14:paraId="4B90824D" w14:textId="353D4330" w:rsidR="00A91910" w:rsidRPr="004A1377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Poskytovateľ je oprávnený zvýšiť alebo znížiť výšku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 platbu z technických dôvodov na strane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oskytovateľa maximálne 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vo výške 0,01% z maximálnej výšky NFP uvedeného v 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="00E34019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mluve</w:t>
      </w:r>
      <w:r w:rsidR="00B878E5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 poskytnutí NFP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 rámci jednej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i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</w:rPr>
        <w:t>adosti o platbu. Ustanovenie čl.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3 ods. 3.2 zmluvy týmto nie je dotknuté.</w:t>
      </w:r>
    </w:p>
    <w:p w14:paraId="126C7A48" w14:textId="6A0EE29F" w:rsidR="00A91910" w:rsidRPr="004A1377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commentRangeStart w:id="4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Suma </w:t>
      </w:r>
      <w:r w:rsidR="00EC0061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neprevyšujúca 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40 EUR podľa § 33 ods. 2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ákona o príspevku z EŠIF sa uplatní na úhrnnú sumu celkového nevyčerpaného alebo nesprávne zúčtovaného NFP alebo jeho časti z poskytnutých platieb, pričom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oskytovateľ môže tieto čiastkové sumy kumulovať a pri prekročení sumy 40 EUR vymáhať priebežne alebo až pri poslednom zúčtovaní zálohovej platby alebo poskytnutého </w:t>
      </w:r>
      <w:proofErr w:type="spellStart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predfinancovania</w:t>
      </w:r>
      <w:proofErr w:type="spellEnd"/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.   </w:t>
      </w:r>
      <w:commentRangeEnd w:id="4"/>
      <w:r w:rsidRPr="004A1377">
        <w:rPr>
          <w:rFonts w:ascii="Times New Roman" w:hAnsi="Times New Roman"/>
          <w:b w:val="0"/>
          <w:i w:val="0"/>
          <w:color w:val="000000"/>
        </w:rPr>
        <w:commentReference w:id="4"/>
      </w:r>
    </w:p>
    <w:p w14:paraId="0625583E" w14:textId="61D5DFC4" w:rsidR="00A9191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Zmluvné strany sa dohodli, že podrobnejšie postupy a podmienky, vrátane práv a povinností Zmluvných strán týkajúce sa systémov financovania (platieb) sú určené Systémom finančného riadenia, ktorý je pre </w:t>
      </w:r>
      <w:r w:rsidR="006E2CB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mluvné strany záväzný, ako to vyplýva aj z 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3 ods. 3.3 písm. d) </w:t>
      </w:r>
      <w:r w:rsidR="00CB105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mluvy. Tento dokument zároveň slúži pre potreby výkladu príslušných ustanovení </w:t>
      </w:r>
      <w:r w:rsidR="00CB105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mluvy o poskytnutí NFP, resp. práv a povinností </w:t>
      </w:r>
      <w:r w:rsidR="00CB105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mluvných strán.</w:t>
      </w:r>
    </w:p>
    <w:p w14:paraId="40E04881" w14:textId="59C866D8" w:rsidR="00A9191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Na účely tejto </w:t>
      </w:r>
      <w:r w:rsidR="00CB105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z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mluvy sa za úhradu účtovných dokladov </w:t>
      </w:r>
      <w:r w:rsidR="00CB1050"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4A1377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odávateľovi môže považovať aj:</w:t>
      </w:r>
    </w:p>
    <w:p w14:paraId="774A47DD" w14:textId="2AB07512" w:rsidR="00A91910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úhrada účtovných dokladov postupníkovi, v prípade, že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odávateľ postúpil pohľadávku voči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rijímateľovi tretej osobe v súlade s § 524 až § 530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o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bčianskeho zákonníka, </w:t>
      </w:r>
    </w:p>
    <w:p w14:paraId="4E87ED02" w14:textId="77777777" w:rsidR="004A1377" w:rsidRPr="004A1377" w:rsidRDefault="004A1377" w:rsidP="004A1377">
      <w:pPr>
        <w:rPr>
          <w:lang w:val="x-none" w:eastAsia="x-none"/>
        </w:rPr>
      </w:pPr>
    </w:p>
    <w:p w14:paraId="77B3E2AA" w14:textId="71E08FE7" w:rsidR="00510D6A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úhrada záložnému veriteľovi na základe výkonu záložného práva na pohľadávku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odávateľa voči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rijímateľovi v súlade s § 151a až § 151me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o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bčianskeho zákonníka, </w:t>
      </w:r>
    </w:p>
    <w:p w14:paraId="4B0B9DDA" w14:textId="729F5A5F" w:rsidR="00637205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úhrada oprávnenej osobe na základe výkonu rozhodnutia voči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>odávateľovi v zmysle všeobecne záväzných právnych predpisov SR,</w:t>
      </w:r>
    </w:p>
    <w:p w14:paraId="7CA9B9E7" w14:textId="53EA4326" w:rsidR="00D93041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započítanie pohľadávok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odávateľa a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rijímateľa v súlade s § 580 až § 581 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o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bčianskeho zákonníka, resp. § 358 až § 364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o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>bchodného  zákonníka</w:t>
      </w:r>
      <w:r w:rsidR="00D93041" w:rsidRPr="00CB1050">
        <w:rPr>
          <w:rFonts w:ascii="Times New Roman" w:hAnsi="Times New Roman"/>
          <w:b w:val="0"/>
          <w:color w:val="000000"/>
          <w:sz w:val="22"/>
          <w:szCs w:val="22"/>
        </w:rPr>
        <w:t>,</w:t>
      </w:r>
    </w:p>
    <w:p w14:paraId="17B3850C" w14:textId="46C0A641" w:rsidR="00637205" w:rsidRDefault="00D93041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color w:val="000000"/>
        </w:rPr>
      </w:pP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ak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rijímateľ nemôže splniť svoj záväzok veriteľovi, pretože veriteľ je neprítomný alebo je v omeškaní alebo ak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 xml:space="preserve">rijímateľ má odôvodnené pochybnosti, kto je veriteľom, alebo veriteľa 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lastRenderedPageBreak/>
        <w:t xml:space="preserve">nepozná, nastávajú účinky splnenia záväzku, ak jeho predmet </w:t>
      </w:r>
      <w:r w:rsidR="00CB1050" w:rsidRPr="00CB1050">
        <w:rPr>
          <w:rFonts w:ascii="Times New Roman" w:hAnsi="Times New Roman"/>
          <w:b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color w:val="000000"/>
          <w:sz w:val="22"/>
          <w:szCs w:val="22"/>
        </w:rPr>
        <w:t>rijímateľ uloží do notárskej úschovy na účely splnenia záväzku. Vynaložené potrebné náklady s tým spojené znáša veriteľ</w:t>
      </w:r>
      <w:r w:rsidR="00A91910" w:rsidRPr="00510D6A">
        <w:rPr>
          <w:rFonts w:ascii="Times New Roman" w:hAnsi="Times New Roman"/>
          <w:color w:val="000000"/>
        </w:rPr>
        <w:t>.</w:t>
      </w:r>
    </w:p>
    <w:p w14:paraId="7661140F" w14:textId="270AA7CF" w:rsidR="00A91910" w:rsidRPr="00CB105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prípade, že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odávateľ postúpil pohľadávku voči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rijímateľovi tretej osobe v súlade s § 524 až § 530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o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bčianskeho zákonníka,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v rámci dokumentácie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iadosti o platbu predloží aj dokumenty  preukazujúce postúpenie pohľadávky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odávateľa na postupníka.</w:t>
      </w:r>
    </w:p>
    <w:p w14:paraId="3A4BEEC4" w14:textId="17D94313" w:rsidR="00A91910" w:rsidRPr="00CB105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úhrady záväzku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záložnému veriteľovi pri výkone záložného práva na pohľadávku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d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odávateľa voči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rijímateľovi v súlade s § 151a až § 151me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o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bčianskeho zákonníka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 v rámci dokumentácie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ž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 o platbu predloží aj dokumenty preukazujúce vznik záložného práva.</w:t>
      </w:r>
    </w:p>
    <w:p w14:paraId="0E13B291" w14:textId="07F5A238" w:rsidR="00A91910" w:rsidRPr="00CB105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úhrady záväzku </w:t>
      </w:r>
      <w:r w:rsidR="00CB1050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p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rijímateľa oprávnenej osobe na základe výkonu rozhodnutia voči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odávateľovi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 zmysle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rávnych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predpisov SR Prijímateľ v rámci dokumentácie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 platbu predloží aj dokumenty preukazujúce výkon rozhodnutia (napr. exekučný príkaz, vykonateľné rozhodnutie).</w:t>
      </w:r>
    </w:p>
    <w:p w14:paraId="28F10768" w14:textId="13B5ABF0" w:rsidR="00F43166" w:rsidRPr="00CB1050" w:rsidRDefault="00F43166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 prípade úhrady záväzku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oprávnenej osobe (veriteľovi) na základe uloženia predmetu záväzku medzi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rijímateľom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 veriteľom do notárskej úschovy v zmysle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rávnych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predpisov SR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 rámci dokumentácie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 platbu predloží </w:t>
      </w:r>
      <w:r w:rsidR="00B83EB9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notársku zápisnicu 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a dokumenty preukazujúce vykonanie uloženia predmetu záväzku do notárskej úschovy</w:t>
      </w:r>
      <w:r w:rsidR="00B83EB9"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.</w:t>
      </w:r>
    </w:p>
    <w:p w14:paraId="7AA68C5E" w14:textId="5CAEF581" w:rsidR="00A91910" w:rsidRPr="00CB105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V prípade započítania pohľadávok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odávateľa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a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 súlade s § 580 až § 581 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bčianskeho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zákonníka, resp. § 358 až § 364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bchodného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zákonníka,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v rámci dokumentácie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iadosti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o platbu predloží doklady preukazujúce započítanie pohľadávok.</w:t>
      </w:r>
    </w:p>
    <w:p w14:paraId="303B2E19" w14:textId="1C8B9C09" w:rsidR="00107570" w:rsidRPr="00CB1050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Ustanovenia tohto čl</w:t>
      </w:r>
      <w:r w:rsidR="00357EB2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sa nevzťahujú na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rijímateľa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, ktorý by sa pri aplikácii niektorého z vyššie uvedených postupov dostal do rozporu s </w:t>
      </w:r>
      <w:r w:rsidR="00CB1050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proofErr w:type="spellStart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>rávnymi</w:t>
      </w:r>
      <w:proofErr w:type="spellEnd"/>
      <w:r w:rsidRPr="00CB1050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predpismi SR (napr. so zákonom o rozpočtových pravidlách a pod.). Ustanovenia tohto článku sa zároveň nevzťahujú ani na pohľadávku podľa čl. 7 ods. 3 VZP.</w:t>
      </w:r>
      <w:r w:rsidRPr="00CB1050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</w:rPr>
        <w:t xml:space="preserve"> </w:t>
      </w:r>
    </w:p>
    <w:sectPr w:rsidR="00107570" w:rsidRPr="00CB1050" w:rsidSect="00D72FF2"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69643EA9" w14:textId="77777777" w:rsidR="006E2CB0" w:rsidRPr="00A7705C" w:rsidRDefault="006E2CB0">
      <w:pPr>
        <w:pStyle w:val="Textkomentra"/>
        <w:rPr>
          <w:b/>
          <w:u w:val="single"/>
          <w:lang w:val="sk-SK"/>
        </w:rPr>
      </w:pPr>
      <w:r w:rsidRPr="00FD086A">
        <w:rPr>
          <w:rStyle w:val="Odkaznakomentr"/>
        </w:rPr>
        <w:annotationRef/>
      </w:r>
      <w:r w:rsidRPr="00FD086A">
        <w:rPr>
          <w:lang w:val="sk-SK"/>
        </w:rPr>
        <w:t xml:space="preserve">Predmetná zmena terminológie vyplynula zo zmeny označovania účtov, a to „mimorozpočtový účet“ na „osobitný účet“. </w:t>
      </w:r>
      <w:r w:rsidRPr="00FD086A">
        <w:rPr>
          <w:b/>
          <w:u w:val="single"/>
          <w:lang w:val="sk-SK"/>
        </w:rPr>
        <w:t>Upozorňujeme</w:t>
      </w:r>
      <w:r w:rsidRPr="00A7705C">
        <w:rPr>
          <w:b/>
          <w:u w:val="single"/>
          <w:lang w:val="sk-SK"/>
        </w:rPr>
        <w:t xml:space="preserve">, že je potrebné rozlišovať medzi pojmom „osobitný účet“ podľa tohto čl. VZP a „osobitný účet na Projekt“ v zmysle čl. 16 ods. 5 a 6. </w:t>
      </w:r>
    </w:p>
  </w:comment>
  <w:comment w:id="1" w:author="Autor" w:initials="A">
    <w:p w14:paraId="5E4E84E1" w14:textId="2816A092" w:rsidR="006E2CB0" w:rsidRDefault="006E2CB0">
      <w:pPr>
        <w:pStyle w:val="Textkomentra"/>
      </w:pPr>
      <w:r>
        <w:rPr>
          <w:rStyle w:val="Odkaznakomentr"/>
        </w:rPr>
        <w:annotationRef/>
      </w:r>
      <w:r w:rsidRPr="003A5DED">
        <w:rPr>
          <w:lang w:val="sk-SK"/>
        </w:rPr>
        <w:t>Je na rozhodnutí Poskytovateľa, či bude aplikovať odvod výnosov. V prípade, ak sa Poskytovateľ rozhodne uplatniť odvod výnosov, ods. 5 bude v zmluve o NFP uvedený. V opačnom prípade je potrebné ods. 5 odstrániť zo zmluvy o poskytnutí NFP a zároveň je potrebné adekvátne upraviť aj čl. 10 ods. 1 písmeno i) a ods. 2.</w:t>
      </w:r>
    </w:p>
  </w:comment>
  <w:comment w:id="2" w:author="Autor" w:initials="A">
    <w:p w14:paraId="283EFDE6" w14:textId="77777777" w:rsidR="006E2CB0" w:rsidRDefault="006E2CB0" w:rsidP="007B6D4E">
      <w:pPr>
        <w:pStyle w:val="Textkomentra"/>
      </w:pPr>
      <w:r>
        <w:rPr>
          <w:rStyle w:val="Odkaznakomentr"/>
        </w:rPr>
        <w:annotationRef/>
      </w:r>
      <w:r>
        <w:t>Ide o sankciu za to, že Prijímateľ nevrátil nezúčtovanú sumu dobrovoľne. Je na RO/SO, či v takom prípade uzatvorí dodatok k Zmluve</w:t>
      </w:r>
      <w:r>
        <w:rPr>
          <w:lang w:val="sk-SK"/>
        </w:rPr>
        <w:t xml:space="preserve"> o poskytnutí NFP</w:t>
      </w:r>
      <w:r>
        <w:t>. Z pohľadu CO nie je uzatvorenie dodatku nevyhnutné, keďže zmluva samotná predpokladá zníženie NFP o sumu nezúčtovaného rozdielu, tzn. k zníženiu NFP dôjde priamo zo Zmluvy</w:t>
      </w:r>
      <w:r>
        <w:rPr>
          <w:lang w:val="sk-SK"/>
        </w:rPr>
        <w:t xml:space="preserve"> o poskytnutí NFP</w:t>
      </w:r>
      <w:r>
        <w:t xml:space="preserve">.  </w:t>
      </w:r>
    </w:p>
  </w:comment>
  <w:comment w:id="3" w:author="Autor" w:initials="A">
    <w:p w14:paraId="139F2A36" w14:textId="77777777" w:rsidR="006E2CB0" w:rsidRDefault="006E2CB0" w:rsidP="007B6D4E">
      <w:pPr>
        <w:pStyle w:val="Textkomentra"/>
      </w:pPr>
      <w:r>
        <w:rPr>
          <w:rStyle w:val="Odkaznakomentr"/>
        </w:rPr>
        <w:annotationRef/>
      </w:r>
      <w:r>
        <w:t>Ide o sankciu za to, že prijímateľ nevrátil nezúčtovanú sumu dobrovoľne. V tomto prípade je potrebné uzatvoriť dodatok k Zmluve o </w:t>
      </w:r>
      <w:r>
        <w:rPr>
          <w:lang w:val="sk-SK"/>
        </w:rPr>
        <w:t xml:space="preserve">poskytnutí </w:t>
      </w:r>
      <w:r>
        <w:t>NFP, lebo zníženie, na rozdiel od predchádzajúceho odseku nevyplýva automaticky zo Zmluvy</w:t>
      </w:r>
      <w:r>
        <w:rPr>
          <w:lang w:val="sk-SK"/>
        </w:rPr>
        <w:t xml:space="preserve"> o poskytnutí NFP</w:t>
      </w:r>
      <w:r>
        <w:t xml:space="preserve">. </w:t>
      </w:r>
    </w:p>
  </w:comment>
  <w:comment w:id="4" w:author="Autor" w:initials="A">
    <w:p w14:paraId="14639028" w14:textId="77777777" w:rsidR="006E2CB0" w:rsidRDefault="006E2CB0" w:rsidP="00A91910">
      <w:pPr>
        <w:pStyle w:val="Textkomentra"/>
      </w:pPr>
      <w:r>
        <w:rPr>
          <w:rStyle w:val="Odkaznakomentr"/>
        </w:rPr>
        <w:annotationRef/>
      </w:r>
      <w:r>
        <w:t xml:space="preserve">Poskytovateľ sa môže rozhodnúť </w:t>
      </w:r>
      <w:r>
        <w:rPr>
          <w:lang w:eastAsia="en-US"/>
        </w:rPr>
        <w:t>podľa charakteru projektu alebo typu prijímateľa</w:t>
      </w:r>
      <w:r>
        <w:t xml:space="preserve">, či priebežne kumuluje nezúčtovaný NFP vrátane súm do 40 EUR a súčasne ho aj priebežne vymáha v momente prekročenia sumy 40 EUR alebo uplatní a vymáha úhrnnú sumu takto nezúčtovaného NFP po prekročení sumy 40 EUR až pri poslednom zúčtovaní zálohovej platby.  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643EA9" w15:done="0"/>
  <w15:commentEx w15:paraId="5E4E84E1" w15:done="0"/>
  <w15:commentEx w15:paraId="283EFDE6" w15:done="0"/>
  <w15:commentEx w15:paraId="139F2A36" w15:done="0"/>
  <w15:commentEx w15:paraId="146390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643EA9" w16cid:durableId="1FFB129F"/>
  <w16cid:commentId w16cid:paraId="5E4E84E1" w16cid:durableId="2387053B"/>
  <w16cid:commentId w16cid:paraId="283EFDE6" w16cid:durableId="1FFB12A1"/>
  <w16cid:commentId w16cid:paraId="139F2A36" w16cid:durableId="1FFB12A2"/>
  <w16cid:commentId w16cid:paraId="14639028" w16cid:durableId="1FFB12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BB79" w14:textId="77777777" w:rsidR="00506D89" w:rsidRDefault="00506D89" w:rsidP="00107570">
      <w:pPr>
        <w:spacing w:after="0" w:line="240" w:lineRule="auto"/>
      </w:pPr>
      <w:r>
        <w:separator/>
      </w:r>
    </w:p>
  </w:endnote>
  <w:endnote w:type="continuationSeparator" w:id="0">
    <w:p w14:paraId="75BF2ED5" w14:textId="77777777" w:rsidR="00506D89" w:rsidRDefault="00506D89" w:rsidP="00107570">
      <w:pPr>
        <w:spacing w:after="0" w:line="240" w:lineRule="auto"/>
      </w:pPr>
      <w:r>
        <w:continuationSeparator/>
      </w:r>
    </w:p>
  </w:endnote>
  <w:endnote w:type="continuationNotice" w:id="1">
    <w:p w14:paraId="0C934378" w14:textId="77777777" w:rsidR="00506D89" w:rsidRDefault="00506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9ECB" w14:textId="64DE8BC7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986236">
      <w:rPr>
        <w:b/>
        <w:bCs/>
        <w:noProof/>
        <w:sz w:val="22"/>
      </w:rPr>
      <w:t>6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986236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32C39BC7" w14:textId="77777777" w:rsidR="006E2CB0" w:rsidRPr="009E45B1" w:rsidRDefault="006E2CB0" w:rsidP="009E4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D19E" w14:textId="2B93881A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986236">
      <w:rPr>
        <w:b/>
        <w:bCs/>
        <w:noProof/>
        <w:sz w:val="22"/>
      </w:rPr>
      <w:t>1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986236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572C494D" w14:textId="77777777" w:rsidR="006E2CB0" w:rsidRDefault="006E2C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1E8F" w14:textId="77777777" w:rsidR="00506D89" w:rsidRDefault="00506D89" w:rsidP="00107570">
      <w:pPr>
        <w:spacing w:after="0" w:line="240" w:lineRule="auto"/>
      </w:pPr>
      <w:r>
        <w:separator/>
      </w:r>
    </w:p>
  </w:footnote>
  <w:footnote w:type="continuationSeparator" w:id="0">
    <w:p w14:paraId="696FB6A2" w14:textId="77777777" w:rsidR="00506D89" w:rsidRDefault="00506D89" w:rsidP="00107570">
      <w:pPr>
        <w:spacing w:after="0" w:line="240" w:lineRule="auto"/>
      </w:pPr>
      <w:r>
        <w:continuationSeparator/>
      </w:r>
    </w:p>
  </w:footnote>
  <w:footnote w:type="continuationNotice" w:id="1">
    <w:p w14:paraId="08270A94" w14:textId="77777777" w:rsidR="00506D89" w:rsidRDefault="00506D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152"/>
    <w:multiLevelType w:val="hybridMultilevel"/>
    <w:tmpl w:val="6AEA3556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0736604E"/>
    <w:multiLevelType w:val="multilevel"/>
    <w:tmpl w:val="692E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E2C2E"/>
    <w:multiLevelType w:val="hybridMultilevel"/>
    <w:tmpl w:val="24B49A6A"/>
    <w:lvl w:ilvl="0" w:tplc="E520B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3894"/>
    <w:multiLevelType w:val="hybridMultilevel"/>
    <w:tmpl w:val="B78C10FA"/>
    <w:lvl w:ilvl="0" w:tplc="1C28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77DB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CA376E"/>
    <w:multiLevelType w:val="hybridMultilevel"/>
    <w:tmpl w:val="8D2EA1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D0A26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1C0AE74">
      <w:start w:val="1"/>
      <w:numFmt w:val="lowerRoman"/>
      <w:lvlText w:val="(%3)"/>
      <w:lvlJc w:val="left"/>
      <w:pPr>
        <w:ind w:left="3030" w:hanging="69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CE4599"/>
    <w:multiLevelType w:val="hybridMultilevel"/>
    <w:tmpl w:val="53ECF96E"/>
    <w:lvl w:ilvl="0" w:tplc="1AC2C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C7A6D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253D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AC649DC"/>
    <w:multiLevelType w:val="multilevel"/>
    <w:tmpl w:val="36D045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10" w15:restartNumberingAfterBreak="0">
    <w:nsid w:val="1C3427CA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D685486"/>
    <w:multiLevelType w:val="hybridMultilevel"/>
    <w:tmpl w:val="EC9A8B58"/>
    <w:lvl w:ilvl="0" w:tplc="9E86E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D127B1"/>
    <w:multiLevelType w:val="hybridMultilevel"/>
    <w:tmpl w:val="83C6DA88"/>
    <w:lvl w:ilvl="0" w:tplc="BD46A6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F13637"/>
    <w:multiLevelType w:val="multilevel"/>
    <w:tmpl w:val="A88483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687324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D61BB3"/>
    <w:multiLevelType w:val="hybridMultilevel"/>
    <w:tmpl w:val="AE045AEC"/>
    <w:lvl w:ilvl="0" w:tplc="AA60C60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9E6AC5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C464142"/>
    <w:multiLevelType w:val="hybridMultilevel"/>
    <w:tmpl w:val="8B4443D2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2D073217"/>
    <w:multiLevelType w:val="hybridMultilevel"/>
    <w:tmpl w:val="135856B4"/>
    <w:lvl w:ilvl="0" w:tplc="1F0E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0E45B10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869F0"/>
    <w:multiLevelType w:val="hybridMultilevel"/>
    <w:tmpl w:val="BF2A3BA4"/>
    <w:lvl w:ilvl="0" w:tplc="5BA68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D2E4E"/>
    <w:multiLevelType w:val="hybridMultilevel"/>
    <w:tmpl w:val="536A6EC8"/>
    <w:lvl w:ilvl="0" w:tplc="377609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7E050A"/>
    <w:multiLevelType w:val="hybridMultilevel"/>
    <w:tmpl w:val="3FD68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720ED"/>
    <w:multiLevelType w:val="hybridMultilevel"/>
    <w:tmpl w:val="AA786EE0"/>
    <w:lvl w:ilvl="0" w:tplc="C7A6D8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0F52FE"/>
    <w:multiLevelType w:val="multilevel"/>
    <w:tmpl w:val="43881A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6FA250A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DA72BE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113284"/>
    <w:multiLevelType w:val="hybridMultilevel"/>
    <w:tmpl w:val="40CE6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500A649D"/>
    <w:multiLevelType w:val="hybridMultilevel"/>
    <w:tmpl w:val="B052B818"/>
    <w:lvl w:ilvl="0" w:tplc="EFBC9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076D64"/>
    <w:multiLevelType w:val="hybridMultilevel"/>
    <w:tmpl w:val="E5429ECE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5A7E4AAA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2" w15:restartNumberingAfterBreak="0">
    <w:nsid w:val="5AB809F2"/>
    <w:multiLevelType w:val="hybridMultilevel"/>
    <w:tmpl w:val="E9F60096"/>
    <w:lvl w:ilvl="0" w:tplc="FD6CC19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A29F82">
      <w:start w:val="1"/>
      <w:numFmt w:val="decimal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5CA45C78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4" w15:restartNumberingAfterBreak="0">
    <w:nsid w:val="5E6A4C7C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5F3B2EE5"/>
    <w:multiLevelType w:val="hybridMultilevel"/>
    <w:tmpl w:val="6FA6A7D2"/>
    <w:lvl w:ilvl="0" w:tplc="0405001B">
      <w:start w:val="1"/>
      <w:numFmt w:val="lowerRoman"/>
      <w:lvlText w:val="%1."/>
      <w:lvlJc w:val="righ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5FAA44D8"/>
    <w:multiLevelType w:val="hybridMultilevel"/>
    <w:tmpl w:val="112C43A0"/>
    <w:lvl w:ilvl="0" w:tplc="674C30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7458B8"/>
    <w:multiLevelType w:val="hybridMultilevel"/>
    <w:tmpl w:val="3B6AAEC0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63" w15:restartNumberingAfterBreak="0">
    <w:nsid w:val="708E34E8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674021F"/>
    <w:multiLevelType w:val="hybridMultilevel"/>
    <w:tmpl w:val="4C466B80"/>
    <w:lvl w:ilvl="0" w:tplc="FA3A1E7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6239E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945B47"/>
    <w:multiLevelType w:val="hybridMultilevel"/>
    <w:tmpl w:val="66703FC6"/>
    <w:lvl w:ilvl="0" w:tplc="FE20A65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D62020">
      <w:numFmt w:val="none"/>
      <w:lvlText w:val=""/>
      <w:lvlJc w:val="left"/>
      <w:pPr>
        <w:tabs>
          <w:tab w:val="num" w:pos="360"/>
        </w:tabs>
      </w:pPr>
    </w:lvl>
    <w:lvl w:ilvl="2" w:tplc="F662A2DA">
      <w:numFmt w:val="none"/>
      <w:lvlText w:val=""/>
      <w:lvlJc w:val="left"/>
      <w:pPr>
        <w:tabs>
          <w:tab w:val="num" w:pos="360"/>
        </w:tabs>
      </w:pPr>
    </w:lvl>
    <w:lvl w:ilvl="3" w:tplc="0EB242D2">
      <w:numFmt w:val="none"/>
      <w:lvlText w:val=""/>
      <w:lvlJc w:val="left"/>
      <w:pPr>
        <w:tabs>
          <w:tab w:val="num" w:pos="360"/>
        </w:tabs>
      </w:pPr>
    </w:lvl>
    <w:lvl w:ilvl="4" w:tplc="F1063A9A">
      <w:numFmt w:val="none"/>
      <w:lvlText w:val=""/>
      <w:lvlJc w:val="left"/>
      <w:pPr>
        <w:tabs>
          <w:tab w:val="num" w:pos="360"/>
        </w:tabs>
      </w:pPr>
    </w:lvl>
    <w:lvl w:ilvl="5" w:tplc="83943CD0">
      <w:numFmt w:val="none"/>
      <w:lvlText w:val=""/>
      <w:lvlJc w:val="left"/>
      <w:pPr>
        <w:tabs>
          <w:tab w:val="num" w:pos="360"/>
        </w:tabs>
      </w:pPr>
    </w:lvl>
    <w:lvl w:ilvl="6" w:tplc="818412AE">
      <w:numFmt w:val="none"/>
      <w:lvlText w:val=""/>
      <w:lvlJc w:val="left"/>
      <w:pPr>
        <w:tabs>
          <w:tab w:val="num" w:pos="360"/>
        </w:tabs>
      </w:pPr>
    </w:lvl>
    <w:lvl w:ilvl="7" w:tplc="F9F4B142">
      <w:numFmt w:val="none"/>
      <w:lvlText w:val=""/>
      <w:lvlJc w:val="left"/>
      <w:pPr>
        <w:tabs>
          <w:tab w:val="num" w:pos="360"/>
        </w:tabs>
      </w:pPr>
    </w:lvl>
    <w:lvl w:ilvl="8" w:tplc="C2DAE1B8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7BA07258"/>
    <w:multiLevelType w:val="hybridMultilevel"/>
    <w:tmpl w:val="08620B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2" w15:restartNumberingAfterBreak="0">
    <w:nsid w:val="7CC02D91"/>
    <w:multiLevelType w:val="hybridMultilevel"/>
    <w:tmpl w:val="F8929F42"/>
    <w:lvl w:ilvl="0" w:tplc="A5B212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0"/>
  </w:num>
  <w:num w:numId="4">
    <w:abstractNumId w:val="63"/>
  </w:num>
  <w:num w:numId="5">
    <w:abstractNumId w:val="39"/>
  </w:num>
  <w:num w:numId="6">
    <w:abstractNumId w:val="1"/>
  </w:num>
  <w:num w:numId="7">
    <w:abstractNumId w:val="54"/>
  </w:num>
  <w:num w:numId="8">
    <w:abstractNumId w:val="58"/>
  </w:num>
  <w:num w:numId="9">
    <w:abstractNumId w:val="70"/>
  </w:num>
  <w:num w:numId="10">
    <w:abstractNumId w:val="49"/>
  </w:num>
  <w:num w:numId="11">
    <w:abstractNumId w:val="7"/>
  </w:num>
  <w:num w:numId="12">
    <w:abstractNumId w:val="14"/>
  </w:num>
  <w:num w:numId="13">
    <w:abstractNumId w:val="23"/>
  </w:num>
  <w:num w:numId="14">
    <w:abstractNumId w:val="0"/>
  </w:num>
  <w:num w:numId="15">
    <w:abstractNumId w:val="61"/>
  </w:num>
  <w:num w:numId="16">
    <w:abstractNumId w:val="52"/>
  </w:num>
  <w:num w:numId="17">
    <w:abstractNumId w:val="71"/>
  </w:num>
  <w:num w:numId="18">
    <w:abstractNumId w:val="69"/>
  </w:num>
  <w:num w:numId="19">
    <w:abstractNumId w:val="47"/>
  </w:num>
  <w:num w:numId="20">
    <w:abstractNumId w:val="3"/>
  </w:num>
  <w:num w:numId="21">
    <w:abstractNumId w:val="35"/>
  </w:num>
  <w:num w:numId="22">
    <w:abstractNumId w:val="43"/>
  </w:num>
  <w:num w:numId="23">
    <w:abstractNumId w:val="24"/>
  </w:num>
  <w:num w:numId="24">
    <w:abstractNumId w:val="40"/>
  </w:num>
  <w:num w:numId="25">
    <w:abstractNumId w:val="18"/>
  </w:num>
  <w:num w:numId="26">
    <w:abstractNumId w:val="27"/>
  </w:num>
  <w:num w:numId="27">
    <w:abstractNumId w:val="12"/>
  </w:num>
  <w:num w:numId="28">
    <w:abstractNumId w:val="65"/>
  </w:num>
  <w:num w:numId="29">
    <w:abstractNumId w:val="72"/>
  </w:num>
  <w:num w:numId="30">
    <w:abstractNumId w:val="5"/>
  </w:num>
  <w:num w:numId="31">
    <w:abstractNumId w:val="15"/>
  </w:num>
  <w:num w:numId="32">
    <w:abstractNumId w:val="57"/>
  </w:num>
  <w:num w:numId="33">
    <w:abstractNumId w:val="33"/>
  </w:num>
  <w:num w:numId="34">
    <w:abstractNumId w:val="55"/>
  </w:num>
  <w:num w:numId="35">
    <w:abstractNumId w:val="64"/>
  </w:num>
  <w:num w:numId="36">
    <w:abstractNumId w:val="56"/>
  </w:num>
  <w:num w:numId="37">
    <w:abstractNumId w:val="62"/>
  </w:num>
  <w:num w:numId="38">
    <w:abstractNumId w:val="19"/>
  </w:num>
  <w:num w:numId="39">
    <w:abstractNumId w:val="34"/>
  </w:num>
  <w:num w:numId="40">
    <w:abstractNumId w:val="44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6"/>
  </w:num>
  <w:num w:numId="48">
    <w:abstractNumId w:val="11"/>
  </w:num>
  <w:num w:numId="49">
    <w:abstractNumId w:val="38"/>
  </w:num>
  <w:num w:numId="50">
    <w:abstractNumId w:val="68"/>
  </w:num>
  <w:num w:numId="51">
    <w:abstractNumId w:val="45"/>
  </w:num>
  <w:num w:numId="52">
    <w:abstractNumId w:val="60"/>
  </w:num>
  <w:num w:numId="53">
    <w:abstractNumId w:val="59"/>
  </w:num>
  <w:num w:numId="54">
    <w:abstractNumId w:val="25"/>
  </w:num>
  <w:num w:numId="55">
    <w:abstractNumId w:val="50"/>
  </w:num>
  <w:num w:numId="56">
    <w:abstractNumId w:val="22"/>
  </w:num>
  <w:num w:numId="57">
    <w:abstractNumId w:val="26"/>
  </w:num>
  <w:num w:numId="58">
    <w:abstractNumId w:val="42"/>
  </w:num>
  <w:num w:numId="59">
    <w:abstractNumId w:val="67"/>
  </w:num>
  <w:num w:numId="60">
    <w:abstractNumId w:val="16"/>
  </w:num>
  <w:num w:numId="61">
    <w:abstractNumId w:val="2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</w:num>
  <w:num w:numId="64">
    <w:abstractNumId w:val="32"/>
  </w:num>
  <w:num w:numId="65">
    <w:abstractNumId w:val="4"/>
  </w:num>
  <w:num w:numId="66">
    <w:abstractNumId w:val="46"/>
  </w:num>
  <w:num w:numId="67">
    <w:abstractNumId w:val="17"/>
  </w:num>
  <w:num w:numId="68">
    <w:abstractNumId w:val="48"/>
  </w:num>
  <w:num w:numId="69">
    <w:abstractNumId w:val="30"/>
  </w:num>
  <w:num w:numId="70">
    <w:abstractNumId w:val="31"/>
  </w:num>
  <w:num w:numId="71">
    <w:abstractNumId w:val="20"/>
  </w:num>
  <w:num w:numId="72">
    <w:abstractNumId w:val="29"/>
  </w:num>
  <w:num w:numId="73">
    <w:abstractNumId w:val="66"/>
  </w:num>
  <w:num w:numId="74">
    <w:abstractNumId w:val="41"/>
  </w:num>
  <w:num w:numId="75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0"/>
    <w:rsid w:val="00006712"/>
    <w:rsid w:val="000121B7"/>
    <w:rsid w:val="000125B9"/>
    <w:rsid w:val="000135C4"/>
    <w:rsid w:val="00030D35"/>
    <w:rsid w:val="00030F01"/>
    <w:rsid w:val="00040BB7"/>
    <w:rsid w:val="00044FBC"/>
    <w:rsid w:val="000507B2"/>
    <w:rsid w:val="000518F7"/>
    <w:rsid w:val="000526EB"/>
    <w:rsid w:val="00054C0D"/>
    <w:rsid w:val="000673CD"/>
    <w:rsid w:val="0007015E"/>
    <w:rsid w:val="00073A3B"/>
    <w:rsid w:val="00074079"/>
    <w:rsid w:val="00076E2F"/>
    <w:rsid w:val="000777AD"/>
    <w:rsid w:val="00084FE2"/>
    <w:rsid w:val="00087569"/>
    <w:rsid w:val="00090305"/>
    <w:rsid w:val="00093490"/>
    <w:rsid w:val="00097AAB"/>
    <w:rsid w:val="000A0126"/>
    <w:rsid w:val="000A1DAC"/>
    <w:rsid w:val="000A5C51"/>
    <w:rsid w:val="000B01CB"/>
    <w:rsid w:val="000C22B1"/>
    <w:rsid w:val="000C27EB"/>
    <w:rsid w:val="000D1AD5"/>
    <w:rsid w:val="000D459D"/>
    <w:rsid w:val="000D4BDF"/>
    <w:rsid w:val="000D72C6"/>
    <w:rsid w:val="000D787C"/>
    <w:rsid w:val="000E1FE3"/>
    <w:rsid w:val="000F24EC"/>
    <w:rsid w:val="000F3594"/>
    <w:rsid w:val="001022CF"/>
    <w:rsid w:val="0010362B"/>
    <w:rsid w:val="00104356"/>
    <w:rsid w:val="00107570"/>
    <w:rsid w:val="00113558"/>
    <w:rsid w:val="001139FF"/>
    <w:rsid w:val="00121A28"/>
    <w:rsid w:val="001228D1"/>
    <w:rsid w:val="00123681"/>
    <w:rsid w:val="00125698"/>
    <w:rsid w:val="0014042F"/>
    <w:rsid w:val="0014453B"/>
    <w:rsid w:val="00146280"/>
    <w:rsid w:val="00146649"/>
    <w:rsid w:val="00153C92"/>
    <w:rsid w:val="00155F12"/>
    <w:rsid w:val="00160BAD"/>
    <w:rsid w:val="00174CB4"/>
    <w:rsid w:val="00174D35"/>
    <w:rsid w:val="00183216"/>
    <w:rsid w:val="001833B4"/>
    <w:rsid w:val="0018626B"/>
    <w:rsid w:val="0018671C"/>
    <w:rsid w:val="00187CC2"/>
    <w:rsid w:val="00187F92"/>
    <w:rsid w:val="00193A38"/>
    <w:rsid w:val="00193AC2"/>
    <w:rsid w:val="00197542"/>
    <w:rsid w:val="001A035A"/>
    <w:rsid w:val="001A5B0F"/>
    <w:rsid w:val="001B1F4E"/>
    <w:rsid w:val="001B4309"/>
    <w:rsid w:val="001B7463"/>
    <w:rsid w:val="001C2326"/>
    <w:rsid w:val="001C6578"/>
    <w:rsid w:val="001C71B0"/>
    <w:rsid w:val="001D0E4E"/>
    <w:rsid w:val="001D1C6C"/>
    <w:rsid w:val="001D2CE7"/>
    <w:rsid w:val="001E030D"/>
    <w:rsid w:val="001F6CC1"/>
    <w:rsid w:val="00202FDE"/>
    <w:rsid w:val="0020565E"/>
    <w:rsid w:val="0021081B"/>
    <w:rsid w:val="00211C45"/>
    <w:rsid w:val="002145FE"/>
    <w:rsid w:val="0021677A"/>
    <w:rsid w:val="00223EF2"/>
    <w:rsid w:val="00232B47"/>
    <w:rsid w:val="0023631A"/>
    <w:rsid w:val="0023687E"/>
    <w:rsid w:val="00240774"/>
    <w:rsid w:val="00241CBF"/>
    <w:rsid w:val="002479A2"/>
    <w:rsid w:val="002542F3"/>
    <w:rsid w:val="002707A0"/>
    <w:rsid w:val="00270B3B"/>
    <w:rsid w:val="002807F3"/>
    <w:rsid w:val="00283169"/>
    <w:rsid w:val="002837AB"/>
    <w:rsid w:val="002857DB"/>
    <w:rsid w:val="00285F4F"/>
    <w:rsid w:val="002966B1"/>
    <w:rsid w:val="002A0F0A"/>
    <w:rsid w:val="002A27CC"/>
    <w:rsid w:val="002B63B4"/>
    <w:rsid w:val="002B667C"/>
    <w:rsid w:val="002B73A5"/>
    <w:rsid w:val="002C5465"/>
    <w:rsid w:val="002D1750"/>
    <w:rsid w:val="002D72EF"/>
    <w:rsid w:val="002D7B9E"/>
    <w:rsid w:val="002D7C90"/>
    <w:rsid w:val="002E3E83"/>
    <w:rsid w:val="002F30E1"/>
    <w:rsid w:val="002F403B"/>
    <w:rsid w:val="002F6EB8"/>
    <w:rsid w:val="00301D23"/>
    <w:rsid w:val="00304BCE"/>
    <w:rsid w:val="00306DE1"/>
    <w:rsid w:val="00307158"/>
    <w:rsid w:val="00310431"/>
    <w:rsid w:val="0031189F"/>
    <w:rsid w:val="0031356B"/>
    <w:rsid w:val="00313888"/>
    <w:rsid w:val="00313D28"/>
    <w:rsid w:val="003144E8"/>
    <w:rsid w:val="00315409"/>
    <w:rsid w:val="00316E50"/>
    <w:rsid w:val="003200B4"/>
    <w:rsid w:val="003240BD"/>
    <w:rsid w:val="00324D28"/>
    <w:rsid w:val="0032575A"/>
    <w:rsid w:val="003328CB"/>
    <w:rsid w:val="00334FF6"/>
    <w:rsid w:val="00342542"/>
    <w:rsid w:val="00344D26"/>
    <w:rsid w:val="003454FA"/>
    <w:rsid w:val="00347843"/>
    <w:rsid w:val="00355838"/>
    <w:rsid w:val="003570A7"/>
    <w:rsid w:val="00357EB2"/>
    <w:rsid w:val="003726AF"/>
    <w:rsid w:val="00372E64"/>
    <w:rsid w:val="00374378"/>
    <w:rsid w:val="0037663F"/>
    <w:rsid w:val="00376862"/>
    <w:rsid w:val="003818D4"/>
    <w:rsid w:val="00383F0E"/>
    <w:rsid w:val="003A0172"/>
    <w:rsid w:val="003A1257"/>
    <w:rsid w:val="003A5DED"/>
    <w:rsid w:val="003B1B29"/>
    <w:rsid w:val="003B1FC8"/>
    <w:rsid w:val="003B3F46"/>
    <w:rsid w:val="003B5AF3"/>
    <w:rsid w:val="003B5B37"/>
    <w:rsid w:val="003B6A45"/>
    <w:rsid w:val="003C0F18"/>
    <w:rsid w:val="003C158F"/>
    <w:rsid w:val="003C6060"/>
    <w:rsid w:val="003C6154"/>
    <w:rsid w:val="003C61F0"/>
    <w:rsid w:val="003C688F"/>
    <w:rsid w:val="003C6EEB"/>
    <w:rsid w:val="003E2782"/>
    <w:rsid w:val="003E793F"/>
    <w:rsid w:val="003E7E74"/>
    <w:rsid w:val="003F1EF2"/>
    <w:rsid w:val="004015E8"/>
    <w:rsid w:val="0041671B"/>
    <w:rsid w:val="0041678E"/>
    <w:rsid w:val="004167D9"/>
    <w:rsid w:val="00417284"/>
    <w:rsid w:val="0042095B"/>
    <w:rsid w:val="0042170D"/>
    <w:rsid w:val="00427B6F"/>
    <w:rsid w:val="00430891"/>
    <w:rsid w:val="00432CCF"/>
    <w:rsid w:val="004360BC"/>
    <w:rsid w:val="004417C0"/>
    <w:rsid w:val="00442FC0"/>
    <w:rsid w:val="00443A26"/>
    <w:rsid w:val="00445909"/>
    <w:rsid w:val="00451EFB"/>
    <w:rsid w:val="0045542C"/>
    <w:rsid w:val="0046268A"/>
    <w:rsid w:val="00472B2A"/>
    <w:rsid w:val="0047436B"/>
    <w:rsid w:val="00475E92"/>
    <w:rsid w:val="00481DCF"/>
    <w:rsid w:val="00483C08"/>
    <w:rsid w:val="004919CB"/>
    <w:rsid w:val="00492732"/>
    <w:rsid w:val="0049365E"/>
    <w:rsid w:val="00495201"/>
    <w:rsid w:val="004968FD"/>
    <w:rsid w:val="00497767"/>
    <w:rsid w:val="004A01D9"/>
    <w:rsid w:val="004A1377"/>
    <w:rsid w:val="004A2AAB"/>
    <w:rsid w:val="004A5C39"/>
    <w:rsid w:val="004B26F7"/>
    <w:rsid w:val="004B5E1F"/>
    <w:rsid w:val="004B612A"/>
    <w:rsid w:val="004C270D"/>
    <w:rsid w:val="004C2D2D"/>
    <w:rsid w:val="004C6DDB"/>
    <w:rsid w:val="004D16E8"/>
    <w:rsid w:val="004D75A4"/>
    <w:rsid w:val="004D7908"/>
    <w:rsid w:val="004E0031"/>
    <w:rsid w:val="004E3D20"/>
    <w:rsid w:val="004E774F"/>
    <w:rsid w:val="004F0D77"/>
    <w:rsid w:val="004F30C8"/>
    <w:rsid w:val="004F3B02"/>
    <w:rsid w:val="005001FB"/>
    <w:rsid w:val="00501FDC"/>
    <w:rsid w:val="0050352D"/>
    <w:rsid w:val="00506D89"/>
    <w:rsid w:val="00510D6A"/>
    <w:rsid w:val="0051115F"/>
    <w:rsid w:val="00512D79"/>
    <w:rsid w:val="00515995"/>
    <w:rsid w:val="00522A4E"/>
    <w:rsid w:val="0052759C"/>
    <w:rsid w:val="00530F07"/>
    <w:rsid w:val="00531363"/>
    <w:rsid w:val="005336FD"/>
    <w:rsid w:val="00533AAF"/>
    <w:rsid w:val="00537063"/>
    <w:rsid w:val="0054002C"/>
    <w:rsid w:val="00542D6C"/>
    <w:rsid w:val="0054436B"/>
    <w:rsid w:val="00546CA0"/>
    <w:rsid w:val="00546EA5"/>
    <w:rsid w:val="0055539C"/>
    <w:rsid w:val="005561DD"/>
    <w:rsid w:val="00560DEA"/>
    <w:rsid w:val="0056773A"/>
    <w:rsid w:val="00570122"/>
    <w:rsid w:val="00575F54"/>
    <w:rsid w:val="00587F50"/>
    <w:rsid w:val="005931A0"/>
    <w:rsid w:val="005B204A"/>
    <w:rsid w:val="005B3A0B"/>
    <w:rsid w:val="005B4F5F"/>
    <w:rsid w:val="005C5BA6"/>
    <w:rsid w:val="005D01B9"/>
    <w:rsid w:val="005D07FD"/>
    <w:rsid w:val="005D1E6A"/>
    <w:rsid w:val="005D28F5"/>
    <w:rsid w:val="005D4164"/>
    <w:rsid w:val="005D50CE"/>
    <w:rsid w:val="005D5A73"/>
    <w:rsid w:val="005D6AD5"/>
    <w:rsid w:val="005E7FD8"/>
    <w:rsid w:val="005F6078"/>
    <w:rsid w:val="006006C7"/>
    <w:rsid w:val="00600F65"/>
    <w:rsid w:val="006053FB"/>
    <w:rsid w:val="00605CE8"/>
    <w:rsid w:val="006068D6"/>
    <w:rsid w:val="00611B53"/>
    <w:rsid w:val="00612CF3"/>
    <w:rsid w:val="00615B06"/>
    <w:rsid w:val="00624C06"/>
    <w:rsid w:val="00632BF1"/>
    <w:rsid w:val="006338C6"/>
    <w:rsid w:val="00637205"/>
    <w:rsid w:val="0064034E"/>
    <w:rsid w:val="006420B0"/>
    <w:rsid w:val="00642A2D"/>
    <w:rsid w:val="006430DB"/>
    <w:rsid w:val="00645053"/>
    <w:rsid w:val="00645A77"/>
    <w:rsid w:val="006475DD"/>
    <w:rsid w:val="00652531"/>
    <w:rsid w:val="00654513"/>
    <w:rsid w:val="00656986"/>
    <w:rsid w:val="0065794B"/>
    <w:rsid w:val="006616EE"/>
    <w:rsid w:val="00664317"/>
    <w:rsid w:val="0066598A"/>
    <w:rsid w:val="00671E9C"/>
    <w:rsid w:val="00673C47"/>
    <w:rsid w:val="00674103"/>
    <w:rsid w:val="006769F9"/>
    <w:rsid w:val="00682A5B"/>
    <w:rsid w:val="006839FF"/>
    <w:rsid w:val="00695339"/>
    <w:rsid w:val="006A2855"/>
    <w:rsid w:val="006A60A4"/>
    <w:rsid w:val="006A757F"/>
    <w:rsid w:val="006A7EF2"/>
    <w:rsid w:val="006B2244"/>
    <w:rsid w:val="006B4F0F"/>
    <w:rsid w:val="006B5BAD"/>
    <w:rsid w:val="006C2379"/>
    <w:rsid w:val="006C4BD5"/>
    <w:rsid w:val="006C5443"/>
    <w:rsid w:val="006C5D80"/>
    <w:rsid w:val="006D00D6"/>
    <w:rsid w:val="006D1B30"/>
    <w:rsid w:val="006D74F1"/>
    <w:rsid w:val="006E1526"/>
    <w:rsid w:val="006E2CB0"/>
    <w:rsid w:val="006E6D32"/>
    <w:rsid w:val="006E7ED3"/>
    <w:rsid w:val="006F2659"/>
    <w:rsid w:val="006F27EE"/>
    <w:rsid w:val="006F3FBB"/>
    <w:rsid w:val="006F5934"/>
    <w:rsid w:val="006F6327"/>
    <w:rsid w:val="007021C2"/>
    <w:rsid w:val="00704E7B"/>
    <w:rsid w:val="00706B87"/>
    <w:rsid w:val="00712461"/>
    <w:rsid w:val="007144ED"/>
    <w:rsid w:val="0071640E"/>
    <w:rsid w:val="00726F47"/>
    <w:rsid w:val="00733825"/>
    <w:rsid w:val="007354E8"/>
    <w:rsid w:val="00735595"/>
    <w:rsid w:val="00735BE5"/>
    <w:rsid w:val="00744208"/>
    <w:rsid w:val="00747466"/>
    <w:rsid w:val="00750E84"/>
    <w:rsid w:val="0075182C"/>
    <w:rsid w:val="00754499"/>
    <w:rsid w:val="00763062"/>
    <w:rsid w:val="00765697"/>
    <w:rsid w:val="007676D8"/>
    <w:rsid w:val="00776169"/>
    <w:rsid w:val="0078059A"/>
    <w:rsid w:val="00781591"/>
    <w:rsid w:val="00781B61"/>
    <w:rsid w:val="00783276"/>
    <w:rsid w:val="007845EB"/>
    <w:rsid w:val="007A22AF"/>
    <w:rsid w:val="007A4F66"/>
    <w:rsid w:val="007A574B"/>
    <w:rsid w:val="007A7CB4"/>
    <w:rsid w:val="007B6D4E"/>
    <w:rsid w:val="007C25BD"/>
    <w:rsid w:val="007C25DC"/>
    <w:rsid w:val="007C2969"/>
    <w:rsid w:val="007C6C30"/>
    <w:rsid w:val="007D5801"/>
    <w:rsid w:val="007D6ABC"/>
    <w:rsid w:val="007E5F95"/>
    <w:rsid w:val="007E7515"/>
    <w:rsid w:val="007F2603"/>
    <w:rsid w:val="007F4993"/>
    <w:rsid w:val="007F5377"/>
    <w:rsid w:val="007F6C8D"/>
    <w:rsid w:val="008014CD"/>
    <w:rsid w:val="0081097E"/>
    <w:rsid w:val="00817431"/>
    <w:rsid w:val="00821D3D"/>
    <w:rsid w:val="008265B2"/>
    <w:rsid w:val="00832751"/>
    <w:rsid w:val="00836F20"/>
    <w:rsid w:val="00841663"/>
    <w:rsid w:val="00847313"/>
    <w:rsid w:val="00855793"/>
    <w:rsid w:val="00863437"/>
    <w:rsid w:val="008674DD"/>
    <w:rsid w:val="00870BD5"/>
    <w:rsid w:val="00874C6A"/>
    <w:rsid w:val="0087549C"/>
    <w:rsid w:val="008776F4"/>
    <w:rsid w:val="00883499"/>
    <w:rsid w:val="0089166B"/>
    <w:rsid w:val="00892AE7"/>
    <w:rsid w:val="008A0952"/>
    <w:rsid w:val="008A7C34"/>
    <w:rsid w:val="008B5D1A"/>
    <w:rsid w:val="008C178C"/>
    <w:rsid w:val="008C19F8"/>
    <w:rsid w:val="008C6ADC"/>
    <w:rsid w:val="008C6B9F"/>
    <w:rsid w:val="008D1085"/>
    <w:rsid w:val="008D1F03"/>
    <w:rsid w:val="008E4C8B"/>
    <w:rsid w:val="008F2D1E"/>
    <w:rsid w:val="008F2D3B"/>
    <w:rsid w:val="008F3AEF"/>
    <w:rsid w:val="008F3B1E"/>
    <w:rsid w:val="008F3D3B"/>
    <w:rsid w:val="008F4009"/>
    <w:rsid w:val="00901F38"/>
    <w:rsid w:val="00902C06"/>
    <w:rsid w:val="00904D37"/>
    <w:rsid w:val="00905C78"/>
    <w:rsid w:val="00905F87"/>
    <w:rsid w:val="00907D45"/>
    <w:rsid w:val="00910B33"/>
    <w:rsid w:val="0091448C"/>
    <w:rsid w:val="00917B69"/>
    <w:rsid w:val="009216CE"/>
    <w:rsid w:val="0092418C"/>
    <w:rsid w:val="0092423A"/>
    <w:rsid w:val="00927ADE"/>
    <w:rsid w:val="00932E1B"/>
    <w:rsid w:val="009337CD"/>
    <w:rsid w:val="00942233"/>
    <w:rsid w:val="00942619"/>
    <w:rsid w:val="00943E5F"/>
    <w:rsid w:val="00951236"/>
    <w:rsid w:val="009532B7"/>
    <w:rsid w:val="009561EE"/>
    <w:rsid w:val="00963948"/>
    <w:rsid w:val="00970EC8"/>
    <w:rsid w:val="0097253D"/>
    <w:rsid w:val="00976CDB"/>
    <w:rsid w:val="009803B7"/>
    <w:rsid w:val="009813B6"/>
    <w:rsid w:val="009846DE"/>
    <w:rsid w:val="00986236"/>
    <w:rsid w:val="0099220C"/>
    <w:rsid w:val="00993B37"/>
    <w:rsid w:val="00993DE4"/>
    <w:rsid w:val="009950F1"/>
    <w:rsid w:val="009A0992"/>
    <w:rsid w:val="009A0EB4"/>
    <w:rsid w:val="009A3620"/>
    <w:rsid w:val="009A63B9"/>
    <w:rsid w:val="009C01CD"/>
    <w:rsid w:val="009C2F7D"/>
    <w:rsid w:val="009C774F"/>
    <w:rsid w:val="009D0DC1"/>
    <w:rsid w:val="009D30D3"/>
    <w:rsid w:val="009D4214"/>
    <w:rsid w:val="009E0A96"/>
    <w:rsid w:val="009E45B1"/>
    <w:rsid w:val="009E5D85"/>
    <w:rsid w:val="009E6433"/>
    <w:rsid w:val="009F0476"/>
    <w:rsid w:val="009F466D"/>
    <w:rsid w:val="00A009BB"/>
    <w:rsid w:val="00A073A2"/>
    <w:rsid w:val="00A07887"/>
    <w:rsid w:val="00A1088D"/>
    <w:rsid w:val="00A15393"/>
    <w:rsid w:val="00A15AEB"/>
    <w:rsid w:val="00A22BF8"/>
    <w:rsid w:val="00A27B6F"/>
    <w:rsid w:val="00A3002F"/>
    <w:rsid w:val="00A311F5"/>
    <w:rsid w:val="00A35F19"/>
    <w:rsid w:val="00A3648F"/>
    <w:rsid w:val="00A45F7B"/>
    <w:rsid w:val="00A47626"/>
    <w:rsid w:val="00A52658"/>
    <w:rsid w:val="00A538C8"/>
    <w:rsid w:val="00A55654"/>
    <w:rsid w:val="00A56561"/>
    <w:rsid w:val="00A60A79"/>
    <w:rsid w:val="00A62C28"/>
    <w:rsid w:val="00A6354D"/>
    <w:rsid w:val="00A7705C"/>
    <w:rsid w:val="00A80970"/>
    <w:rsid w:val="00A874E2"/>
    <w:rsid w:val="00A91230"/>
    <w:rsid w:val="00A91910"/>
    <w:rsid w:val="00A93978"/>
    <w:rsid w:val="00A95015"/>
    <w:rsid w:val="00A958DC"/>
    <w:rsid w:val="00AA2EE0"/>
    <w:rsid w:val="00AA67E7"/>
    <w:rsid w:val="00AA703F"/>
    <w:rsid w:val="00AB36DC"/>
    <w:rsid w:val="00AB56D3"/>
    <w:rsid w:val="00AB7CC6"/>
    <w:rsid w:val="00AC4603"/>
    <w:rsid w:val="00AC5CB0"/>
    <w:rsid w:val="00AC72FE"/>
    <w:rsid w:val="00AD1E4D"/>
    <w:rsid w:val="00AD3E91"/>
    <w:rsid w:val="00AF36B6"/>
    <w:rsid w:val="00B00D87"/>
    <w:rsid w:val="00B01BA7"/>
    <w:rsid w:val="00B0411F"/>
    <w:rsid w:val="00B06D93"/>
    <w:rsid w:val="00B06E6F"/>
    <w:rsid w:val="00B10EB5"/>
    <w:rsid w:val="00B1318E"/>
    <w:rsid w:val="00B14A3D"/>
    <w:rsid w:val="00B1543F"/>
    <w:rsid w:val="00B17DDA"/>
    <w:rsid w:val="00B2375B"/>
    <w:rsid w:val="00B306A4"/>
    <w:rsid w:val="00B307BD"/>
    <w:rsid w:val="00B310EE"/>
    <w:rsid w:val="00B311E3"/>
    <w:rsid w:val="00B3244A"/>
    <w:rsid w:val="00B358BE"/>
    <w:rsid w:val="00B360D9"/>
    <w:rsid w:val="00B412E5"/>
    <w:rsid w:val="00B44B42"/>
    <w:rsid w:val="00B47AD7"/>
    <w:rsid w:val="00B52E2A"/>
    <w:rsid w:val="00B55698"/>
    <w:rsid w:val="00B56909"/>
    <w:rsid w:val="00B60300"/>
    <w:rsid w:val="00B63C53"/>
    <w:rsid w:val="00B64CAE"/>
    <w:rsid w:val="00B64DE1"/>
    <w:rsid w:val="00B6703A"/>
    <w:rsid w:val="00B7129C"/>
    <w:rsid w:val="00B71C48"/>
    <w:rsid w:val="00B759FC"/>
    <w:rsid w:val="00B768A4"/>
    <w:rsid w:val="00B77491"/>
    <w:rsid w:val="00B77BD4"/>
    <w:rsid w:val="00B80AD2"/>
    <w:rsid w:val="00B82A58"/>
    <w:rsid w:val="00B8389A"/>
    <w:rsid w:val="00B83EB9"/>
    <w:rsid w:val="00B878E5"/>
    <w:rsid w:val="00B87E39"/>
    <w:rsid w:val="00B90244"/>
    <w:rsid w:val="00B91480"/>
    <w:rsid w:val="00B95964"/>
    <w:rsid w:val="00BA58C8"/>
    <w:rsid w:val="00BB3ED5"/>
    <w:rsid w:val="00BB7AB0"/>
    <w:rsid w:val="00BD1F35"/>
    <w:rsid w:val="00BD2ED8"/>
    <w:rsid w:val="00BD347F"/>
    <w:rsid w:val="00BD5630"/>
    <w:rsid w:val="00BE4873"/>
    <w:rsid w:val="00BF0C28"/>
    <w:rsid w:val="00BF33D6"/>
    <w:rsid w:val="00BF4BFC"/>
    <w:rsid w:val="00BF6236"/>
    <w:rsid w:val="00C10D57"/>
    <w:rsid w:val="00C1199A"/>
    <w:rsid w:val="00C1239B"/>
    <w:rsid w:val="00C13721"/>
    <w:rsid w:val="00C15C56"/>
    <w:rsid w:val="00C17248"/>
    <w:rsid w:val="00C210A6"/>
    <w:rsid w:val="00C2360A"/>
    <w:rsid w:val="00C25E5E"/>
    <w:rsid w:val="00C34680"/>
    <w:rsid w:val="00C3536D"/>
    <w:rsid w:val="00C41E05"/>
    <w:rsid w:val="00C519F3"/>
    <w:rsid w:val="00C52252"/>
    <w:rsid w:val="00C54517"/>
    <w:rsid w:val="00C63749"/>
    <w:rsid w:val="00C63DE6"/>
    <w:rsid w:val="00C65054"/>
    <w:rsid w:val="00C73191"/>
    <w:rsid w:val="00C73360"/>
    <w:rsid w:val="00C8086E"/>
    <w:rsid w:val="00C80C5B"/>
    <w:rsid w:val="00C843D4"/>
    <w:rsid w:val="00C917A1"/>
    <w:rsid w:val="00C92165"/>
    <w:rsid w:val="00C922FE"/>
    <w:rsid w:val="00C92F11"/>
    <w:rsid w:val="00C9782A"/>
    <w:rsid w:val="00CA2CDF"/>
    <w:rsid w:val="00CA5519"/>
    <w:rsid w:val="00CB0EF6"/>
    <w:rsid w:val="00CB1050"/>
    <w:rsid w:val="00CB600E"/>
    <w:rsid w:val="00CC2EF8"/>
    <w:rsid w:val="00CC3142"/>
    <w:rsid w:val="00CC4E13"/>
    <w:rsid w:val="00CC5133"/>
    <w:rsid w:val="00CC56A4"/>
    <w:rsid w:val="00CD153E"/>
    <w:rsid w:val="00CD30C5"/>
    <w:rsid w:val="00CD3D51"/>
    <w:rsid w:val="00CD56B1"/>
    <w:rsid w:val="00CD7B96"/>
    <w:rsid w:val="00CE1ECE"/>
    <w:rsid w:val="00CE3D33"/>
    <w:rsid w:val="00CE63C2"/>
    <w:rsid w:val="00CE71CE"/>
    <w:rsid w:val="00CF2EE6"/>
    <w:rsid w:val="00CF54A4"/>
    <w:rsid w:val="00CF6DDE"/>
    <w:rsid w:val="00D00E44"/>
    <w:rsid w:val="00D051F1"/>
    <w:rsid w:val="00D06165"/>
    <w:rsid w:val="00D07F80"/>
    <w:rsid w:val="00D11EBE"/>
    <w:rsid w:val="00D14060"/>
    <w:rsid w:val="00D25C48"/>
    <w:rsid w:val="00D314D5"/>
    <w:rsid w:val="00D329EB"/>
    <w:rsid w:val="00D400C5"/>
    <w:rsid w:val="00D40D68"/>
    <w:rsid w:val="00D42F52"/>
    <w:rsid w:val="00D50F07"/>
    <w:rsid w:val="00D51C7B"/>
    <w:rsid w:val="00D522C7"/>
    <w:rsid w:val="00D5237E"/>
    <w:rsid w:val="00D53C79"/>
    <w:rsid w:val="00D60969"/>
    <w:rsid w:val="00D6414D"/>
    <w:rsid w:val="00D64445"/>
    <w:rsid w:val="00D70FB1"/>
    <w:rsid w:val="00D72FF2"/>
    <w:rsid w:val="00D74598"/>
    <w:rsid w:val="00D76331"/>
    <w:rsid w:val="00D81DB8"/>
    <w:rsid w:val="00D829CD"/>
    <w:rsid w:val="00D836DF"/>
    <w:rsid w:val="00D83EF8"/>
    <w:rsid w:val="00D87797"/>
    <w:rsid w:val="00D90309"/>
    <w:rsid w:val="00D93041"/>
    <w:rsid w:val="00DA0CBF"/>
    <w:rsid w:val="00DA19DE"/>
    <w:rsid w:val="00DA4137"/>
    <w:rsid w:val="00DA5F1B"/>
    <w:rsid w:val="00DA6057"/>
    <w:rsid w:val="00DA6717"/>
    <w:rsid w:val="00DA7FB2"/>
    <w:rsid w:val="00DB408E"/>
    <w:rsid w:val="00DC1A41"/>
    <w:rsid w:val="00DC3D58"/>
    <w:rsid w:val="00DC7208"/>
    <w:rsid w:val="00DD22B4"/>
    <w:rsid w:val="00DD76CC"/>
    <w:rsid w:val="00DE2B56"/>
    <w:rsid w:val="00DF02C8"/>
    <w:rsid w:val="00DF170B"/>
    <w:rsid w:val="00DF1B47"/>
    <w:rsid w:val="00DF36D9"/>
    <w:rsid w:val="00DF6B24"/>
    <w:rsid w:val="00DF73C9"/>
    <w:rsid w:val="00DF79E8"/>
    <w:rsid w:val="00E04D60"/>
    <w:rsid w:val="00E05099"/>
    <w:rsid w:val="00E10315"/>
    <w:rsid w:val="00E11B97"/>
    <w:rsid w:val="00E12886"/>
    <w:rsid w:val="00E142F6"/>
    <w:rsid w:val="00E206A6"/>
    <w:rsid w:val="00E2081E"/>
    <w:rsid w:val="00E21FE9"/>
    <w:rsid w:val="00E2343C"/>
    <w:rsid w:val="00E23EFB"/>
    <w:rsid w:val="00E267F7"/>
    <w:rsid w:val="00E2707C"/>
    <w:rsid w:val="00E3137D"/>
    <w:rsid w:val="00E34019"/>
    <w:rsid w:val="00E342C5"/>
    <w:rsid w:val="00E35C30"/>
    <w:rsid w:val="00E36764"/>
    <w:rsid w:val="00E37CE9"/>
    <w:rsid w:val="00E4266E"/>
    <w:rsid w:val="00E4689C"/>
    <w:rsid w:val="00E47073"/>
    <w:rsid w:val="00E47636"/>
    <w:rsid w:val="00E62C26"/>
    <w:rsid w:val="00E642C1"/>
    <w:rsid w:val="00E672E3"/>
    <w:rsid w:val="00E67ED2"/>
    <w:rsid w:val="00E83CAF"/>
    <w:rsid w:val="00E84130"/>
    <w:rsid w:val="00E9752C"/>
    <w:rsid w:val="00EA3F08"/>
    <w:rsid w:val="00EB45B6"/>
    <w:rsid w:val="00EC0061"/>
    <w:rsid w:val="00EC33ED"/>
    <w:rsid w:val="00EC3D1A"/>
    <w:rsid w:val="00ED28FF"/>
    <w:rsid w:val="00ED3D33"/>
    <w:rsid w:val="00ED48A0"/>
    <w:rsid w:val="00ED5BAA"/>
    <w:rsid w:val="00EE08E6"/>
    <w:rsid w:val="00EE189F"/>
    <w:rsid w:val="00EE32F5"/>
    <w:rsid w:val="00EE3440"/>
    <w:rsid w:val="00EE40F3"/>
    <w:rsid w:val="00EE7A0A"/>
    <w:rsid w:val="00EF532D"/>
    <w:rsid w:val="00EF7588"/>
    <w:rsid w:val="00EF7DCB"/>
    <w:rsid w:val="00F03CB6"/>
    <w:rsid w:val="00F05FD4"/>
    <w:rsid w:val="00F11140"/>
    <w:rsid w:val="00F2278B"/>
    <w:rsid w:val="00F22B3D"/>
    <w:rsid w:val="00F24813"/>
    <w:rsid w:val="00F25E0C"/>
    <w:rsid w:val="00F32560"/>
    <w:rsid w:val="00F35F64"/>
    <w:rsid w:val="00F36DC8"/>
    <w:rsid w:val="00F42F37"/>
    <w:rsid w:val="00F43166"/>
    <w:rsid w:val="00F461A9"/>
    <w:rsid w:val="00F479C4"/>
    <w:rsid w:val="00F47F48"/>
    <w:rsid w:val="00F517ED"/>
    <w:rsid w:val="00F53C33"/>
    <w:rsid w:val="00F621C8"/>
    <w:rsid w:val="00F66B2C"/>
    <w:rsid w:val="00F70EEC"/>
    <w:rsid w:val="00F73453"/>
    <w:rsid w:val="00F73B92"/>
    <w:rsid w:val="00F74CB3"/>
    <w:rsid w:val="00F8306F"/>
    <w:rsid w:val="00F8370C"/>
    <w:rsid w:val="00F86152"/>
    <w:rsid w:val="00F86178"/>
    <w:rsid w:val="00F866E8"/>
    <w:rsid w:val="00F95970"/>
    <w:rsid w:val="00F959B4"/>
    <w:rsid w:val="00F96DD0"/>
    <w:rsid w:val="00FB00BC"/>
    <w:rsid w:val="00FB1FFC"/>
    <w:rsid w:val="00FB402A"/>
    <w:rsid w:val="00FB7D5F"/>
    <w:rsid w:val="00FC0611"/>
    <w:rsid w:val="00FC1AD0"/>
    <w:rsid w:val="00FC205A"/>
    <w:rsid w:val="00FC27C4"/>
    <w:rsid w:val="00FC45B4"/>
    <w:rsid w:val="00FD086A"/>
    <w:rsid w:val="00FD2D9D"/>
    <w:rsid w:val="00FD4C0D"/>
    <w:rsid w:val="00FD6506"/>
    <w:rsid w:val="00FD696B"/>
    <w:rsid w:val="00FD729D"/>
    <w:rsid w:val="00FE0A57"/>
    <w:rsid w:val="00FE75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2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0757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0757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1075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107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107570"/>
    <w:pPr>
      <w:spacing w:before="240" w:after="60" w:line="240" w:lineRule="auto"/>
      <w:outlineLvl w:val="8"/>
    </w:pPr>
    <w:rPr>
      <w:rFonts w:ascii="Arial" w:eastAsia="Times New Roman" w:hAnsi="Arial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75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075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757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107570"/>
    <w:rPr>
      <w:rFonts w:ascii="Times New Roman" w:eastAsia="Times New Roman" w:hAnsi="Times New Roman"/>
      <w:b/>
      <w:sz w:val="24"/>
      <w:lang w:eastAsia="cs-CZ"/>
    </w:rPr>
  </w:style>
  <w:style w:type="character" w:customStyle="1" w:styleId="Nadpis9Char">
    <w:name w:val="Nadpis 9 Char"/>
    <w:link w:val="Nadpis9"/>
    <w:rsid w:val="00107570"/>
    <w:rPr>
      <w:rFonts w:ascii="Arial" w:eastAsia="Times New Roman" w:hAnsi="Arial" w:cs="Arial"/>
      <w:sz w:val="22"/>
      <w:szCs w:val="22"/>
      <w:lang w:eastAsia="cs-CZ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107570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rsid w:val="00107570"/>
  </w:style>
  <w:style w:type="paragraph" w:styleId="Textbubliny">
    <w:name w:val="Balloon Text"/>
    <w:basedOn w:val="Normlny"/>
    <w:link w:val="TextbublinyChar"/>
    <w:semiHidden/>
    <w:rsid w:val="0010757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107570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075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ruktradokumentuChar">
    <w:name w:val="Štruktúra dokumentu Char"/>
    <w:link w:val="truktradokumentu"/>
    <w:semiHidden/>
    <w:rsid w:val="00107570"/>
    <w:rPr>
      <w:rFonts w:ascii="Tahoma" w:eastAsia="Times New Roman" w:hAnsi="Tahoma" w:cs="Tahoma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10757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07570"/>
    <w:rPr>
      <w:b/>
      <w:bCs/>
    </w:rPr>
  </w:style>
  <w:style w:type="character" w:customStyle="1" w:styleId="PredmetkomentraChar">
    <w:name w:val="Predmet komentára Char"/>
    <w:link w:val="Predmetkomentra"/>
    <w:semiHidden/>
    <w:rsid w:val="00107570"/>
    <w:rPr>
      <w:rFonts w:ascii="Times New Roman" w:eastAsia="Times New Roman" w:hAnsi="Times New Roman"/>
      <w:b/>
      <w:bCs/>
    </w:rPr>
  </w:style>
  <w:style w:type="paragraph" w:customStyle="1" w:styleId="NADP">
    <w:name w:val="NADP."/>
    <w:basedOn w:val="Normlny"/>
    <w:rsid w:val="00107570"/>
    <w:pPr>
      <w:numPr>
        <w:numId w:val="8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8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107570"/>
    <w:pPr>
      <w:numPr>
        <w:ilvl w:val="2"/>
        <w:numId w:val="8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rsid w:val="00107570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10757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10757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107570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07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107570"/>
    <w:rPr>
      <w:rFonts w:ascii="Times New Roman" w:eastAsia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rsid w:val="00107570"/>
    <w:rPr>
      <w:rFonts w:ascii="Times New Roman" w:eastAsia="Times New Roman" w:hAnsi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107570"/>
    <w:rPr>
      <w:rFonts w:ascii="Times New Roman" w:eastAsia="Times New Roman" w:hAnsi="Times New Roman"/>
    </w:rPr>
  </w:style>
  <w:style w:type="paragraph" w:customStyle="1" w:styleId="CharChar1Char">
    <w:name w:val="Char Char1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rsid w:val="00E47073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107570"/>
    <w:pPr>
      <w:numPr>
        <w:numId w:val="19"/>
      </w:numPr>
      <w:tabs>
        <w:tab w:val="clear" w:pos="720"/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107570"/>
    <w:pPr>
      <w:numPr>
        <w:ilvl w:val="1"/>
        <w:numId w:val="19"/>
      </w:numPr>
      <w:tabs>
        <w:tab w:val="clear" w:pos="720"/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107570"/>
    <w:pPr>
      <w:numPr>
        <w:ilvl w:val="2"/>
        <w:numId w:val="19"/>
      </w:numPr>
      <w:tabs>
        <w:tab w:val="clear" w:pos="1440"/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rsid w:val="00107570"/>
    <w:pPr>
      <w:keepNext w:val="0"/>
      <w:numPr>
        <w:ilvl w:val="3"/>
        <w:numId w:val="19"/>
      </w:numPr>
      <w:tabs>
        <w:tab w:val="clear" w:pos="2160"/>
      </w:tabs>
      <w:ind w:left="720"/>
    </w:pPr>
    <w:rPr>
      <w:b w:val="0"/>
    </w:rPr>
  </w:style>
  <w:style w:type="paragraph" w:customStyle="1" w:styleId="AODefHead">
    <w:name w:val="AODefHead"/>
    <w:basedOn w:val="Normlny"/>
    <w:next w:val="AODefPara"/>
    <w:rsid w:val="00107570"/>
    <w:pPr>
      <w:numPr>
        <w:ilvl w:val="4"/>
        <w:numId w:val="19"/>
      </w:numPr>
      <w:tabs>
        <w:tab w:val="clear" w:pos="288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107570"/>
    <w:pPr>
      <w:numPr>
        <w:ilvl w:val="5"/>
      </w:numPr>
      <w:tabs>
        <w:tab w:val="clear" w:pos="3600"/>
      </w:tabs>
      <w:ind w:left="720" w:firstLine="0"/>
      <w:outlineLvl w:val="6"/>
    </w:pPr>
  </w:style>
  <w:style w:type="character" w:styleId="Hypertextovprepojenie">
    <w:name w:val="Hyperlink"/>
    <w:rsid w:val="00107570"/>
    <w:rPr>
      <w:color w:val="0000FF"/>
      <w:u w:val="single"/>
    </w:rPr>
  </w:style>
  <w:style w:type="character" w:styleId="Odkaznapoznmkupodiarou">
    <w:name w:val="footnote reference"/>
    <w:semiHidden/>
    <w:rsid w:val="00107570"/>
    <w:rPr>
      <w:vertAlign w:val="superscript"/>
    </w:rPr>
  </w:style>
  <w:style w:type="paragraph" w:customStyle="1" w:styleId="CharCharChar">
    <w:name w:val="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07570"/>
    <w:pPr>
      <w:spacing w:before="120" w:after="0" w:line="240" w:lineRule="auto"/>
      <w:ind w:left="2160" w:hanging="36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107570"/>
    <w:rPr>
      <w:rFonts w:ascii="Times New Roman" w:eastAsia="Times New Roman" w:hAnsi="Times New Roman"/>
      <w:bCs/>
      <w:sz w:val="24"/>
      <w:szCs w:val="24"/>
    </w:rPr>
  </w:style>
  <w:style w:type="paragraph" w:customStyle="1" w:styleId="CharChar10">
    <w:name w:val="Char Char1"/>
    <w:basedOn w:val="Normlny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qFormat/>
    <w:rsid w:val="00107570"/>
    <w:rPr>
      <w:b/>
      <w:bCs/>
    </w:rPr>
  </w:style>
  <w:style w:type="paragraph" w:styleId="Odsekzoznamu">
    <w:name w:val="List Paragraph"/>
    <w:basedOn w:val="Normlny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link w:val="Obyajntext"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rsid w:val="00107570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 w:cs="Courier New"/>
      <w:lang w:eastAsia="en-US"/>
    </w:rPr>
  </w:style>
  <w:style w:type="character" w:customStyle="1" w:styleId="CharChar4">
    <w:name w:val="Char Char4"/>
    <w:semiHidden/>
    <w:locked/>
    <w:rsid w:val="00107570"/>
    <w:rPr>
      <w:lang w:val="sk-SK" w:eastAsia="sk-SK" w:bidi="ar-SA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7C2969"/>
    <w:rPr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C2EBB-D40C-47F6-B5CE-003981198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292A9-40A6-46FD-9161-7A8830C04DD5}"/>
</file>

<file path=customXml/itemProps3.xml><?xml version="1.0" encoding="utf-8"?>
<ds:datastoreItem xmlns:ds="http://schemas.openxmlformats.org/officeDocument/2006/customXml" ds:itemID="{ACB3E6C5-3193-4527-A77F-1328BD875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89D402-50AC-4BCF-B474-56C884F4E6F5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ddf7a59-a90f-483e-b907-7d1ce57e31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2020-12-18T09:44:00Z</dcterms:created>
  <dcterms:modified xsi:type="dcterms:W3CDTF">2020-12-18T09:44:00Z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