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0F43" w14:textId="77777777" w:rsidR="008C170F" w:rsidRPr="009D34D8" w:rsidRDefault="008C170F" w:rsidP="008C170F">
      <w:pPr>
        <w:spacing w:before="120" w:afterLines="40" w:after="96" w:line="276" w:lineRule="auto"/>
        <w:jc w:val="center"/>
        <w:rPr>
          <w:rFonts w:ascii="Arial" w:hAnsi="Arial" w:cs="Arial"/>
          <w:b/>
        </w:rPr>
      </w:pPr>
    </w:p>
    <w:p w14:paraId="216D58E8" w14:textId="77777777" w:rsidR="008C170F" w:rsidRPr="009D34D8" w:rsidRDefault="008C170F" w:rsidP="008C170F">
      <w:pPr>
        <w:spacing w:before="120" w:afterLines="40" w:after="96" w:line="276" w:lineRule="auto"/>
        <w:jc w:val="center"/>
        <w:rPr>
          <w:rFonts w:ascii="Arial" w:hAnsi="Arial" w:cs="Arial"/>
          <w:b/>
          <w:bCs/>
        </w:rPr>
      </w:pPr>
      <w:r w:rsidRPr="009D34D8">
        <w:rPr>
          <w:rFonts w:ascii="Arial" w:hAnsi="Arial" w:cs="Arial"/>
          <w:b/>
        </w:rPr>
        <w:t xml:space="preserve">Najčastejšie kladené otázky (FAQ) k výzve na predkladanie žiadostí o nenávratný finančný príspevok </w:t>
      </w:r>
      <w:r w:rsidRPr="009D34D8">
        <w:rPr>
          <w:rFonts w:ascii="Arial" w:hAnsi="Arial" w:cs="Arial"/>
          <w:b/>
          <w:bCs/>
        </w:rPr>
        <w:t xml:space="preserve"> na zlepšenie dostupnosti k infraštruktúre TEN-T a cestám I. triedy s dôrazom na rozvoj </w:t>
      </w:r>
      <w:proofErr w:type="spellStart"/>
      <w:r w:rsidRPr="009D34D8">
        <w:rPr>
          <w:rFonts w:ascii="Arial" w:hAnsi="Arial" w:cs="Arial"/>
          <w:b/>
          <w:bCs/>
        </w:rPr>
        <w:t>multimodálneho</w:t>
      </w:r>
      <w:proofErr w:type="spellEnd"/>
      <w:r w:rsidRPr="009D34D8">
        <w:rPr>
          <w:rFonts w:ascii="Arial" w:hAnsi="Arial" w:cs="Arial"/>
          <w:b/>
          <w:bCs/>
        </w:rPr>
        <w:t xml:space="preserve"> dopravného systému,</w:t>
      </w:r>
    </w:p>
    <w:p w14:paraId="7AF86E68" w14:textId="072EE8A1" w:rsidR="008C170F" w:rsidRPr="009D34D8" w:rsidRDefault="008C170F" w:rsidP="008C170F">
      <w:pPr>
        <w:spacing w:before="120" w:afterLines="40" w:after="96" w:line="276" w:lineRule="auto"/>
        <w:jc w:val="center"/>
        <w:rPr>
          <w:rFonts w:ascii="Arial" w:hAnsi="Arial" w:cs="Arial"/>
          <w:b/>
        </w:rPr>
      </w:pPr>
      <w:r w:rsidRPr="009D34D8">
        <w:rPr>
          <w:rFonts w:ascii="Arial" w:hAnsi="Arial" w:cs="Arial"/>
          <w:b/>
          <w:bCs/>
        </w:rPr>
        <w:t xml:space="preserve"> kód výzvy: IROP </w:t>
      </w:r>
      <w:r w:rsidRPr="009D34D8">
        <w:rPr>
          <w:rFonts w:ascii="Arial" w:hAnsi="Arial" w:cs="Arial"/>
          <w:b/>
          <w:bCs/>
          <w:lang w:eastAsia="en-US"/>
        </w:rPr>
        <w:t>-</w:t>
      </w:r>
      <w:r w:rsidRPr="009D34D8">
        <w:rPr>
          <w:rFonts w:ascii="Arial" w:hAnsi="Arial" w:cs="Arial"/>
          <w:b/>
          <w:bCs/>
        </w:rPr>
        <w:t xml:space="preserve"> PO1-SC11-2019-44</w:t>
      </w:r>
      <w:r w:rsidR="004A4E3D">
        <w:rPr>
          <w:rFonts w:ascii="Arial" w:hAnsi="Arial" w:cs="Arial"/>
          <w:b/>
          <w:bCs/>
        </w:rPr>
        <w:t xml:space="preserve">, </w:t>
      </w:r>
      <w:r w:rsidR="004A4E3D" w:rsidRPr="004A4E3D">
        <w:rPr>
          <w:rFonts w:ascii="Arial" w:hAnsi="Arial" w:cs="Arial"/>
          <w:b/>
          <w:bCs/>
        </w:rPr>
        <w:t>IROP-PO1-SC11-2020-60</w:t>
      </w:r>
    </w:p>
    <w:p w14:paraId="27B0797A" w14:textId="77777777" w:rsidR="008C170F" w:rsidRPr="009D34D8" w:rsidRDefault="008C170F" w:rsidP="008C170F">
      <w:pPr>
        <w:spacing w:before="120" w:afterLines="40" w:after="96" w:line="276" w:lineRule="auto"/>
        <w:jc w:val="center"/>
        <w:rPr>
          <w:rFonts w:ascii="Arial" w:hAnsi="Arial" w:cs="Arial"/>
          <w:b/>
        </w:rPr>
      </w:pPr>
    </w:p>
    <w:p w14:paraId="3831142A" w14:textId="77777777" w:rsidR="008C170F" w:rsidRPr="00A708D0" w:rsidRDefault="008C170F" w:rsidP="00A708D0">
      <w:pPr>
        <w:spacing w:before="120" w:afterLines="40" w:after="96"/>
        <w:jc w:val="both"/>
        <w:rPr>
          <w:rFonts w:ascii="Times New Roman" w:hAnsi="Times New Roman"/>
          <w:b/>
          <w:sz w:val="24"/>
          <w:szCs w:val="24"/>
        </w:rPr>
      </w:pPr>
      <w:r w:rsidRPr="00A708D0">
        <w:rPr>
          <w:rFonts w:ascii="Times New Roman" w:hAnsi="Times New Roman"/>
          <w:b/>
          <w:sz w:val="24"/>
          <w:szCs w:val="24"/>
        </w:rPr>
        <w:t>Otázka č. 1:</w:t>
      </w:r>
    </w:p>
    <w:p w14:paraId="4DDF56BD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708D0">
        <w:rPr>
          <w:rFonts w:ascii="Times New Roman" w:hAnsi="Times New Roman"/>
          <w:bCs/>
          <w:sz w:val="24"/>
          <w:szCs w:val="24"/>
        </w:rPr>
        <w:t>Akým spôsobom a v ktorom roku máme vykazovať hodnotu indikátora "úspora času v peňažnom vyjadrení"?</w:t>
      </w:r>
    </w:p>
    <w:p w14:paraId="0C0F7571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708D0">
        <w:rPr>
          <w:rFonts w:ascii="Times New Roman" w:hAnsi="Times New Roman"/>
          <w:sz w:val="24"/>
          <w:szCs w:val="24"/>
        </w:rPr>
        <w:t> </w:t>
      </w:r>
    </w:p>
    <w:p w14:paraId="48192F4A" w14:textId="77777777" w:rsidR="008C170F" w:rsidRPr="00A708D0" w:rsidRDefault="008C170F" w:rsidP="00A708D0">
      <w:pPr>
        <w:spacing w:before="120" w:afterLines="40" w:after="96"/>
        <w:jc w:val="both"/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b/>
          <w:color w:val="44546A" w:themeColor="text2"/>
          <w:sz w:val="24"/>
          <w:szCs w:val="24"/>
        </w:rPr>
        <w:t>Odpoveď:</w:t>
      </w:r>
    </w:p>
    <w:p w14:paraId="09380F6A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bCs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bCs/>
          <w:color w:val="44546A" w:themeColor="text2"/>
          <w:sz w:val="24"/>
          <w:szCs w:val="24"/>
        </w:rPr>
        <w:t xml:space="preserve">Indikátor "úspora času v peňažnom vyjadrení" sa vykazuje v mene EURO. Je to tzv. </w:t>
      </w:r>
      <w:proofErr w:type="spellStart"/>
      <w:r w:rsidRPr="00A708D0">
        <w:rPr>
          <w:rFonts w:ascii="Times New Roman" w:hAnsi="Times New Roman"/>
          <w:bCs/>
          <w:color w:val="44546A" w:themeColor="text2"/>
          <w:sz w:val="24"/>
          <w:szCs w:val="24"/>
        </w:rPr>
        <w:t>monetarizovaná</w:t>
      </w:r>
      <w:proofErr w:type="spellEnd"/>
      <w:r w:rsidRPr="00A708D0">
        <w:rPr>
          <w:rFonts w:ascii="Times New Roman" w:hAnsi="Times New Roman"/>
          <w:bCs/>
          <w:color w:val="44546A" w:themeColor="text2"/>
          <w:sz w:val="24"/>
          <w:szCs w:val="24"/>
        </w:rPr>
        <w:t xml:space="preserve"> hodnota úspor času v hodinách, to znamená prepočítaná na peňažné (finančné) vyjadrenie. Uvedený indikátor sa vykazuje vždy k prvému roku od ukončenia realizácie projektu, čo je zároveň aj prvý rok monitorovania udržateľnosti projektu. Východiskový rok nájdete v prílohe č. 1 Nástroj CBA – v programe MS Excel k Metodickému usmerneniu Riadiaceho orgánu pre Integrovaný regionálny operačný program č. 4 k vypracovaniu analýzy nákladov a výnosov projektov cestnej infraštruktúry IROP, v hárku "13 Ekonomická analýza" v časti </w:t>
      </w:r>
      <w:r w:rsidRPr="00A708D0">
        <w:rPr>
          <w:rFonts w:ascii="Times New Roman" w:hAnsi="Times New Roman"/>
          <w:bCs/>
          <w:color w:val="44546A" w:themeColor="text2"/>
          <w:sz w:val="24"/>
          <w:szCs w:val="24"/>
          <w:u w:val="single"/>
        </w:rPr>
        <w:t>celkové prínosy</w:t>
      </w:r>
      <w:r w:rsidRPr="00A708D0">
        <w:rPr>
          <w:rFonts w:ascii="Times New Roman" w:hAnsi="Times New Roman"/>
          <w:bCs/>
          <w:color w:val="44546A" w:themeColor="text2"/>
          <w:sz w:val="24"/>
          <w:szCs w:val="24"/>
        </w:rPr>
        <w:t xml:space="preserve"> a riadok </w:t>
      </w:r>
      <w:r w:rsidRPr="00A708D0">
        <w:rPr>
          <w:rFonts w:ascii="Times New Roman" w:hAnsi="Times New Roman"/>
          <w:bCs/>
          <w:color w:val="44546A" w:themeColor="text2"/>
          <w:sz w:val="24"/>
          <w:szCs w:val="24"/>
          <w:u w:val="single"/>
        </w:rPr>
        <w:t>úspora času</w:t>
      </w:r>
      <w:r w:rsidRPr="00A708D0">
        <w:rPr>
          <w:rFonts w:ascii="Times New Roman" w:hAnsi="Times New Roman"/>
          <w:bCs/>
          <w:color w:val="44546A" w:themeColor="text2"/>
          <w:sz w:val="24"/>
          <w:szCs w:val="24"/>
        </w:rPr>
        <w:t>.</w:t>
      </w:r>
    </w:p>
    <w:p w14:paraId="46B40DB4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  <w:r w:rsidRPr="00A708D0">
        <w:rPr>
          <w:rFonts w:ascii="Times New Roman" w:hAnsi="Times New Roman"/>
          <w:color w:val="212121"/>
          <w:sz w:val="24"/>
          <w:szCs w:val="24"/>
        </w:rPr>
        <w:t> </w:t>
      </w:r>
    </w:p>
    <w:p w14:paraId="0729B5D9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A708D0">
        <w:rPr>
          <w:rFonts w:ascii="Times New Roman" w:hAnsi="Times New Roman"/>
          <w:b/>
          <w:bCs/>
          <w:color w:val="212121"/>
          <w:sz w:val="24"/>
          <w:szCs w:val="24"/>
        </w:rPr>
        <w:t>Otázka č. 2:</w:t>
      </w:r>
    </w:p>
    <w:p w14:paraId="6632054B" w14:textId="42D6C0A4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  <w:r w:rsidRPr="00A708D0">
        <w:rPr>
          <w:rFonts w:ascii="Times New Roman" w:hAnsi="Times New Roman"/>
          <w:color w:val="212121"/>
          <w:sz w:val="24"/>
          <w:szCs w:val="24"/>
        </w:rPr>
        <w:t>Vo výzve  IROP-PO1-SC11-2019-44  je definovaná podmienka poskytnutia príspevku č. 29  Podmienka, že na verejné práce je vykonaná štátna expertíza; popis podmienky a forma preukázania  je v Príručke pre žiadateľa, v. 3.</w:t>
      </w:r>
      <w:r w:rsidR="00BD7C91">
        <w:rPr>
          <w:rFonts w:ascii="Times New Roman" w:hAnsi="Times New Roman"/>
          <w:color w:val="212121"/>
          <w:sz w:val="24"/>
          <w:szCs w:val="24"/>
        </w:rPr>
        <w:t>2</w:t>
      </w:r>
      <w:r w:rsidRPr="00A708D0">
        <w:rPr>
          <w:rFonts w:ascii="Times New Roman" w:hAnsi="Times New Roman"/>
          <w:color w:val="212121"/>
          <w:sz w:val="24"/>
          <w:szCs w:val="24"/>
        </w:rPr>
        <w:t xml:space="preserve">, pod č. </w:t>
      </w:r>
      <w:r w:rsidR="00BD7C91" w:rsidRPr="00A708D0">
        <w:rPr>
          <w:rFonts w:ascii="Times New Roman" w:hAnsi="Times New Roman"/>
          <w:color w:val="212121"/>
          <w:sz w:val="24"/>
          <w:szCs w:val="24"/>
        </w:rPr>
        <w:t>3</w:t>
      </w:r>
      <w:r w:rsidR="00BD7C91">
        <w:rPr>
          <w:rFonts w:ascii="Times New Roman" w:hAnsi="Times New Roman"/>
          <w:color w:val="212121"/>
          <w:sz w:val="24"/>
          <w:szCs w:val="24"/>
        </w:rPr>
        <w:t>4</w:t>
      </w:r>
      <w:r w:rsidRPr="00A708D0">
        <w:rPr>
          <w:rFonts w:ascii="Times New Roman" w:hAnsi="Times New Roman"/>
          <w:color w:val="212121"/>
          <w:sz w:val="24"/>
          <w:szCs w:val="24"/>
        </w:rPr>
        <w:t>.A,  </w:t>
      </w:r>
      <w:r w:rsidR="00BD7C91" w:rsidRPr="00A708D0">
        <w:rPr>
          <w:rFonts w:ascii="Times New Roman" w:hAnsi="Times New Roman"/>
          <w:color w:val="212121"/>
          <w:sz w:val="24"/>
          <w:szCs w:val="24"/>
        </w:rPr>
        <w:t>3</w:t>
      </w:r>
      <w:r w:rsidR="00BD7C91">
        <w:rPr>
          <w:rFonts w:ascii="Times New Roman" w:hAnsi="Times New Roman"/>
          <w:color w:val="212121"/>
          <w:sz w:val="24"/>
          <w:szCs w:val="24"/>
        </w:rPr>
        <w:t>4</w:t>
      </w:r>
      <w:r w:rsidRPr="00A708D0">
        <w:rPr>
          <w:rFonts w:ascii="Times New Roman" w:hAnsi="Times New Roman"/>
          <w:color w:val="212121"/>
          <w:sz w:val="24"/>
          <w:szCs w:val="24"/>
        </w:rPr>
        <w:t>.B. Od 01.09.2019 je účinná novela Zákona č. 218/2019 Z. z., ktorou sa mení Zákon č. 254/1998 Z. z. o verejných prácach, pričom nové znenie § 10 je nasledovné:</w:t>
      </w:r>
    </w:p>
    <w:p w14:paraId="280208AE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  <w:r w:rsidRPr="00A708D0">
        <w:rPr>
          <w:rFonts w:ascii="Times New Roman" w:hAnsi="Times New Roman"/>
          <w:color w:val="212121"/>
          <w:sz w:val="24"/>
          <w:szCs w:val="24"/>
        </w:rPr>
        <w:t>„2) Štátna expertíza sa vykoná</w:t>
      </w:r>
    </w:p>
    <w:p w14:paraId="7113CD68" w14:textId="77777777" w:rsidR="008C170F" w:rsidRPr="00A708D0" w:rsidRDefault="008C170F" w:rsidP="00A708D0">
      <w:pPr>
        <w:pStyle w:val="Odsekzoznamu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708D0">
        <w:rPr>
          <w:rFonts w:ascii="Times New Roman" w:hAnsi="Times New Roman" w:cs="Times New Roman"/>
          <w:color w:val="212121"/>
          <w:sz w:val="24"/>
          <w:szCs w:val="24"/>
        </w:rPr>
        <w:t>na každú verejnú prácu s celkovou cenou vyššou ako 20 mil. eur s výnimkou verejných prác obstarávaných Ministerstvom zahraničných vecí Slovenskej republiky, ktoré sa uskutočňujú v zahraničí, a verejných prác určených na zabezpečenie obrany a bezpečnosti štátu,</w:t>
      </w:r>
    </w:p>
    <w:p w14:paraId="1FBBF297" w14:textId="77777777" w:rsidR="008C170F" w:rsidRPr="00A708D0" w:rsidRDefault="008C170F" w:rsidP="00A708D0">
      <w:pPr>
        <w:pStyle w:val="Odsekzoznamu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708D0">
        <w:rPr>
          <w:rFonts w:ascii="Times New Roman" w:hAnsi="Times New Roman" w:cs="Times New Roman"/>
          <w:color w:val="212121"/>
          <w:sz w:val="24"/>
          <w:szCs w:val="24"/>
        </w:rPr>
        <w:t>na verejnú prácu zásadného významu pre štát, ak tak určí vláda.“</w:t>
      </w:r>
    </w:p>
    <w:p w14:paraId="08563C3D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6F51982B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  <w:r w:rsidRPr="00A708D0">
        <w:rPr>
          <w:rFonts w:ascii="Times New Roman" w:hAnsi="Times New Roman"/>
          <w:color w:val="212121"/>
          <w:sz w:val="24"/>
          <w:szCs w:val="24"/>
        </w:rPr>
        <w:t>Ako má žiadateľ postupovať v rámci príslušnej výzvy?</w:t>
      </w:r>
    </w:p>
    <w:p w14:paraId="2847A9AD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604515A8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Odpoveď: </w:t>
      </w:r>
    </w:p>
    <w:p w14:paraId="555CB6A1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color w:val="44546A" w:themeColor="text2"/>
          <w:sz w:val="24"/>
          <w:szCs w:val="24"/>
        </w:rPr>
        <w:t>V nadväznosti na nadobudnutie účinnosti zákona č. 218/2019 Z. z., ktorým sa mení a dopĺňa zákon č. 254/1998 Z. z. o verejných prácach v znení neskorších zákonov, ktorá nastala  01.09.2019, platia pre podmienku poskytnutia príspevku č. 29 „Podmienka, že na verejné práce je vykonaná štátna expertíza“ nasledovné prechodné ustanovenia: </w:t>
      </w:r>
    </w:p>
    <w:p w14:paraId="60D72E34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color w:val="44546A" w:themeColor="text2"/>
          <w:sz w:val="24"/>
          <w:szCs w:val="24"/>
        </w:rPr>
        <w:t xml:space="preserve">V § 23a novelizovaného zákona č. 254/1998 Z. z., je uvedené, že konania začaté na základe žiadosti o vykonanie štátnej expertízy podľa § 10 podanej do 31. augusta 2019, ktoré neboli </w:t>
      </w:r>
      <w:r w:rsidRPr="00A708D0">
        <w:rPr>
          <w:rFonts w:ascii="Times New Roman" w:hAnsi="Times New Roman"/>
          <w:color w:val="44546A" w:themeColor="text2"/>
          <w:sz w:val="24"/>
          <w:szCs w:val="24"/>
        </w:rPr>
        <w:lastRenderedPageBreak/>
        <w:t xml:space="preserve">právoplatne ukončené pred 1. septembrom 2019, sa dokončia podľa predpisu účinného do 31. augusta 2019. Na konania začaté na základe žiadosti o vykonanie štátnej expertízy podľa § 10 podanej od 1.septembra 2019 sa vzťahujú aktualizované ustanovenia zákona č.218/2019 Z. z. </w:t>
      </w:r>
    </w:p>
    <w:p w14:paraId="3A147A6D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14:paraId="3EA972E7" w14:textId="6EF0ABB6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color w:val="44546A" w:themeColor="text2"/>
          <w:sz w:val="24"/>
          <w:szCs w:val="24"/>
        </w:rPr>
        <w:t>Z uvedeného vyplýva, že žiadateľ v rámci podmienky poskytnutia príspevku č. 29  predkladá dokumentáciu v zmysle novely zákona. Predmetné zmeny zákona  budú premietnuté aj do aktualizovanej verzie Príručky pre žiadateľa.</w:t>
      </w:r>
    </w:p>
    <w:p w14:paraId="05A9D074" w14:textId="77777777" w:rsidR="008C170F" w:rsidRPr="00A708D0" w:rsidRDefault="008C170F" w:rsidP="00A708D0">
      <w:pPr>
        <w:spacing w:before="120"/>
        <w:jc w:val="both"/>
        <w:rPr>
          <w:rFonts w:ascii="Times New Roman" w:hAnsi="Times New Roman"/>
          <w:color w:val="212121"/>
          <w:sz w:val="24"/>
          <w:szCs w:val="24"/>
        </w:rPr>
      </w:pPr>
      <w:r w:rsidRPr="00A708D0">
        <w:rPr>
          <w:rFonts w:ascii="Times New Roman" w:hAnsi="Times New Roman"/>
          <w:color w:val="212121"/>
          <w:sz w:val="24"/>
          <w:szCs w:val="24"/>
        </w:rPr>
        <w:t> </w:t>
      </w:r>
    </w:p>
    <w:p w14:paraId="1C1AC560" w14:textId="149A95D2" w:rsidR="00DC7F61" w:rsidRPr="00215B6A" w:rsidRDefault="009B59C9" w:rsidP="00A708D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6A">
        <w:rPr>
          <w:rFonts w:ascii="Times New Roman" w:hAnsi="Times New Roman"/>
          <w:color w:val="000000" w:themeColor="text1"/>
          <w:sz w:val="24"/>
          <w:szCs w:val="24"/>
        </w:rPr>
        <w:t>AKTUALIZÁCIA</w:t>
      </w:r>
    </w:p>
    <w:p w14:paraId="09724A12" w14:textId="77777777" w:rsidR="00A708D0" w:rsidRPr="00A708D0" w:rsidRDefault="00A708D0" w:rsidP="00A708D0">
      <w:pPr>
        <w:jc w:val="both"/>
        <w:rPr>
          <w:rFonts w:ascii="Times New Roman" w:hAnsi="Times New Roman"/>
          <w:sz w:val="24"/>
          <w:szCs w:val="24"/>
        </w:rPr>
      </w:pPr>
    </w:p>
    <w:p w14:paraId="66FADEC3" w14:textId="663FE59B" w:rsidR="009B59C9" w:rsidRPr="00A708D0" w:rsidRDefault="009B59C9" w:rsidP="00A708D0">
      <w:pPr>
        <w:jc w:val="both"/>
        <w:rPr>
          <w:rFonts w:ascii="Times New Roman" w:hAnsi="Times New Roman"/>
          <w:sz w:val="24"/>
          <w:szCs w:val="24"/>
        </w:rPr>
      </w:pPr>
      <w:r w:rsidRPr="00A708D0">
        <w:rPr>
          <w:rFonts w:ascii="Times New Roman" w:hAnsi="Times New Roman"/>
          <w:b/>
          <w:sz w:val="24"/>
          <w:szCs w:val="24"/>
        </w:rPr>
        <w:t>Otázka č.</w:t>
      </w:r>
      <w:r w:rsidR="00AC6803">
        <w:rPr>
          <w:rFonts w:ascii="Times New Roman" w:hAnsi="Times New Roman"/>
          <w:b/>
          <w:sz w:val="24"/>
          <w:szCs w:val="24"/>
        </w:rPr>
        <w:t xml:space="preserve"> </w:t>
      </w:r>
      <w:r w:rsidRPr="00A708D0">
        <w:rPr>
          <w:rFonts w:ascii="Times New Roman" w:hAnsi="Times New Roman"/>
          <w:b/>
          <w:sz w:val="24"/>
          <w:szCs w:val="24"/>
        </w:rPr>
        <w:t>3</w:t>
      </w:r>
      <w:r w:rsidR="00A708D0">
        <w:rPr>
          <w:rFonts w:ascii="Times New Roman" w:hAnsi="Times New Roman"/>
          <w:sz w:val="24"/>
          <w:szCs w:val="24"/>
        </w:rPr>
        <w:t xml:space="preserve">, </w:t>
      </w:r>
      <w:r w:rsidR="00A708D0" w:rsidRPr="00A708D0">
        <w:rPr>
          <w:rFonts w:ascii="Times New Roman" w:hAnsi="Times New Roman"/>
          <w:sz w:val="24"/>
          <w:szCs w:val="24"/>
        </w:rPr>
        <w:t>10.8.2020</w:t>
      </w:r>
    </w:p>
    <w:p w14:paraId="1BFAB486" w14:textId="5F91669A" w:rsidR="009B59C9" w:rsidRPr="00A708D0" w:rsidRDefault="009B59C9" w:rsidP="00A708D0">
      <w:pPr>
        <w:shd w:val="clear" w:color="auto" w:fill="FFFFFF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A708D0">
        <w:rPr>
          <w:rFonts w:ascii="Times New Roman" w:eastAsia="Times New Roman" w:hAnsi="Times New Roman"/>
          <w:color w:val="212121"/>
          <w:sz w:val="24"/>
          <w:szCs w:val="24"/>
        </w:rPr>
        <w:t>V súvislosti s prípravou projektu v rámci výzvy IROP-PO1-SC11-2019-44 mám nasledovnú otázku:</w:t>
      </w:r>
      <w:r w:rsidR="00EE2435" w:rsidRPr="00A708D0">
        <w:rPr>
          <w:rFonts w:ascii="Times New Roman" w:eastAsia="Times New Roman" w:hAnsi="Times New Roman"/>
          <w:color w:val="212121"/>
          <w:sz w:val="24"/>
          <w:szCs w:val="24"/>
        </w:rPr>
        <w:t xml:space="preserve"> a</w:t>
      </w:r>
      <w:r w:rsidRPr="00A708D0">
        <w:rPr>
          <w:rFonts w:ascii="Times New Roman" w:eastAsia="Times New Roman" w:hAnsi="Times New Roman"/>
          <w:color w:val="212121"/>
          <w:sz w:val="24"/>
          <w:szCs w:val="24"/>
        </w:rPr>
        <w:t>k pri predkladaní projektu žiadateľ spĺňa všetky ostatné podmienky oprávnenosti, je potrebné predkladať prieskum trhu na položky týkajúce sa Informovania a komunikácie (dočasný pútač, stála tabuľa, plagát), keď tieto položky sú uvedené v prílohe č. 2b príručky pre žiadateľa? Na uvedené položky by sme do rozpočtu projektu uviedli sumy v súlade s finančnými limitmi uvedenými v prílohe č. 2 b príručky pre žiadateľa IROP.</w:t>
      </w:r>
    </w:p>
    <w:p w14:paraId="7BEC2D33" w14:textId="77777777" w:rsidR="009B59C9" w:rsidRPr="00A708D0" w:rsidRDefault="009B59C9" w:rsidP="00A708D0">
      <w:pPr>
        <w:shd w:val="clear" w:color="auto" w:fill="FFFFFF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A708D0">
        <w:rPr>
          <w:rFonts w:ascii="Times New Roman" w:eastAsia="Times New Roman" w:hAnsi="Times New Roman"/>
          <w:color w:val="212121"/>
          <w:sz w:val="24"/>
          <w:szCs w:val="24"/>
        </w:rPr>
        <w:t> </w:t>
      </w:r>
    </w:p>
    <w:p w14:paraId="60054000" w14:textId="7B0AB799" w:rsidR="009B59C9" w:rsidRPr="00A708D0" w:rsidRDefault="009B59C9" w:rsidP="00A708D0">
      <w:pPr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hAnsi="Times New Roman"/>
          <w:color w:val="44546A" w:themeColor="text2"/>
          <w:sz w:val="24"/>
          <w:szCs w:val="24"/>
        </w:rPr>
        <w:t>Odpoveď:</w:t>
      </w:r>
    </w:p>
    <w:p w14:paraId="44752D8C" w14:textId="77777777" w:rsidR="009B59C9" w:rsidRPr="00A708D0" w:rsidRDefault="009B59C9" w:rsidP="00A708D0">
      <w:pPr>
        <w:shd w:val="clear" w:color="auto" w:fill="FFFFFF"/>
        <w:jc w:val="both"/>
        <w:rPr>
          <w:rFonts w:ascii="Times New Roman" w:eastAsia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 xml:space="preserve">V zmysle príručky pre žiadateľa platí, že nepriame výdavky, pri ktorých  je vo výzve ich výška obmedzená finančnými limitmi (napr. Mzdové výdavky, výdavky na informovanie a publicitu), nie je žiadateľ povinný na účely posudzovania PZ / konania o </w:t>
      </w:r>
      <w:proofErr w:type="spellStart"/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>ŽoNFP</w:t>
      </w:r>
      <w:proofErr w:type="spellEnd"/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 xml:space="preserve"> preukazovať ďalším (doplňujúcim) spôsobom. Ich výška bude v posudzovaní PZ / konaní o </w:t>
      </w:r>
      <w:proofErr w:type="spellStart"/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>ŽoNFP</w:t>
      </w:r>
      <w:proofErr w:type="spellEnd"/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 xml:space="preserve"> uznaná maximálne do výšky stanoveného finančného limitu.</w:t>
      </w:r>
    </w:p>
    <w:p w14:paraId="5E611CC3" w14:textId="681A061F" w:rsidR="009B59C9" w:rsidRPr="00A708D0" w:rsidRDefault="009B59C9" w:rsidP="00A708D0">
      <w:pPr>
        <w:shd w:val="clear" w:color="auto" w:fill="FFFFFF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14:paraId="26B5EF33" w14:textId="7268F308" w:rsidR="009B59C9" w:rsidRPr="00A708D0" w:rsidRDefault="009D34D8" w:rsidP="00A708D0">
      <w:pPr>
        <w:jc w:val="both"/>
        <w:rPr>
          <w:rFonts w:ascii="Times New Roman" w:hAnsi="Times New Roman"/>
          <w:sz w:val="24"/>
          <w:szCs w:val="24"/>
        </w:rPr>
      </w:pPr>
      <w:r w:rsidRPr="00A708D0">
        <w:rPr>
          <w:rFonts w:ascii="Times New Roman" w:hAnsi="Times New Roman"/>
          <w:b/>
          <w:sz w:val="24"/>
          <w:szCs w:val="24"/>
        </w:rPr>
        <w:t>Otázka č.</w:t>
      </w:r>
      <w:r w:rsidR="00AC6803">
        <w:rPr>
          <w:rFonts w:ascii="Times New Roman" w:hAnsi="Times New Roman"/>
          <w:b/>
          <w:sz w:val="24"/>
          <w:szCs w:val="24"/>
        </w:rPr>
        <w:t xml:space="preserve"> </w:t>
      </w:r>
      <w:r w:rsidRPr="00A708D0">
        <w:rPr>
          <w:rFonts w:ascii="Times New Roman" w:hAnsi="Times New Roman"/>
          <w:b/>
          <w:sz w:val="24"/>
          <w:szCs w:val="24"/>
        </w:rPr>
        <w:t>4</w:t>
      </w:r>
      <w:r w:rsidR="00A708D0">
        <w:rPr>
          <w:rFonts w:ascii="Times New Roman" w:hAnsi="Times New Roman"/>
          <w:sz w:val="24"/>
          <w:szCs w:val="24"/>
        </w:rPr>
        <w:t xml:space="preserve">, </w:t>
      </w:r>
      <w:r w:rsidR="00A708D0" w:rsidRPr="00A708D0">
        <w:rPr>
          <w:rFonts w:ascii="Times New Roman" w:hAnsi="Times New Roman"/>
          <w:sz w:val="24"/>
          <w:szCs w:val="24"/>
        </w:rPr>
        <w:t>21.7.2020</w:t>
      </w:r>
    </w:p>
    <w:p w14:paraId="6BEA79AA" w14:textId="5BD5D0EE" w:rsidR="009D34D8" w:rsidRPr="00A708D0" w:rsidRDefault="009D34D8" w:rsidP="00A708D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8D0">
        <w:rPr>
          <w:rFonts w:ascii="Times New Roman" w:eastAsia="Times New Roman" w:hAnsi="Times New Roman"/>
          <w:color w:val="000000"/>
          <w:sz w:val="24"/>
          <w:szCs w:val="24"/>
        </w:rPr>
        <w:t xml:space="preserve">Samosprávny kraj ako oprávnený žiadateľ pre výzvu  IROP-PO1-SC11-2019-44 predkladá </w:t>
      </w:r>
      <w:proofErr w:type="spellStart"/>
      <w:r w:rsidRPr="00A708D0">
        <w:rPr>
          <w:rFonts w:ascii="Times New Roman" w:eastAsia="Times New Roman" w:hAnsi="Times New Roman"/>
          <w:color w:val="000000"/>
          <w:sz w:val="24"/>
          <w:szCs w:val="24"/>
        </w:rPr>
        <w:t>ŽoNFP</w:t>
      </w:r>
      <w:proofErr w:type="spellEnd"/>
      <w:r w:rsidRPr="00A708D0">
        <w:rPr>
          <w:rFonts w:ascii="Times New Roman" w:eastAsia="Times New Roman" w:hAnsi="Times New Roman"/>
          <w:color w:val="000000"/>
          <w:sz w:val="24"/>
          <w:szCs w:val="24"/>
        </w:rPr>
        <w:t xml:space="preserve"> na modernizáciu a rekonštrukciu ciest II. triedy za účelom zlepšenia dostupnosti k infraštruktúre TEN-T a cestám I. triedy s dôrazom na rozvoj </w:t>
      </w:r>
      <w:proofErr w:type="spellStart"/>
      <w:r w:rsidRPr="00A708D0">
        <w:rPr>
          <w:rFonts w:ascii="Times New Roman" w:eastAsia="Times New Roman" w:hAnsi="Times New Roman"/>
          <w:color w:val="000000"/>
          <w:sz w:val="24"/>
          <w:szCs w:val="24"/>
        </w:rPr>
        <w:t>multimodálneho</w:t>
      </w:r>
      <w:proofErr w:type="spellEnd"/>
      <w:r w:rsidRPr="00A708D0">
        <w:rPr>
          <w:rFonts w:ascii="Times New Roman" w:eastAsia="Times New Roman" w:hAnsi="Times New Roman"/>
          <w:color w:val="000000"/>
          <w:sz w:val="24"/>
          <w:szCs w:val="24"/>
        </w:rPr>
        <w:t xml:space="preserve"> dopravného systému.</w:t>
      </w:r>
      <w:r w:rsidR="00A70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708D0">
        <w:rPr>
          <w:rFonts w:ascii="Times New Roman" w:eastAsia="Times New Roman" w:hAnsi="Times New Roman"/>
          <w:bCs/>
          <w:color w:val="000000"/>
          <w:sz w:val="24"/>
          <w:szCs w:val="24"/>
        </w:rPr>
        <w:t>Je potrebné predkladať finančnú analýzu pre projekty, ktorých celkové oprávnené výdavky sú vyššie ako 1 milión Eur , pričom projekty negenerujú príjem?</w:t>
      </w:r>
    </w:p>
    <w:p w14:paraId="792EADD9" w14:textId="3304734B" w:rsidR="009D34D8" w:rsidRPr="00A708D0" w:rsidRDefault="009D34D8" w:rsidP="00A708D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A708D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9EC154A" w14:textId="4BA0D68C" w:rsidR="009D34D8" w:rsidRPr="00A708D0" w:rsidRDefault="009D34D8" w:rsidP="00A708D0">
      <w:pPr>
        <w:shd w:val="clear" w:color="auto" w:fill="FFFFFF"/>
        <w:jc w:val="both"/>
        <w:rPr>
          <w:rFonts w:ascii="Times New Roman" w:eastAsia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>Odpoveď: </w:t>
      </w:r>
    </w:p>
    <w:p w14:paraId="670134EA" w14:textId="320E232D" w:rsidR="009D34D8" w:rsidRPr="00A708D0" w:rsidRDefault="009D34D8" w:rsidP="00A708D0">
      <w:pPr>
        <w:shd w:val="clear" w:color="auto" w:fill="FFFFFF"/>
        <w:jc w:val="both"/>
        <w:rPr>
          <w:rFonts w:ascii="Times New Roman" w:eastAsia="Times New Roman" w:hAnsi="Times New Roman"/>
          <w:color w:val="44546A" w:themeColor="text2"/>
          <w:sz w:val="24"/>
          <w:szCs w:val="24"/>
        </w:rPr>
      </w:pPr>
      <w:r w:rsidRPr="00A708D0">
        <w:rPr>
          <w:rFonts w:ascii="Times New Roman" w:eastAsia="Times New Roman" w:hAnsi="Times New Roman"/>
          <w:color w:val="44546A" w:themeColor="text2"/>
          <w:sz w:val="24"/>
          <w:szCs w:val="24"/>
        </w:rPr>
        <w:t>Áno, vždy je potrebné predložiť aj finančnú analýzu pokiaľ je projekt nad 1 mil. euro, bez ohľadu či projekt generuje, alebo negeneruje čisté príjmy.</w:t>
      </w:r>
    </w:p>
    <w:p w14:paraId="3457DA89" w14:textId="77777777" w:rsidR="009D34D8" w:rsidRPr="00A708D0" w:rsidRDefault="009D34D8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A708D0">
        <w:rPr>
          <w:rFonts w:ascii="Times New Roman" w:eastAsia="Times New Roman" w:hAnsi="Times New Roman"/>
          <w:sz w:val="24"/>
          <w:szCs w:val="24"/>
        </w:rPr>
        <w:t> </w:t>
      </w:r>
    </w:p>
    <w:p w14:paraId="3A920ACA" w14:textId="721AC6C6" w:rsidR="009D34D8" w:rsidRPr="00AA14A6" w:rsidRDefault="00324335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AA14A6">
        <w:rPr>
          <w:rFonts w:ascii="Times New Roman" w:eastAsia="Times New Roman" w:hAnsi="Times New Roman"/>
          <w:b/>
          <w:sz w:val="24"/>
          <w:szCs w:val="24"/>
        </w:rPr>
        <w:t>Otázka č.5</w:t>
      </w:r>
      <w:r w:rsidRPr="00AA14A6">
        <w:rPr>
          <w:rFonts w:ascii="Times New Roman" w:eastAsia="Times New Roman" w:hAnsi="Times New Roman"/>
          <w:sz w:val="24"/>
          <w:szCs w:val="24"/>
        </w:rPr>
        <w:t>, 30.7.2019</w:t>
      </w:r>
    </w:p>
    <w:p w14:paraId="42FB992B" w14:textId="0860118B" w:rsidR="00324335" w:rsidRPr="00AA14A6" w:rsidRDefault="00324335" w:rsidP="006B7FF4">
      <w:pPr>
        <w:jc w:val="both"/>
        <w:rPr>
          <w:rFonts w:ascii="Times New Roman" w:hAnsi="Times New Roman"/>
          <w:sz w:val="24"/>
          <w:szCs w:val="24"/>
        </w:rPr>
      </w:pPr>
      <w:r w:rsidRPr="00AA14A6">
        <w:rPr>
          <w:rFonts w:ascii="Times New Roman" w:hAnsi="Times New Roman"/>
          <w:sz w:val="24"/>
          <w:szCs w:val="24"/>
        </w:rPr>
        <w:t xml:space="preserve">V zmysle zverejnenej výzvy, je oprávneným územím realizácie projektu celé územie SR s výnimkou Banskobystrického kraja, RIÚS Bratislavského kraja, MFO Trnavského kraja, MFO Trenčianskeho kraja a MFO Žilinského kraja. Predkladaná otázka znie: </w:t>
      </w:r>
      <w:r w:rsidRPr="00AA14A6">
        <w:rPr>
          <w:rFonts w:ascii="Times New Roman" w:hAnsi="Times New Roman"/>
          <w:b/>
          <w:bCs/>
          <w:sz w:val="24"/>
          <w:szCs w:val="24"/>
        </w:rPr>
        <w:t>Je oprávnen</w:t>
      </w:r>
      <w:r w:rsidR="004B1858">
        <w:rPr>
          <w:rFonts w:ascii="Times New Roman" w:hAnsi="Times New Roman"/>
          <w:b/>
          <w:bCs/>
          <w:sz w:val="24"/>
          <w:szCs w:val="24"/>
        </w:rPr>
        <w:t>ým žiadateľom Mesto XY</w:t>
      </w:r>
      <w:r w:rsidRPr="00AA14A6">
        <w:rPr>
          <w:rFonts w:ascii="Times New Roman" w:hAnsi="Times New Roman"/>
          <w:b/>
          <w:bCs/>
          <w:sz w:val="24"/>
          <w:szCs w:val="24"/>
        </w:rPr>
        <w:t xml:space="preserve"> v rámci predkladaného úseku (viď  príloha + popis)</w:t>
      </w:r>
    </w:p>
    <w:p w14:paraId="492FE721" w14:textId="3D14B070" w:rsidR="00324335" w:rsidRPr="00AA14A6" w:rsidRDefault="00324335" w:rsidP="006B7FF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AA14A6">
        <w:rPr>
          <w:rFonts w:ascii="Times New Roman" w:hAnsi="Times New Roman" w:cs="Times New Roman"/>
          <w:sz w:val="24"/>
          <w:szCs w:val="24"/>
        </w:rPr>
        <w:t xml:space="preserve">- úsekom realizácie projektu </w:t>
      </w:r>
      <w:r w:rsidR="008A4B13">
        <w:rPr>
          <w:rFonts w:ascii="Times New Roman" w:hAnsi="Times New Roman" w:cs="Times New Roman"/>
          <w:sz w:val="24"/>
          <w:szCs w:val="24"/>
        </w:rPr>
        <w:t>by malo byť prepojenie XY cesty s AB</w:t>
      </w:r>
      <w:r w:rsidRPr="00AA14A6">
        <w:rPr>
          <w:rFonts w:ascii="Times New Roman" w:hAnsi="Times New Roman" w:cs="Times New Roman"/>
          <w:sz w:val="24"/>
          <w:szCs w:val="24"/>
        </w:rPr>
        <w:t xml:space="preserve"> cestou za priemyselným parkom. Táto komunikácia by slúžila, na nákladnú a osobnú dopravu a sprístupnil by Priemyselný park. V súčasnosti do priemyselného parku nemáme zabezpečený prístup pre nákladnú dopravu.</w:t>
      </w:r>
    </w:p>
    <w:p w14:paraId="281BB1BD" w14:textId="0C481557" w:rsidR="00521B91" w:rsidRDefault="00521B91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14:paraId="44676846" w14:textId="48DF5D96" w:rsidR="004B1858" w:rsidRDefault="004B1858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14:paraId="3C161949" w14:textId="33A56766" w:rsidR="004B1858" w:rsidRDefault="004B1858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14:paraId="6B7C8B92" w14:textId="0F5546E8" w:rsidR="004B1858" w:rsidRDefault="004B1858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14:paraId="558DDD2D" w14:textId="77777777" w:rsidR="004B1858" w:rsidRPr="00AA14A6" w:rsidRDefault="004B1858" w:rsidP="00A708D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14:paraId="1AD68F5F" w14:textId="7F2A4BC1" w:rsidR="00AA14A6" w:rsidRPr="00AA14A6" w:rsidRDefault="00AA14A6" w:rsidP="00A708D0">
      <w:pPr>
        <w:shd w:val="clear" w:color="auto" w:fill="FFFFFF"/>
        <w:rPr>
          <w:rFonts w:ascii="Times New Roman" w:eastAsia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eastAsia="Times New Roman" w:hAnsi="Times New Roman"/>
          <w:color w:val="44546A" w:themeColor="text2"/>
          <w:sz w:val="24"/>
          <w:szCs w:val="24"/>
        </w:rPr>
        <w:t>Odpoveď:</w:t>
      </w:r>
    </w:p>
    <w:p w14:paraId="5B13A24B" w14:textId="77777777" w:rsidR="00AA14A6" w:rsidRPr="00AA14A6" w:rsidRDefault="00AA14A6" w:rsidP="00AA14A6">
      <w:pPr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>výzva je určená na rekonštrukciu a modernizáciu ciest II. a III. triedy, v prípade území s vypracovaným plánom udržateľnej mobility je oprávnená aj výstavba ciest II. triedy (výnimočne III. triedy). Oprávnenými žiadateľmi v rámci výzvy sú:</w:t>
      </w:r>
    </w:p>
    <w:p w14:paraId="1B46094A" w14:textId="77777777" w:rsidR="00AA14A6" w:rsidRPr="00AA14A6" w:rsidRDefault="00AA14A6" w:rsidP="00AA14A6">
      <w:pPr>
        <w:numPr>
          <w:ilvl w:val="0"/>
          <w:numId w:val="2"/>
        </w:numPr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>samosprávny kraj ako vlastník ciest II. a III. triedy,</w:t>
      </w:r>
    </w:p>
    <w:p w14:paraId="68DF20E4" w14:textId="77777777" w:rsidR="00AA14A6" w:rsidRPr="00AA14A6" w:rsidRDefault="00AA14A6" w:rsidP="00AA14A6">
      <w:pPr>
        <w:numPr>
          <w:ilvl w:val="0"/>
          <w:numId w:val="2"/>
        </w:numPr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>Hlavné mesto SR Bratislava ako vlastník ciest II. a III. triedy,</w:t>
      </w:r>
    </w:p>
    <w:p w14:paraId="52FDAFD5" w14:textId="77777777" w:rsidR="00AA14A6" w:rsidRPr="00AA14A6" w:rsidRDefault="00AA14A6" w:rsidP="00AA14A6">
      <w:pPr>
        <w:numPr>
          <w:ilvl w:val="0"/>
          <w:numId w:val="2"/>
        </w:numPr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>Mesto Košice ako vlastník ciest II. a III. triedy,</w:t>
      </w:r>
    </w:p>
    <w:p w14:paraId="694F5285" w14:textId="77777777" w:rsidR="00AA14A6" w:rsidRPr="00AA14A6" w:rsidRDefault="00AA14A6" w:rsidP="00AA14A6">
      <w:pPr>
        <w:numPr>
          <w:ilvl w:val="0"/>
          <w:numId w:val="2"/>
        </w:numPr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>právnická osoba</w:t>
      </w:r>
      <w:r w:rsidRPr="00AA14A6">
        <w:rPr>
          <w:rFonts w:ascii="Times New Roman" w:hAnsi="Times New Roman"/>
          <w:color w:val="44546A" w:themeColor="text2"/>
          <w:sz w:val="24"/>
          <w:szCs w:val="24"/>
          <w:vertAlign w:val="superscript"/>
        </w:rPr>
        <w:footnoteReference w:customMarkFollows="1" w:id="1"/>
        <w:t>[1]</w:t>
      </w:r>
      <w:r w:rsidRPr="00AA14A6">
        <w:rPr>
          <w:rFonts w:ascii="Times New Roman" w:hAnsi="Times New Roman"/>
          <w:color w:val="44546A" w:themeColor="text2"/>
          <w:sz w:val="24"/>
          <w:szCs w:val="24"/>
        </w:rPr>
        <w:t xml:space="preserve"> podľa osobitných predpisov (podľa § 2 ods. 2 Obchodného zákonníka),</w:t>
      </w:r>
    </w:p>
    <w:p w14:paraId="231DB7D9" w14:textId="77777777" w:rsidR="00AA14A6" w:rsidRPr="00AA14A6" w:rsidRDefault="00AA14A6" w:rsidP="00AA14A6">
      <w:pPr>
        <w:numPr>
          <w:ilvl w:val="0"/>
          <w:numId w:val="2"/>
        </w:numPr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>organizácia zriadená vyšším územným celkom za účelom výstavby, správy a údržby ciest</w:t>
      </w:r>
      <w:r w:rsidRPr="00AA14A6">
        <w:rPr>
          <w:rFonts w:ascii="Times New Roman" w:hAnsi="Times New Roman"/>
          <w:color w:val="44546A" w:themeColor="text2"/>
          <w:sz w:val="24"/>
          <w:szCs w:val="24"/>
          <w:vertAlign w:val="superscript"/>
        </w:rPr>
        <w:footnoteReference w:customMarkFollows="1" w:id="2"/>
        <w:t>[2]</w:t>
      </w:r>
      <w:r w:rsidRPr="00AA14A6">
        <w:rPr>
          <w:rFonts w:ascii="Times New Roman" w:hAnsi="Times New Roman"/>
          <w:color w:val="44546A" w:themeColor="text2"/>
          <w:sz w:val="24"/>
          <w:szCs w:val="24"/>
        </w:rPr>
        <w:t xml:space="preserve">. </w:t>
      </w:r>
    </w:p>
    <w:p w14:paraId="4622B927" w14:textId="77777777" w:rsidR="00AA14A6" w:rsidRPr="00AA14A6" w:rsidRDefault="00AA14A6" w:rsidP="00AA14A6">
      <w:pPr>
        <w:rPr>
          <w:rFonts w:ascii="Times New Roman" w:hAnsi="Times New Roman"/>
          <w:color w:val="44546A" w:themeColor="text2"/>
          <w:sz w:val="24"/>
          <w:szCs w:val="24"/>
        </w:rPr>
      </w:pPr>
    </w:p>
    <w:p w14:paraId="3D25E549" w14:textId="77777777" w:rsidR="00AA14A6" w:rsidRPr="00AA14A6" w:rsidRDefault="00AA14A6" w:rsidP="00AA14A6">
      <w:pPr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AA14A6">
        <w:rPr>
          <w:rFonts w:ascii="Times New Roman" w:hAnsi="Times New Roman"/>
          <w:color w:val="44546A" w:themeColor="text2"/>
          <w:sz w:val="24"/>
          <w:szCs w:val="24"/>
        </w:rPr>
        <w:t xml:space="preserve">V zmysle vyššie uvedeného vyplýva, že výzva nie je určená pre obce a mestá na rekonštrukciu resp. výstavbu miestnych komunikácií. </w:t>
      </w:r>
    </w:p>
    <w:p w14:paraId="14A92FF7" w14:textId="1AB8096E" w:rsidR="00AA14A6" w:rsidRPr="00AA14A6" w:rsidRDefault="00AA14A6" w:rsidP="00AA14A6">
      <w:pPr>
        <w:shd w:val="clear" w:color="auto" w:fill="FFFFFF"/>
        <w:jc w:val="both"/>
        <w:rPr>
          <w:rFonts w:ascii="Times New Roman" w:eastAsia="Times New Roman" w:hAnsi="Times New Roman"/>
          <w:color w:val="44546A" w:themeColor="text2"/>
          <w:sz w:val="24"/>
          <w:szCs w:val="24"/>
        </w:rPr>
      </w:pPr>
    </w:p>
    <w:sectPr w:rsidR="00AA14A6" w:rsidRPr="00AA14A6" w:rsidSect="00AC22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1C88" w14:textId="77777777" w:rsidR="007D039A" w:rsidRDefault="007D039A">
      <w:r>
        <w:separator/>
      </w:r>
    </w:p>
  </w:endnote>
  <w:endnote w:type="continuationSeparator" w:id="0">
    <w:p w14:paraId="0D8390AB" w14:textId="77777777" w:rsidR="007D039A" w:rsidRDefault="007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67F855EA" w14:textId="7793B011" w:rsidR="002A1A44" w:rsidRPr="001309DC" w:rsidRDefault="008C170F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BD7C91">
          <w:rPr>
            <w:rFonts w:ascii="Times New Roman" w:hAnsi="Times New Roman"/>
            <w:noProof/>
            <w:sz w:val="24"/>
            <w:szCs w:val="24"/>
          </w:rPr>
          <w:t>3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D04EE17" w14:textId="77777777" w:rsidR="002A1A44" w:rsidRDefault="004A4E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F120" w14:textId="77777777" w:rsidR="007D039A" w:rsidRDefault="007D039A">
      <w:r>
        <w:separator/>
      </w:r>
    </w:p>
  </w:footnote>
  <w:footnote w:type="continuationSeparator" w:id="0">
    <w:p w14:paraId="515B3473" w14:textId="77777777" w:rsidR="007D039A" w:rsidRDefault="007D039A">
      <w:r>
        <w:continuationSeparator/>
      </w:r>
    </w:p>
  </w:footnote>
  <w:footnote w:id="1">
    <w:p w14:paraId="71D9EC5F" w14:textId="77777777" w:rsidR="00AA14A6" w:rsidRDefault="00AA14A6" w:rsidP="00AA14A6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  <w:sz w:val="16"/>
          <w:szCs w:val="16"/>
        </w:rPr>
        <w:t>[1]</w:t>
      </w:r>
      <w:r>
        <w:t xml:space="preserve"> V zriaďovateľskej pôsobnosti samosprávneho kraja zabezpečujúca správu a údržbu ciest samosprávneho kraja. Platí pre organizácie, ktoré nie sú subjektmi verejnej správy. </w:t>
      </w:r>
    </w:p>
  </w:footnote>
  <w:footnote w:id="2">
    <w:p w14:paraId="504DE3F5" w14:textId="77777777" w:rsidR="00AA14A6" w:rsidRDefault="00AA14A6" w:rsidP="00AA14A6">
      <w:pPr>
        <w:pStyle w:val="Textpoznmkypodiarou"/>
      </w:pPr>
      <w:r>
        <w:rPr>
          <w:rStyle w:val="Odkaznapoznmkupodiarou"/>
          <w:sz w:val="16"/>
          <w:szCs w:val="16"/>
        </w:rPr>
        <w:t>[2]</w:t>
      </w:r>
      <w:r>
        <w:t xml:space="preserve"> Subjekt verejnej správy.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9F05" w14:textId="310E7F42" w:rsidR="002A1A44" w:rsidRDefault="00546D59" w:rsidP="00D961E1">
    <w:pPr>
      <w:pStyle w:val="Hlavika"/>
      <w:tabs>
        <w:tab w:val="clear" w:pos="4536"/>
        <w:tab w:val="center" w:pos="42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E26F1" wp14:editId="5770763E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5762625" cy="56060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2625" cy="560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70F">
      <w:tab/>
    </w:r>
    <w:r w:rsidR="008C170F">
      <w:tab/>
    </w:r>
  </w:p>
  <w:p w14:paraId="6C177B73" w14:textId="77777777" w:rsidR="004F61DC" w:rsidRDefault="004A4E3D" w:rsidP="00D961E1">
    <w:pPr>
      <w:pStyle w:val="Hlavika"/>
      <w:tabs>
        <w:tab w:val="clear" w:pos="4536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94F0D"/>
    <w:multiLevelType w:val="hybridMultilevel"/>
    <w:tmpl w:val="B928A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552E"/>
    <w:multiLevelType w:val="multilevel"/>
    <w:tmpl w:val="1FD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D60FD"/>
    <w:multiLevelType w:val="hybridMultilevel"/>
    <w:tmpl w:val="2B00F350"/>
    <w:lvl w:ilvl="0" w:tplc="94A865F4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0F"/>
    <w:rsid w:val="00000EEF"/>
    <w:rsid w:val="00024BCE"/>
    <w:rsid w:val="00094CC6"/>
    <w:rsid w:val="000C3422"/>
    <w:rsid w:val="00215B6A"/>
    <w:rsid w:val="00324335"/>
    <w:rsid w:val="004A4E3D"/>
    <w:rsid w:val="004B1858"/>
    <w:rsid w:val="004F6209"/>
    <w:rsid w:val="00521B91"/>
    <w:rsid w:val="00546D59"/>
    <w:rsid w:val="006B7FF4"/>
    <w:rsid w:val="007D039A"/>
    <w:rsid w:val="008A4B13"/>
    <w:rsid w:val="008C170F"/>
    <w:rsid w:val="00914DD6"/>
    <w:rsid w:val="009B59C9"/>
    <w:rsid w:val="009D34D8"/>
    <w:rsid w:val="00A708D0"/>
    <w:rsid w:val="00AA14A6"/>
    <w:rsid w:val="00AC6803"/>
    <w:rsid w:val="00AD5ACE"/>
    <w:rsid w:val="00BD7C91"/>
    <w:rsid w:val="00D625B8"/>
    <w:rsid w:val="00DC7F61"/>
    <w:rsid w:val="00E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  <w15:chartTrackingRefBased/>
  <w15:docId w15:val="{48573060-26AD-40E4-BE4F-F2E8426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70F"/>
    <w:pPr>
      <w:spacing w:after="0" w:line="240" w:lineRule="auto"/>
    </w:pPr>
    <w:rPr>
      <w:rFonts w:ascii="Calibri" w:hAnsi="Calibri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70F"/>
    <w:rPr>
      <w:rFonts w:ascii="Calibri" w:hAnsi="Calibri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70F"/>
    <w:rPr>
      <w:rFonts w:ascii="Calibri" w:hAnsi="Calibri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8C170F"/>
    <w:pPr>
      <w:ind w:left="720"/>
    </w:pPr>
    <w:rPr>
      <w:rFonts w:cs="Calibri"/>
    </w:rPr>
  </w:style>
  <w:style w:type="paragraph" w:customStyle="1" w:styleId="default">
    <w:name w:val="default"/>
    <w:basedOn w:val="Normlny"/>
    <w:rsid w:val="009B59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D34D8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24335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24335"/>
    <w:rPr>
      <w:rFonts w:ascii="Calibri" w:hAnsi="Calibri" w:cs="Calibri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14A6"/>
    <w:rPr>
      <w:rFonts w:cs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14A6"/>
    <w:rPr>
      <w:rFonts w:ascii="Calibri" w:hAnsi="Calibri" w:cs="Calibri"/>
      <w:sz w:val="20"/>
      <w:szCs w:val="20"/>
      <w:lang w:val="sk-SK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uiPriority w:val="99"/>
    <w:semiHidden/>
    <w:unhideWhenUsed/>
    <w:rsid w:val="00AA14A6"/>
    <w:rPr>
      <w:rFonts w:ascii="Arial" w:hAnsi="Arial" w:cs="Arial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D7C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7C91"/>
    <w:rPr>
      <w:rFonts w:ascii="Calibri" w:hAnsi="Calibri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7C91"/>
    <w:rPr>
      <w:rFonts w:ascii="Calibri" w:hAnsi="Calibri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BD7C91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C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C91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9951-7ED4-4CA7-9967-2231CE86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labaj</dc:creator>
  <cp:keywords/>
  <dc:description/>
  <cp:lastModifiedBy>marian labaj</cp:lastModifiedBy>
  <cp:revision>4</cp:revision>
  <dcterms:created xsi:type="dcterms:W3CDTF">2020-12-04T12:43:00Z</dcterms:created>
  <dcterms:modified xsi:type="dcterms:W3CDTF">2020-12-04T14:59:00Z</dcterms:modified>
</cp:coreProperties>
</file>