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DDA9" w14:textId="2D6EA1CB" w:rsidR="004C1622" w:rsidRPr="004C1622" w:rsidRDefault="00643DCB" w:rsidP="004C1622">
      <w:pPr>
        <w:spacing w:afterLines="20" w:after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1F2">
        <w:rPr>
          <w:rFonts w:ascii="Times New Roman" w:hAnsi="Times New Roman"/>
          <w:b/>
          <w:sz w:val="28"/>
          <w:szCs w:val="28"/>
        </w:rPr>
        <w:t>Najčastejšie kladené otázky (FAQ) k </w:t>
      </w:r>
      <w:r w:rsidR="004C1622">
        <w:rPr>
          <w:rFonts w:ascii="Times New Roman" w:hAnsi="Times New Roman"/>
          <w:b/>
          <w:bCs/>
          <w:sz w:val="28"/>
          <w:szCs w:val="28"/>
        </w:rPr>
        <w:t>v</w:t>
      </w:r>
      <w:r w:rsidR="004C1622" w:rsidRPr="004C1622">
        <w:rPr>
          <w:rFonts w:ascii="Times New Roman" w:hAnsi="Times New Roman"/>
          <w:b/>
          <w:bCs/>
          <w:sz w:val="28"/>
          <w:szCs w:val="28"/>
        </w:rPr>
        <w:t>ýzv</w:t>
      </w:r>
      <w:r w:rsidR="004C1622">
        <w:rPr>
          <w:rFonts w:ascii="Times New Roman" w:hAnsi="Times New Roman"/>
          <w:b/>
          <w:bCs/>
          <w:sz w:val="28"/>
          <w:szCs w:val="28"/>
        </w:rPr>
        <w:t>e</w:t>
      </w:r>
      <w:r w:rsidR="004C1622" w:rsidRPr="004C1622">
        <w:rPr>
          <w:rFonts w:ascii="Times New Roman" w:hAnsi="Times New Roman"/>
          <w:b/>
          <w:bCs/>
          <w:sz w:val="28"/>
          <w:szCs w:val="28"/>
        </w:rPr>
        <w:t xml:space="preserve"> na predkladanie ŽoNFP na zvýšenie počtu žiakov stredných odborných škôl na praktickom vyučovaní v rámci Iniciatívy </w:t>
      </w:r>
      <w:proofErr w:type="spellStart"/>
      <w:r w:rsidR="004C1622" w:rsidRPr="004C1622">
        <w:rPr>
          <w:rFonts w:ascii="Times New Roman" w:hAnsi="Times New Roman"/>
          <w:b/>
          <w:bCs/>
          <w:sz w:val="28"/>
          <w:szCs w:val="28"/>
        </w:rPr>
        <w:t>Catching-up</w:t>
      </w:r>
      <w:proofErr w:type="spellEnd"/>
      <w:r w:rsidR="004C1622" w:rsidRPr="004C162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C1622" w:rsidRPr="004C1622">
        <w:rPr>
          <w:rFonts w:ascii="Times New Roman" w:hAnsi="Times New Roman"/>
          <w:b/>
          <w:bCs/>
          <w:sz w:val="28"/>
          <w:szCs w:val="28"/>
        </w:rPr>
        <w:t>Regions</w:t>
      </w:r>
      <w:proofErr w:type="spellEnd"/>
      <w:r w:rsidR="004C1622" w:rsidRPr="004C1622">
        <w:rPr>
          <w:rFonts w:ascii="Times New Roman" w:hAnsi="Times New Roman"/>
          <w:b/>
          <w:bCs/>
          <w:sz w:val="28"/>
          <w:szCs w:val="28"/>
        </w:rPr>
        <w:t>, kód výzvy: IROP-PO2-SC223-2020-57</w:t>
      </w:r>
    </w:p>
    <w:p w14:paraId="364071B3" w14:textId="0A592F9A" w:rsidR="00C0482E" w:rsidRPr="00CE21F2" w:rsidRDefault="00C0482E" w:rsidP="004C1622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14:paraId="6156BBE3" w14:textId="77777777" w:rsidR="00643DCB" w:rsidRPr="00CE21F2" w:rsidRDefault="00643DCB" w:rsidP="009970C8">
      <w:pPr>
        <w:spacing w:afterLines="20" w:after="48"/>
        <w:jc w:val="both"/>
        <w:rPr>
          <w:rFonts w:ascii="Times New Roman" w:hAnsi="Times New Roman"/>
          <w:b/>
          <w:sz w:val="24"/>
          <w:szCs w:val="24"/>
        </w:rPr>
      </w:pPr>
    </w:p>
    <w:p w14:paraId="72A2E5A2" w14:textId="59305731"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9D764C">
        <w:rPr>
          <w:rFonts w:ascii="Times New Roman" w:hAnsi="Times New Roman"/>
          <w:sz w:val="24"/>
          <w:szCs w:val="24"/>
        </w:rPr>
        <w:t>1</w:t>
      </w:r>
      <w:r w:rsidRPr="00A67732">
        <w:rPr>
          <w:rFonts w:ascii="Times New Roman" w:hAnsi="Times New Roman"/>
          <w:sz w:val="24"/>
          <w:szCs w:val="24"/>
        </w:rPr>
        <w:t>:</w:t>
      </w:r>
    </w:p>
    <w:p w14:paraId="6E5068A6" w14:textId="2E8DD170" w:rsidR="009E6CA2" w:rsidRPr="00A67732" w:rsidRDefault="009E6CA2" w:rsidP="00D5753A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Môže </w:t>
      </w:r>
      <w:r w:rsidR="00D5753A">
        <w:rPr>
          <w:rFonts w:ascii="Times New Roman" w:hAnsi="Times New Roman"/>
          <w:sz w:val="24"/>
          <w:szCs w:val="24"/>
        </w:rPr>
        <w:t xml:space="preserve">podať </w:t>
      </w:r>
      <w:r w:rsidR="009D764C">
        <w:rPr>
          <w:rFonts w:ascii="Times New Roman" w:hAnsi="Times New Roman"/>
          <w:sz w:val="24"/>
          <w:szCs w:val="24"/>
        </w:rPr>
        <w:t xml:space="preserve">žiadosť </w:t>
      </w:r>
      <w:r w:rsidR="00667DF4">
        <w:rPr>
          <w:rFonts w:ascii="Times New Roman" w:hAnsi="Times New Roman"/>
          <w:sz w:val="24"/>
          <w:szCs w:val="24"/>
        </w:rPr>
        <w:t xml:space="preserve">o NFP </w:t>
      </w:r>
      <w:r w:rsidR="00D5753A">
        <w:rPr>
          <w:rFonts w:ascii="Times New Roman" w:hAnsi="Times New Roman"/>
          <w:sz w:val="24"/>
          <w:szCs w:val="24"/>
        </w:rPr>
        <w:t>aj samotná škola</w:t>
      </w:r>
      <w:r w:rsidRPr="00A67732">
        <w:rPr>
          <w:rFonts w:ascii="Times New Roman" w:hAnsi="Times New Roman"/>
          <w:sz w:val="24"/>
          <w:szCs w:val="24"/>
        </w:rPr>
        <w:t>?</w:t>
      </w:r>
    </w:p>
    <w:p w14:paraId="1DCB9F5E" w14:textId="77777777" w:rsidR="00A67732" w:rsidRPr="00A67732" w:rsidRDefault="00A67732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27ADA4C1" w14:textId="2C44600A" w:rsidR="009E6CA2" w:rsidRPr="00A67732" w:rsidRDefault="00A67732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V</w:t>
      </w:r>
      <w:r w:rsidR="009E6CA2" w:rsidRPr="00A67732">
        <w:rPr>
          <w:rFonts w:ascii="Times New Roman" w:hAnsi="Times New Roman"/>
          <w:color w:val="1F497D" w:themeColor="text2"/>
          <w:sz w:val="24"/>
          <w:szCs w:val="24"/>
        </w:rPr>
        <w:t> zmysle výzvy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 xml:space="preserve">, časť 2.1 </w:t>
      </w:r>
      <w:r w:rsidR="00C4037F" w:rsidRPr="00182037">
        <w:rPr>
          <w:rFonts w:ascii="Times New Roman" w:hAnsi="Times New Roman"/>
          <w:i/>
          <w:color w:val="1F497D" w:themeColor="text2"/>
          <w:sz w:val="24"/>
          <w:szCs w:val="24"/>
        </w:rPr>
        <w:t>P</w:t>
      </w:r>
      <w:r w:rsidR="009E6CA2" w:rsidRPr="00182037">
        <w:rPr>
          <w:rFonts w:ascii="Times New Roman" w:hAnsi="Times New Roman"/>
          <w:i/>
          <w:color w:val="1F497D" w:themeColor="text2"/>
          <w:sz w:val="24"/>
          <w:szCs w:val="24"/>
        </w:rPr>
        <w:t>rávna forma</w:t>
      </w:r>
      <w:r w:rsidR="009E6CA2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môž</w:t>
      </w:r>
      <w:r w:rsidR="005B1DC4">
        <w:rPr>
          <w:rFonts w:ascii="Times New Roman" w:hAnsi="Times New Roman"/>
          <w:color w:val="1F497D" w:themeColor="text2"/>
          <w:sz w:val="24"/>
          <w:szCs w:val="24"/>
        </w:rPr>
        <w:t>u</w:t>
      </w:r>
      <w:r w:rsidR="009E6CA2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byť oprávneným</w:t>
      </w:r>
      <w:r w:rsidR="005B1DC4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9E6CA2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žiadateľ</w:t>
      </w:r>
      <w:r w:rsidR="005B1DC4">
        <w:rPr>
          <w:rFonts w:ascii="Times New Roman" w:hAnsi="Times New Roman"/>
          <w:color w:val="1F497D" w:themeColor="text2"/>
          <w:sz w:val="24"/>
          <w:szCs w:val="24"/>
        </w:rPr>
        <w:t>mi</w:t>
      </w:r>
      <w:r w:rsidR="009E6CA2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 xml:space="preserve">zriaďovatelia, resp. školy, </w:t>
      </w:r>
      <w:r w:rsidR="00387B43">
        <w:rPr>
          <w:rFonts w:ascii="Times New Roman" w:hAnsi="Times New Roman"/>
          <w:color w:val="1F497D" w:themeColor="text2"/>
          <w:sz w:val="24"/>
          <w:szCs w:val="24"/>
        </w:rPr>
        <w:t xml:space="preserve">ktoré sú 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>v zmysle § 15 a </w:t>
      </w:r>
      <w:proofErr w:type="spellStart"/>
      <w:r w:rsidR="00C4037F">
        <w:rPr>
          <w:rFonts w:ascii="Times New Roman" w:hAnsi="Times New Roman"/>
          <w:color w:val="1F497D" w:themeColor="text2"/>
          <w:sz w:val="24"/>
          <w:szCs w:val="24"/>
        </w:rPr>
        <w:t>nasl</w:t>
      </w:r>
      <w:proofErr w:type="spellEnd"/>
      <w:r w:rsidR="00C4037F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="00387B43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>ákona č. 596/2003 Z. z.  zaraden</w:t>
      </w:r>
      <w:r w:rsidR="00387B43">
        <w:rPr>
          <w:rFonts w:ascii="Times New Roman" w:hAnsi="Times New Roman"/>
          <w:color w:val="1F497D" w:themeColor="text2"/>
          <w:sz w:val="24"/>
          <w:szCs w:val="24"/>
        </w:rPr>
        <w:t>é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 xml:space="preserve"> do siete škôl a školských zariadení Slovenskej republiky</w:t>
      </w:r>
      <w:r w:rsidR="009D764C">
        <w:rPr>
          <w:rFonts w:ascii="Times New Roman" w:hAnsi="Times New Roman"/>
          <w:color w:val="1F497D" w:themeColor="text2"/>
          <w:sz w:val="24"/>
          <w:szCs w:val="24"/>
        </w:rPr>
        <w:t xml:space="preserve"> a sú zapojené do</w:t>
      </w:r>
      <w:r w:rsidR="009D764C" w:rsidRPr="009D764C">
        <w:rPr>
          <w:rFonts w:ascii="Times New Roman" w:hAnsi="Times New Roman"/>
          <w:color w:val="1F497D" w:themeColor="text2"/>
          <w:sz w:val="24"/>
          <w:szCs w:val="24"/>
        </w:rPr>
        <w:t xml:space="preserve"> Iniciatívy </w:t>
      </w:r>
      <w:proofErr w:type="spellStart"/>
      <w:r w:rsidR="009D764C" w:rsidRPr="009D764C">
        <w:rPr>
          <w:rFonts w:ascii="Times New Roman" w:hAnsi="Times New Roman"/>
          <w:color w:val="1F497D" w:themeColor="text2"/>
          <w:sz w:val="24"/>
          <w:szCs w:val="24"/>
        </w:rPr>
        <w:t>Catching-up</w:t>
      </w:r>
      <w:proofErr w:type="spellEnd"/>
      <w:r w:rsidR="009D764C" w:rsidRPr="009D764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proofErr w:type="spellStart"/>
      <w:r w:rsidR="009D764C" w:rsidRPr="009D764C">
        <w:rPr>
          <w:rFonts w:ascii="Times New Roman" w:hAnsi="Times New Roman"/>
          <w:color w:val="1F497D" w:themeColor="text2"/>
          <w:sz w:val="24"/>
          <w:szCs w:val="24"/>
        </w:rPr>
        <w:t>Regions</w:t>
      </w:r>
      <w:proofErr w:type="spellEnd"/>
      <w:r w:rsidR="00387B43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</w:p>
    <w:p w14:paraId="56B7EFA0" w14:textId="77777777" w:rsidR="00DA3941" w:rsidRDefault="00DA394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7882AD7A" w14:textId="0AC740A8"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Otázka</w:t>
      </w:r>
      <w:r w:rsidR="00D31ABE" w:rsidRPr="00A67732">
        <w:rPr>
          <w:rFonts w:ascii="Times New Roman" w:hAnsi="Times New Roman"/>
          <w:sz w:val="24"/>
          <w:szCs w:val="24"/>
        </w:rPr>
        <w:t xml:space="preserve"> č. </w:t>
      </w:r>
      <w:r w:rsidR="003B55B3">
        <w:rPr>
          <w:rFonts w:ascii="Times New Roman" w:hAnsi="Times New Roman"/>
          <w:sz w:val="24"/>
          <w:szCs w:val="24"/>
        </w:rPr>
        <w:t>2</w:t>
      </w:r>
      <w:r w:rsidR="00D31ABE" w:rsidRPr="00A67732">
        <w:rPr>
          <w:rFonts w:ascii="Times New Roman" w:hAnsi="Times New Roman"/>
          <w:sz w:val="24"/>
          <w:szCs w:val="24"/>
        </w:rPr>
        <w:t>:</w:t>
      </w:r>
    </w:p>
    <w:p w14:paraId="484607E6" w14:textId="686C460B" w:rsidR="00A21417" w:rsidRPr="00A67732" w:rsidRDefault="007D6A20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 w:rsidR="00A21417" w:rsidRPr="00A67732">
        <w:rPr>
          <w:rFonts w:ascii="Times New Roman" w:hAnsi="Times New Roman"/>
          <w:sz w:val="24"/>
          <w:szCs w:val="24"/>
        </w:rPr>
        <w:t xml:space="preserve"> v rámci výzvy možné</w:t>
      </w:r>
      <w:r w:rsidR="000942FD" w:rsidRPr="00A67732">
        <w:rPr>
          <w:rFonts w:ascii="Times New Roman" w:hAnsi="Times New Roman"/>
          <w:sz w:val="24"/>
          <w:szCs w:val="24"/>
        </w:rPr>
        <w:t>,</w:t>
      </w:r>
      <w:r w:rsidR="00A21417" w:rsidRPr="00A67732">
        <w:rPr>
          <w:rFonts w:ascii="Times New Roman" w:hAnsi="Times New Roman"/>
          <w:sz w:val="24"/>
          <w:szCs w:val="24"/>
        </w:rPr>
        <w:t xml:space="preserve"> aby bolo žiadateľom súkromné gymnázium?</w:t>
      </w:r>
    </w:p>
    <w:p w14:paraId="41A9CFA8" w14:textId="77777777"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2A90365A" w14:textId="24B11F40"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Fonts w:ascii="Times New Roman" w:hAnsi="Times New Roman"/>
          <w:color w:val="1F497D"/>
          <w:sz w:val="24"/>
          <w:szCs w:val="24"/>
        </w:rPr>
        <w:t xml:space="preserve">V rámci </w:t>
      </w:r>
      <w:r w:rsidR="007D6A20">
        <w:rPr>
          <w:rFonts w:ascii="Times New Roman" w:hAnsi="Times New Roman"/>
          <w:color w:val="1F497D"/>
          <w:sz w:val="24"/>
          <w:szCs w:val="24"/>
        </w:rPr>
        <w:t>uvedenej</w:t>
      </w:r>
      <w:r w:rsidR="005B1DC4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B7F25">
        <w:rPr>
          <w:rFonts w:ascii="Times New Roman" w:hAnsi="Times New Roman"/>
          <w:color w:val="1F497D"/>
          <w:sz w:val="24"/>
          <w:szCs w:val="24"/>
        </w:rPr>
        <w:t xml:space="preserve">výzvy na predkladanie </w:t>
      </w:r>
      <w:proofErr w:type="spellStart"/>
      <w:r w:rsidR="00BB7F25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="007D6A20">
        <w:rPr>
          <w:rFonts w:ascii="Times New Roman" w:hAnsi="Times New Roman"/>
          <w:color w:val="1F497D"/>
          <w:sz w:val="24"/>
          <w:szCs w:val="24"/>
        </w:rPr>
        <w:t xml:space="preserve"> gymnáziá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0942FD" w:rsidRPr="00A67732">
        <w:rPr>
          <w:rFonts w:ascii="Times New Roman" w:hAnsi="Times New Roman"/>
          <w:color w:val="1F497D"/>
          <w:sz w:val="24"/>
          <w:szCs w:val="24"/>
        </w:rPr>
        <w:t xml:space="preserve">nepatria </w:t>
      </w:r>
      <w:r w:rsidRPr="00A67732">
        <w:rPr>
          <w:rFonts w:ascii="Times New Roman" w:hAnsi="Times New Roman"/>
          <w:color w:val="1F497D"/>
          <w:sz w:val="24"/>
          <w:szCs w:val="24"/>
        </w:rPr>
        <w:t>medzi</w:t>
      </w:r>
      <w:r w:rsidR="009D764C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A67732">
        <w:rPr>
          <w:rFonts w:ascii="Times New Roman" w:hAnsi="Times New Roman"/>
          <w:color w:val="1F497D"/>
          <w:sz w:val="24"/>
          <w:szCs w:val="24"/>
        </w:rPr>
        <w:t>oprávnených žiadateľov.</w:t>
      </w:r>
    </w:p>
    <w:p w14:paraId="053F2F1B" w14:textId="77777777" w:rsidR="00132621" w:rsidRPr="00A67732" w:rsidRDefault="0013262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63FEDB93" w14:textId="2EDD9D21"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3B55B3">
        <w:rPr>
          <w:rFonts w:ascii="Times New Roman" w:hAnsi="Times New Roman"/>
          <w:sz w:val="24"/>
          <w:szCs w:val="24"/>
        </w:rPr>
        <w:t>3</w:t>
      </w:r>
      <w:r w:rsidRPr="00A67732">
        <w:rPr>
          <w:rFonts w:ascii="Times New Roman" w:hAnsi="Times New Roman"/>
          <w:sz w:val="24"/>
          <w:szCs w:val="24"/>
        </w:rPr>
        <w:t>:</w:t>
      </w:r>
    </w:p>
    <w:p w14:paraId="433A7C28" w14:textId="06E1C300" w:rsidR="007F13A2" w:rsidRPr="00A67732" w:rsidRDefault="007F13A2" w:rsidP="009970C8">
      <w:pPr>
        <w:pStyle w:val="Default"/>
        <w:spacing w:afterLines="20" w:after="48"/>
        <w:jc w:val="both"/>
        <w:rPr>
          <w:rFonts w:ascii="Times New Roman" w:hAnsi="Times New Roman" w:cs="Times New Roman"/>
        </w:rPr>
      </w:pPr>
      <w:r w:rsidRPr="00A67732">
        <w:rPr>
          <w:rFonts w:ascii="Times New Roman" w:hAnsi="Times New Roman" w:cs="Times New Roman"/>
        </w:rPr>
        <w:t>Je možne realizovať aktivitu a) obstaranie a modernizácia materiálno-technického vybavenia odborných pracovísk – dielní na obrábanie kovov, ak škola nemá o</w:t>
      </w:r>
      <w:r w:rsidR="00711C55">
        <w:rPr>
          <w:rFonts w:ascii="Times New Roman" w:hAnsi="Times New Roman" w:cs="Times New Roman"/>
        </w:rPr>
        <w:t>dbor Obrábač kovov akreditovaný?</w:t>
      </w:r>
      <w:r w:rsidRPr="00A67732">
        <w:rPr>
          <w:rFonts w:ascii="Times New Roman" w:hAnsi="Times New Roman" w:cs="Times New Roman"/>
        </w:rPr>
        <w:t xml:space="preserve"> Akreditácia odboru by prebehla po realizácii aktivít projektu (škola má dostatočné administratívne kapacity na akreditáciu nového odboru, taktiež je dopyt po tomto odbore).</w:t>
      </w:r>
    </w:p>
    <w:p w14:paraId="35B9D7A2" w14:textId="77777777"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4581AD0D" w14:textId="41BF798A" w:rsidR="007F13A2" w:rsidRPr="00A67732" w:rsidRDefault="00711C55" w:rsidP="00CE28A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Nie,</w:t>
      </w:r>
      <w:r w:rsidR="007F13A2" w:rsidRPr="00A67732">
        <w:rPr>
          <w:rFonts w:ascii="Times New Roman" w:hAnsi="Times New Roman"/>
          <w:color w:val="1F497D"/>
          <w:sz w:val="24"/>
          <w:szCs w:val="24"/>
        </w:rPr>
        <w:t xml:space="preserve"> v prípade neakreditovaného odboru nie je možné poskytnúť NFP. </w:t>
      </w:r>
    </w:p>
    <w:p w14:paraId="48F9F28A" w14:textId="77777777" w:rsidR="00426945" w:rsidRPr="00A67732" w:rsidRDefault="00426945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37DA763E" w14:textId="595A4395" w:rsidR="00643DCB" w:rsidRPr="00A67732" w:rsidRDefault="00643DCB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3B55B3">
        <w:rPr>
          <w:rFonts w:ascii="Times New Roman" w:hAnsi="Times New Roman"/>
          <w:sz w:val="24"/>
          <w:szCs w:val="24"/>
        </w:rPr>
        <w:t>4</w:t>
      </w:r>
      <w:r w:rsidRPr="00A67732">
        <w:rPr>
          <w:rFonts w:ascii="Times New Roman" w:hAnsi="Times New Roman"/>
          <w:sz w:val="24"/>
          <w:szCs w:val="24"/>
        </w:rPr>
        <w:t>:</w:t>
      </w:r>
    </w:p>
    <w:p w14:paraId="52F707C2" w14:textId="77777777" w:rsidR="003F3A32" w:rsidRPr="00A67732" w:rsidRDefault="003F3A32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 xml:space="preserve">Je povolená/é v rámci aktivity c.) prístavba, nadstavba, stavebné úpravy...  rekonštrukcia respektíve obstaranie nového výťahu? </w:t>
      </w:r>
    </w:p>
    <w:p w14:paraId="69F17225" w14:textId="77777777" w:rsidR="00643DCB" w:rsidRPr="00A67732" w:rsidRDefault="00643DCB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6EB4D905" w14:textId="77777777" w:rsidR="003F3A32" w:rsidRPr="00A67732" w:rsidRDefault="003F3A32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Fonts w:ascii="Times New Roman" w:hAnsi="Times New Roman"/>
          <w:color w:val="1F497D"/>
          <w:sz w:val="24"/>
          <w:szCs w:val="24"/>
        </w:rPr>
        <w:t xml:space="preserve">Áno - </w:t>
      </w:r>
      <w:r w:rsidR="00FA5787" w:rsidRPr="00A67732">
        <w:rPr>
          <w:rFonts w:ascii="Times New Roman" w:hAnsi="Times New Roman"/>
          <w:color w:val="1F497D"/>
          <w:sz w:val="24"/>
          <w:szCs w:val="24"/>
        </w:rPr>
        <w:t>v rámci výzvy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je možné realizovať rekonštrukciu zariadení a</w:t>
      </w:r>
      <w:r w:rsidR="00C11BB6">
        <w:rPr>
          <w:rFonts w:ascii="Times New Roman" w:hAnsi="Times New Roman"/>
          <w:color w:val="1F497D"/>
          <w:sz w:val="24"/>
          <w:szCs w:val="24"/>
        </w:rPr>
        <w:t> </w:t>
      </w:r>
      <w:r w:rsidRPr="00A67732">
        <w:rPr>
          <w:rFonts w:ascii="Times New Roman" w:hAnsi="Times New Roman"/>
          <w:color w:val="1F497D"/>
          <w:sz w:val="24"/>
          <w:szCs w:val="24"/>
        </w:rPr>
        <w:t>priestorov</w:t>
      </w:r>
      <w:r w:rsidR="00C11BB6">
        <w:rPr>
          <w:rFonts w:ascii="Times New Roman" w:hAnsi="Times New Roman"/>
          <w:color w:val="1F497D"/>
          <w:sz w:val="24"/>
          <w:szCs w:val="24"/>
        </w:rPr>
        <w:t>,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vrátane výťahu.</w:t>
      </w:r>
    </w:p>
    <w:p w14:paraId="2AF67E04" w14:textId="77777777" w:rsidR="00640F21" w:rsidRPr="00A67732" w:rsidRDefault="00640F2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</w:p>
    <w:p w14:paraId="4D4D3A31" w14:textId="76DF8531" w:rsidR="003F3A32" w:rsidRPr="00A67732" w:rsidRDefault="00631F3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CE28A8">
        <w:rPr>
          <w:rFonts w:ascii="Times New Roman" w:hAnsi="Times New Roman"/>
          <w:sz w:val="24"/>
          <w:szCs w:val="24"/>
        </w:rPr>
        <w:t>5</w:t>
      </w:r>
      <w:r w:rsidRPr="00A67732">
        <w:rPr>
          <w:rFonts w:ascii="Times New Roman" w:hAnsi="Times New Roman"/>
          <w:sz w:val="24"/>
          <w:szCs w:val="24"/>
        </w:rPr>
        <w:t>:</w:t>
      </w:r>
    </w:p>
    <w:p w14:paraId="26BE425E" w14:textId="77777777" w:rsidR="00631F3A" w:rsidRPr="00A67732" w:rsidRDefault="00631F3A" w:rsidP="009970C8">
      <w:pPr>
        <w:spacing w:afterLines="20" w:after="48"/>
        <w:jc w:val="both"/>
        <w:rPr>
          <w:rFonts w:ascii="Times New Roman" w:hAnsi="Times New Roman"/>
          <w:bCs/>
          <w:iCs/>
          <w:sz w:val="24"/>
          <w:szCs w:val="24"/>
        </w:rPr>
      </w:pPr>
      <w:r w:rsidRPr="00A67732">
        <w:rPr>
          <w:rFonts w:ascii="Times New Roman" w:hAnsi="Times New Roman"/>
          <w:bCs/>
          <w:iCs/>
          <w:sz w:val="24"/>
          <w:szCs w:val="24"/>
        </w:rPr>
        <w:t xml:space="preserve">Škola má záujem nakúpiť počítačové zostavy do odborných učební, chcú nakúpiť aj zariadenie do učebne (stoly, stoličky, skrine) </w:t>
      </w:r>
      <w:r w:rsidRPr="00A67732">
        <w:rPr>
          <w:rFonts w:ascii="Times New Roman" w:hAnsi="Times New Roman"/>
          <w:bCs/>
          <w:iCs/>
          <w:sz w:val="24"/>
          <w:szCs w:val="24"/>
          <w:u w:val="single"/>
        </w:rPr>
        <w:t>ako súbor hnuteľných vecí</w:t>
      </w:r>
      <w:r w:rsidR="00375FE5" w:rsidRPr="00A67732">
        <w:rPr>
          <w:rFonts w:ascii="Times New Roman" w:hAnsi="Times New Roman"/>
          <w:bCs/>
          <w:iCs/>
          <w:sz w:val="24"/>
          <w:szCs w:val="24"/>
        </w:rPr>
        <w:t>, ktoré netvoria s </w:t>
      </w:r>
      <w:r w:rsidRPr="00A67732">
        <w:rPr>
          <w:rFonts w:ascii="Times New Roman" w:hAnsi="Times New Roman"/>
          <w:bCs/>
          <w:iCs/>
          <w:sz w:val="24"/>
          <w:szCs w:val="24"/>
        </w:rPr>
        <w:t>budovou jeden funkčný celok. Splnia podmienku oprávnenosti výdavkov?</w:t>
      </w:r>
    </w:p>
    <w:p w14:paraId="6C04DE72" w14:textId="77777777" w:rsidR="00631F3A" w:rsidRPr="00A67732" w:rsidRDefault="00631F3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11D6B480" w14:textId="77777777" w:rsidR="00631F3A" w:rsidRPr="00A67732" w:rsidRDefault="00631F3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Áno. Príloha 5 výzvy na predkladanie projektových zámerov </w:t>
      </w:r>
      <w:r w:rsidR="00F16F29">
        <w:rPr>
          <w:rFonts w:ascii="Times New Roman" w:hAnsi="Times New Roman"/>
          <w:color w:val="1F497D" w:themeColor="text2"/>
          <w:sz w:val="24"/>
          <w:szCs w:val="24"/>
        </w:rPr>
        <w:t>ako aj výzvy na predkladanie ŽoNFP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- Zoznam oprávnených výdavkov, v</w:t>
      </w:r>
      <w:r w:rsidR="005E021F" w:rsidRPr="00A67732">
        <w:rPr>
          <w:rFonts w:ascii="Times New Roman" w:hAnsi="Times New Roman"/>
          <w:color w:val="1F497D" w:themeColor="text2"/>
          <w:sz w:val="24"/>
          <w:szCs w:val="24"/>
        </w:rPr>
        <w:t> skupine výdavkov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>: 022 – Samostatné hnuteľné veci a súbory hnuteľných vecí uvádza</w:t>
      </w:r>
      <w:r w:rsidR="005E021F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uvedené položky ako oprávnené.</w:t>
      </w:r>
    </w:p>
    <w:p w14:paraId="63E3D668" w14:textId="77777777" w:rsidR="00951EE4" w:rsidRPr="00A67732" w:rsidRDefault="00951EE4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14:paraId="36A551D0" w14:textId="2A9C2583" w:rsidR="00EF0AF5" w:rsidRPr="00A67732" w:rsidRDefault="00EF0AF5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A67732">
        <w:rPr>
          <w:rFonts w:ascii="Times New Roman" w:hAnsi="Times New Roman" w:cs="Times New Roman"/>
          <w:sz w:val="24"/>
          <w:szCs w:val="24"/>
        </w:rPr>
        <w:lastRenderedPageBreak/>
        <w:t>Otázka</w:t>
      </w:r>
      <w:r w:rsidR="007F13A2" w:rsidRPr="00A67732">
        <w:rPr>
          <w:rFonts w:ascii="Times New Roman" w:hAnsi="Times New Roman" w:cs="Times New Roman"/>
          <w:sz w:val="24"/>
          <w:szCs w:val="24"/>
        </w:rPr>
        <w:t xml:space="preserve"> č. </w:t>
      </w:r>
      <w:r w:rsidR="0098334F">
        <w:rPr>
          <w:rFonts w:ascii="Times New Roman" w:hAnsi="Times New Roman" w:cs="Times New Roman"/>
          <w:sz w:val="24"/>
          <w:szCs w:val="24"/>
        </w:rPr>
        <w:t>6</w:t>
      </w:r>
      <w:r w:rsidR="007F13A2" w:rsidRPr="00A67732">
        <w:rPr>
          <w:rFonts w:ascii="Times New Roman" w:hAnsi="Times New Roman" w:cs="Times New Roman"/>
          <w:sz w:val="24"/>
          <w:szCs w:val="24"/>
        </w:rPr>
        <w:t>:</w:t>
      </w:r>
    </w:p>
    <w:p w14:paraId="7F405FF7" w14:textId="1DC5B8C4"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Chcela by som sa informovať ohľadom výzvy </w:t>
      </w:r>
      <w:r w:rsidR="00375FE5" w:rsidRPr="00A67732">
        <w:rPr>
          <w:rFonts w:ascii="Times New Roman" w:hAnsi="Times New Roman"/>
          <w:sz w:val="24"/>
          <w:szCs w:val="24"/>
        </w:rPr>
        <w:t>na </w:t>
      </w:r>
      <w:r w:rsidRPr="00A67732">
        <w:rPr>
          <w:rFonts w:ascii="Times New Roman" w:hAnsi="Times New Roman"/>
          <w:sz w:val="24"/>
          <w:szCs w:val="24"/>
        </w:rPr>
        <w:t>zvýšenie počtu žiakov stredných odborných škôl na praktickom vyučovaní.</w:t>
      </w:r>
      <w:r w:rsidR="007F13A2" w:rsidRPr="00A67732">
        <w:rPr>
          <w:rFonts w:ascii="Times New Roman" w:hAnsi="Times New Roman"/>
          <w:sz w:val="24"/>
          <w:szCs w:val="24"/>
        </w:rPr>
        <w:t xml:space="preserve"> </w:t>
      </w:r>
      <w:r w:rsidR="003535E5">
        <w:rPr>
          <w:rFonts w:ascii="Times New Roman" w:hAnsi="Times New Roman"/>
          <w:sz w:val="24"/>
          <w:szCs w:val="24"/>
        </w:rPr>
        <w:t>b</w:t>
      </w:r>
      <w:r w:rsidRPr="00A67732">
        <w:rPr>
          <w:rFonts w:ascii="Times New Roman" w:hAnsi="Times New Roman"/>
          <w:sz w:val="24"/>
          <w:szCs w:val="24"/>
        </w:rPr>
        <w:t>od 2.2. Oprávnenosť aktivít realizác</w:t>
      </w:r>
      <w:r w:rsidR="00375FE5" w:rsidRPr="00A67732">
        <w:rPr>
          <w:rFonts w:ascii="Times New Roman" w:hAnsi="Times New Roman"/>
          <w:sz w:val="24"/>
          <w:szCs w:val="24"/>
        </w:rPr>
        <w:t xml:space="preserve">ie projektu – </w:t>
      </w:r>
      <w:r w:rsidR="00C11BB6">
        <w:rPr>
          <w:rFonts w:ascii="Times New Roman" w:hAnsi="Times New Roman"/>
          <w:sz w:val="24"/>
          <w:szCs w:val="24"/>
        </w:rPr>
        <w:t>aktivita e)</w:t>
      </w:r>
      <w:r w:rsidR="00375FE5" w:rsidRPr="00A67732">
        <w:rPr>
          <w:rFonts w:ascii="Times New Roman" w:hAnsi="Times New Roman"/>
          <w:sz w:val="24"/>
          <w:szCs w:val="24"/>
        </w:rPr>
        <w:t> </w:t>
      </w:r>
      <w:r w:rsidRPr="00A67732">
        <w:rPr>
          <w:rFonts w:ascii="Times New Roman" w:hAnsi="Times New Roman"/>
          <w:sz w:val="24"/>
          <w:szCs w:val="24"/>
        </w:rPr>
        <w:t xml:space="preserve">zvýšenie energetickej hospodárnosti budov: patrí do oprávnených výdavkov pri tejto aktivite aj rekonštrukcia strechy a technologické vybavenie kotolne? </w:t>
      </w:r>
    </w:p>
    <w:p w14:paraId="63AE8AE7" w14:textId="77777777" w:rsidR="00EF0AF5" w:rsidRPr="00A67732" w:rsidRDefault="00EF0AF5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Odpoveď:</w:t>
      </w:r>
    </w:p>
    <w:p w14:paraId="3A13A9A4" w14:textId="77777777"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Príloha č. 5 výzvy – Zoznam oprávnených výdavkov medzi oprávnené výdavky </w:t>
      </w:r>
      <w:r w:rsidR="003535E5" w:rsidRPr="00A67732">
        <w:rPr>
          <w:rFonts w:ascii="Times New Roman" w:hAnsi="Times New Roman"/>
          <w:color w:val="1F497D" w:themeColor="text2"/>
          <w:sz w:val="24"/>
          <w:szCs w:val="24"/>
        </w:rPr>
        <w:t>zara</w:t>
      </w:r>
      <w:r w:rsidR="003535E5">
        <w:rPr>
          <w:rFonts w:ascii="Times New Roman" w:hAnsi="Times New Roman"/>
          <w:color w:val="1F497D" w:themeColor="text2"/>
          <w:sz w:val="24"/>
          <w:szCs w:val="24"/>
        </w:rPr>
        <w:t>ď</w:t>
      </w:r>
      <w:r w:rsidR="003535E5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uje 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aj: „ako doplnková aktivita: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rekonštrukcia stavieb so zameraním na zvyšovanie energetickej hospodárnosti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budov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– realizácia opatrení na zlepšenie tepelno-technických vlastností konštrukcií, najmä obnova obvodového plášťa,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oprava a výmena strešného plášťa vrátane strešnej krytiny,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resp. povrchu plochých striech, oprava a výmena výplňových konštrukcií, opravy technického, energetického alebo technologického vybavenia a zariadení objektu, ako aj výmena jeho súčastí (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najmä výmena zdrojov tepla, vykurovacích telies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a vnútorných inštalačných rozvodov).“</w:t>
      </w:r>
    </w:p>
    <w:p w14:paraId="1F5FDDBC" w14:textId="77777777"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Upozorňujeme, že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typ aktivity e)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– zvýšenie energetickej hospodárnosti budov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nie je možné realizovať ako samostatný/jediný typ aktivity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>, ale</w:t>
      </w:r>
      <w:r w:rsidR="009F4CF3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povinne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iba v kombinácii s typ</w:t>
      </w:r>
      <w:r w:rsidR="009F4CF3" w:rsidRPr="00A67732">
        <w:rPr>
          <w:rFonts w:ascii="Times New Roman" w:hAnsi="Times New Roman"/>
          <w:color w:val="1F497D" w:themeColor="text2"/>
          <w:sz w:val="24"/>
          <w:szCs w:val="24"/>
        </w:rPr>
        <w:t>om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535E5" w:rsidRPr="00A67732">
        <w:rPr>
          <w:rFonts w:ascii="Times New Roman" w:hAnsi="Times New Roman"/>
          <w:color w:val="1F497D" w:themeColor="text2"/>
          <w:sz w:val="24"/>
          <w:szCs w:val="24"/>
        </w:rPr>
        <w:t>aktivity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a)</w:t>
      </w:r>
      <w:r w:rsidR="009F4CF3" w:rsidRPr="00A67732">
        <w:rPr>
          <w:rFonts w:ascii="Times New Roman" w:hAnsi="Times New Roman"/>
          <w:color w:val="1F497D" w:themeColor="text2"/>
          <w:sz w:val="24"/>
          <w:szCs w:val="24"/>
        </w:rPr>
        <w:t>, prípadne b)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až c).</w:t>
      </w:r>
      <w:r w:rsidR="00C11BB6">
        <w:rPr>
          <w:rFonts w:ascii="Times New Roman" w:hAnsi="Times New Roman"/>
          <w:color w:val="1F497D" w:themeColor="text2"/>
          <w:sz w:val="24"/>
          <w:szCs w:val="24"/>
        </w:rPr>
        <w:t xml:space="preserve"> V zmysle aktualizácie č. 1 z 13. februára 2017 je možné typy aktivít b), c) a e) realizovať len v kombinácii s aktivitou a).</w:t>
      </w:r>
    </w:p>
    <w:p w14:paraId="3BCA3104" w14:textId="77777777"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Zároveň treba upozorniť, že v prípade realizácie aktivity „</w:t>
      </w:r>
      <w:r w:rsidRPr="00A67732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>e)</w:t>
      </w:r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 – zvýšenie energetickej hospodárnosti budov</w:t>
      </w:r>
      <w:r w:rsidR="00C11BB6">
        <w:rPr>
          <w:rFonts w:ascii="Times New Roman" w:hAnsi="Times New Roman"/>
          <w:i/>
          <w:iCs/>
          <w:color w:val="1F497D" w:themeColor="text2"/>
          <w:sz w:val="24"/>
          <w:szCs w:val="24"/>
        </w:rPr>
        <w:t>,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“ </w:t>
      </w:r>
      <w:r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>žiadateľ musí zabezpečiť súlad projektu s</w:t>
      </w:r>
      <w:bookmarkStart w:id="0" w:name="_Toc387651839"/>
      <w:r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> princípmi uvedených v kapitole „2.4.1.2. Hlavné zásady výberu operácií</w:t>
      </w:r>
      <w:bookmarkEnd w:id="0"/>
      <w:r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“  Integrovaného regionálneho operačného programu 2014 – 2020 </w:t>
      </w:r>
      <w:r w:rsidR="00903387">
        <w:rPr>
          <w:rFonts w:ascii="Times New Roman" w:hAnsi="Times New Roman"/>
          <w:color w:val="1F497D" w:themeColor="text2"/>
          <w:sz w:val="24"/>
          <w:szCs w:val="24"/>
          <w:u w:val="single"/>
        </w:rPr>
        <w:t>(časť Sektor verejných budov, a</w:t>
      </w:r>
      <w:r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Renovácie verejných budov)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: </w:t>
      </w:r>
    </w:p>
    <w:p w14:paraId="56C73760" w14:textId="77777777"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„</w:t>
      </w:r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Podporené budú projekty renovácie budov (napr.: stavebnotechnické úpravy), ktorých opatrenia na úsporu energie budú navrhnuté nad rámec spln</w:t>
      </w:r>
      <w:r w:rsidR="00375FE5"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enia minimálnych požiadaviek na </w:t>
      </w:r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energetickú hospodárnosť budov podľa všeobecne platných právnych predpisov tak, aby </w:t>
      </w:r>
      <w:r w:rsidR="00375FE5"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sa </w:t>
      </w:r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potreba energie znížila na úroveň nízkoenergetických budov, </w:t>
      </w:r>
      <w:proofErr w:type="spellStart"/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ultra</w:t>
      </w:r>
      <w:proofErr w:type="spellEnd"/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-nízkoenergetických budov a budov s takmer nulovou potrebou energie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“. </w:t>
      </w:r>
    </w:p>
    <w:p w14:paraId="395636B6" w14:textId="77777777"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3B7DA9BA" w14:textId="00490531" w:rsidR="00A21417" w:rsidRPr="0098334F" w:rsidRDefault="00A21417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98334F">
        <w:rPr>
          <w:rFonts w:ascii="Times New Roman" w:hAnsi="Times New Roman"/>
          <w:sz w:val="24"/>
          <w:szCs w:val="24"/>
        </w:rPr>
        <w:t>Otázka</w:t>
      </w:r>
      <w:r w:rsidR="0097555E" w:rsidRPr="0098334F">
        <w:rPr>
          <w:rFonts w:ascii="Times New Roman" w:hAnsi="Times New Roman"/>
          <w:sz w:val="24"/>
          <w:szCs w:val="24"/>
        </w:rPr>
        <w:t xml:space="preserve"> č. </w:t>
      </w:r>
      <w:r w:rsidR="0098334F">
        <w:rPr>
          <w:rFonts w:ascii="Times New Roman" w:hAnsi="Times New Roman"/>
          <w:sz w:val="24"/>
          <w:szCs w:val="24"/>
        </w:rPr>
        <w:t>7</w:t>
      </w:r>
      <w:r w:rsidR="0097555E" w:rsidRPr="0098334F">
        <w:rPr>
          <w:rFonts w:ascii="Times New Roman" w:hAnsi="Times New Roman"/>
          <w:sz w:val="24"/>
          <w:szCs w:val="24"/>
        </w:rPr>
        <w:t>:</w:t>
      </w:r>
    </w:p>
    <w:p w14:paraId="5EE51498" w14:textId="77777777" w:rsidR="00A21417" w:rsidRPr="0098334F" w:rsidRDefault="00A21417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98334F">
        <w:rPr>
          <w:rFonts w:ascii="Times New Roman" w:hAnsi="Times New Roman"/>
          <w:sz w:val="24"/>
          <w:szCs w:val="24"/>
        </w:rPr>
        <w:t xml:space="preserve">V prípade realizácie aktivity a. podľa zverejnenej výzvy je definovaný merateľný ukazovateľ Počet centier odborného vzdelávania a prípravy, ktoré boli podporené. Je teda podmienkou, aby výstupom projektu bolo zriadenie centra odborného vzdelávania a prípravy? </w:t>
      </w:r>
    </w:p>
    <w:p w14:paraId="1553E4C3" w14:textId="77777777" w:rsidR="00631F3A" w:rsidRPr="0098334F" w:rsidRDefault="00A21417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98334F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4E7BC2A3" w14:textId="77777777"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  <w:lang w:eastAsia="en-US"/>
        </w:rPr>
      </w:pPr>
      <w:r w:rsidRPr="0098334F">
        <w:rPr>
          <w:rFonts w:ascii="Times New Roman" w:hAnsi="Times New Roman"/>
          <w:color w:val="1F497D" w:themeColor="text2"/>
          <w:sz w:val="24"/>
          <w:szCs w:val="24"/>
          <w:lang w:eastAsia="en-US"/>
        </w:rPr>
        <w:t>V </w:t>
      </w:r>
      <w:r w:rsidR="00903387" w:rsidRPr="0098334F">
        <w:rPr>
          <w:rFonts w:ascii="Times New Roman" w:hAnsi="Times New Roman"/>
          <w:color w:val="1F497D" w:themeColor="text2"/>
          <w:sz w:val="24"/>
          <w:szCs w:val="24"/>
          <w:lang w:eastAsia="en-US"/>
        </w:rPr>
        <w:t>prípade realizácie aktivity a)</w:t>
      </w:r>
      <w:r w:rsidRPr="0098334F">
        <w:rPr>
          <w:rFonts w:ascii="Times New Roman" w:hAnsi="Times New Roman"/>
          <w:color w:val="1F497D" w:themeColor="text2"/>
          <w:sz w:val="24"/>
          <w:szCs w:val="24"/>
          <w:lang w:eastAsia="en-US"/>
        </w:rPr>
        <w:t xml:space="preserve"> je podľa zverejnenej výzvy definovaný merateľný ukazovateľ „Počet centier odborného vzdelávania a prípravy, ktoré boli podporené“ ALEBO „Počet podporených SOŠ, ŠH, SPV, SOP (nie COVP)“. V rámci výzvy teda nie je podmienkou, aby výstupom projektu bolo zriadenie centra odborného vzdelávania a prípravy.</w:t>
      </w:r>
    </w:p>
    <w:p w14:paraId="7CE6D116" w14:textId="77777777" w:rsidR="003535E5" w:rsidRDefault="003535E5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3DF02C15" w14:textId="4A6BBCEA"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98334F">
        <w:rPr>
          <w:rFonts w:ascii="Times New Roman" w:hAnsi="Times New Roman"/>
          <w:sz w:val="24"/>
          <w:szCs w:val="24"/>
        </w:rPr>
        <w:t>8</w:t>
      </w:r>
      <w:r w:rsidRPr="00A67732">
        <w:rPr>
          <w:rFonts w:ascii="Times New Roman" w:hAnsi="Times New Roman"/>
          <w:sz w:val="24"/>
          <w:szCs w:val="24"/>
        </w:rPr>
        <w:t>:</w:t>
      </w:r>
    </w:p>
    <w:p w14:paraId="41D7FB78" w14:textId="3A089778" w:rsidR="00635061" w:rsidRDefault="00635061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 xml:space="preserve">V zozname oprávnených výdavkov sú uvedené mzdové výdavky – len výdavky bezprostredne súvisiace s prípravou a riadením projektu – manažér prípravy projektu, manažér pre verejné obstarávanie, projektový manažér, finančný manažér. V rámci rozpočtovej kapitoly 637027 Odmeny zamestnancov mimopracovného pomeru je možné zaplatiť </w:t>
      </w:r>
      <w:r w:rsidRPr="00A67732">
        <w:rPr>
          <w:rStyle w:val="Vrazn"/>
          <w:rFonts w:ascii="Times New Roman" w:hAnsi="Times New Roman"/>
          <w:color w:val="000000"/>
          <w:sz w:val="24"/>
          <w:szCs w:val="24"/>
        </w:rPr>
        <w:t>externého</w:t>
      </w:r>
      <w:r w:rsidRPr="00A67732">
        <w:rPr>
          <w:rFonts w:ascii="Times New Roman" w:hAnsi="Times New Roman"/>
          <w:color w:val="000000"/>
          <w:sz w:val="24"/>
          <w:szCs w:val="24"/>
        </w:rPr>
        <w:t xml:space="preserve"> pracovníka  - manažéra iba na základe dohody o vykonaní práce, alebo dohody o pracovnej činnosti, </w:t>
      </w:r>
      <w:proofErr w:type="spellStart"/>
      <w:r w:rsidRPr="00A67732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A67732">
        <w:rPr>
          <w:rFonts w:ascii="Times New Roman" w:hAnsi="Times New Roman"/>
          <w:color w:val="000000"/>
          <w:sz w:val="24"/>
          <w:szCs w:val="24"/>
        </w:rPr>
        <w:t xml:space="preserve">. na základe zmluvy uzatvorenej s fyzickou osobou, ktorá nie je zároveň zamestnancom žiadateľa? </w:t>
      </w:r>
    </w:p>
    <w:p w14:paraId="76A7996D" w14:textId="77777777" w:rsidR="005B1DC4" w:rsidRPr="00A67732" w:rsidRDefault="005B1DC4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D6FC45" w14:textId="77777777"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73989617" w14:textId="77777777" w:rsidR="003C4C12" w:rsidRPr="00A67732" w:rsidRDefault="00A9754D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lastRenderedPageBreak/>
        <w:t>V zmysle Zákonníka práce má fyzická osoba, ktorá má so zamestnávateľom uzatvorenú dohodu o práci vykonávanej mimo pracovného pomeru postavenie zamestnanca. Z uvedeného vyplýva, že v</w:t>
      </w:r>
      <w:r w:rsidR="003C4C12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ýdavky na </w:t>
      </w:r>
      <w:r w:rsidR="00405524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odmenu pre </w:t>
      </w:r>
      <w:r w:rsidR="003C4C12" w:rsidRPr="00A67732">
        <w:rPr>
          <w:rFonts w:ascii="Times New Roman" w:hAnsi="Times New Roman"/>
          <w:color w:val="1F497D" w:themeColor="text2"/>
          <w:sz w:val="24"/>
          <w:szCs w:val="24"/>
        </w:rPr>
        <w:t>zamestnanca pracujúceho na základe dohody o vykonaní práce, alebo dohody o pracovnej činnosti sú oprávnenými výdavkami za predpokladu, že spĺňajú podmienky uvedené v kapitole 4.8.1 Prílohy 2.a k Príručke pre žiadateľa a z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>á</w:t>
      </w:r>
      <w:r w:rsidR="003C4C12" w:rsidRPr="00A67732">
        <w:rPr>
          <w:rFonts w:ascii="Times New Roman" w:hAnsi="Times New Roman"/>
          <w:color w:val="1F497D" w:themeColor="text2"/>
          <w:sz w:val="24"/>
          <w:szCs w:val="24"/>
        </w:rPr>
        <w:t>roveň nepr</w:t>
      </w:r>
      <w:r w:rsidR="00405524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evyšujú limit výdavkov uvedený v Prílohe 2.b k Príručke pre žiadateľa. </w:t>
      </w:r>
    </w:p>
    <w:p w14:paraId="3FC2E4F2" w14:textId="77777777"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14:paraId="32D5E3AB" w14:textId="574692E6"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98334F">
        <w:rPr>
          <w:rFonts w:ascii="Times New Roman" w:hAnsi="Times New Roman"/>
          <w:sz w:val="24"/>
          <w:szCs w:val="24"/>
        </w:rPr>
        <w:t>9</w:t>
      </w:r>
      <w:r w:rsidRPr="00A67732">
        <w:rPr>
          <w:rFonts w:ascii="Times New Roman" w:hAnsi="Times New Roman"/>
          <w:sz w:val="24"/>
          <w:szCs w:val="24"/>
        </w:rPr>
        <w:t>:</w:t>
      </w:r>
    </w:p>
    <w:p w14:paraId="528BE319" w14:textId="77777777"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 xml:space="preserve">Je možné uzatvoriť zmluvu na </w:t>
      </w:r>
      <w:r w:rsidR="00D33FE7" w:rsidRPr="00A67732">
        <w:rPr>
          <w:rFonts w:ascii="Times New Roman" w:hAnsi="Times New Roman"/>
          <w:color w:val="000000"/>
          <w:sz w:val="24"/>
          <w:szCs w:val="24"/>
        </w:rPr>
        <w:t xml:space="preserve">externé činnosti </w:t>
      </w:r>
      <w:r w:rsidRPr="00A67732">
        <w:rPr>
          <w:rFonts w:ascii="Times New Roman" w:hAnsi="Times New Roman"/>
          <w:color w:val="000000"/>
          <w:sz w:val="24"/>
          <w:szCs w:val="24"/>
        </w:rPr>
        <w:t>aj s právnickou osobou</w:t>
      </w:r>
      <w:r w:rsidR="00903387">
        <w:rPr>
          <w:rFonts w:ascii="Times New Roman" w:hAnsi="Times New Roman"/>
          <w:color w:val="000000"/>
          <w:sz w:val="24"/>
          <w:szCs w:val="24"/>
        </w:rPr>
        <w:t>,</w:t>
      </w:r>
      <w:r w:rsidRPr="00A67732">
        <w:rPr>
          <w:rFonts w:ascii="Times New Roman" w:hAnsi="Times New Roman"/>
          <w:color w:val="000000"/>
          <w:sz w:val="24"/>
          <w:szCs w:val="24"/>
        </w:rPr>
        <w:t xml:space="preserve"> napr. na základe zmluvy o dielo, resp. mandátnej zmluvy?</w:t>
      </w:r>
    </w:p>
    <w:p w14:paraId="5B9416F7" w14:textId="77777777"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5B41D640" w14:textId="77777777" w:rsidR="00635061" w:rsidRPr="00A67732" w:rsidRDefault="003F3333" w:rsidP="009970C8">
      <w:pPr>
        <w:spacing w:afterLines="20" w:after="48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Môže, ale v danom prípade budú výdavky neoprávnené</w:t>
      </w:r>
      <w:r w:rsidR="005E021F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="00903387">
        <w:rPr>
          <w:rFonts w:ascii="Times New Roman" w:hAnsi="Times New Roman"/>
          <w:color w:val="1F497D" w:themeColor="text2"/>
          <w:sz w:val="24"/>
          <w:szCs w:val="24"/>
        </w:rPr>
        <w:t>V  Prílohe č. 2.a</w:t>
      </w:r>
      <w:r w:rsidR="00906FD1">
        <w:rPr>
          <w:rFonts w:ascii="Times New Roman" w:hAnsi="Times New Roman"/>
          <w:color w:val="1F497D" w:themeColor="text2"/>
          <w:sz w:val="24"/>
          <w:szCs w:val="24"/>
        </w:rPr>
        <w:t xml:space="preserve"> k Príručke pre žiadateľa</w:t>
      </w:r>
      <w:r w:rsidR="00635061" w:rsidRPr="00903387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5061"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>Pravidlá oprávnenosti výdavkov pre IROP</w:t>
      </w:r>
      <w:r w:rsidR="00635061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v kapitole 2.9: Nepriame výdavky je uvedené aj nasledovné:</w:t>
      </w:r>
      <w:r w:rsidR="005E021F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5061" w:rsidRPr="00A67732">
        <w:rPr>
          <w:rFonts w:ascii="Times New Roman" w:hAnsi="Times New Roman"/>
          <w:i/>
          <w:color w:val="1F497D" w:themeColor="text2"/>
          <w:sz w:val="24"/>
          <w:szCs w:val="24"/>
        </w:rPr>
        <w:t>Neoprávnenými nepriamymi výdavkami sú výdavky na externé riadenie projektu.</w:t>
      </w:r>
    </w:p>
    <w:p w14:paraId="07C52AE6" w14:textId="77777777"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320B5E45" w14:textId="497E6C67" w:rsid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 č. </w:t>
      </w:r>
      <w:r w:rsidR="00CE28A8">
        <w:rPr>
          <w:rFonts w:ascii="Times New Roman" w:hAnsi="Times New Roman"/>
          <w:sz w:val="24"/>
          <w:szCs w:val="24"/>
        </w:rPr>
        <w:t>1</w:t>
      </w:r>
      <w:r w:rsidR="0098334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</w:p>
    <w:p w14:paraId="792C570D" w14:textId="77777777" w:rsidR="000B5AD4" w:rsidRPr="00A67732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B5AD4" w:rsidRPr="00A67732">
        <w:rPr>
          <w:rFonts w:ascii="Times New Roman" w:hAnsi="Times New Roman"/>
          <w:sz w:val="24"/>
          <w:szCs w:val="24"/>
        </w:rPr>
        <w:t>hcem sa Vás opýtať v zmysle Pravidiel oprávnenosti výdavkov IROP</w:t>
      </w:r>
      <w:r w:rsidR="00903387">
        <w:rPr>
          <w:rFonts w:ascii="Times New Roman" w:hAnsi="Times New Roman"/>
          <w:sz w:val="24"/>
          <w:szCs w:val="24"/>
        </w:rPr>
        <w:t xml:space="preserve"> </w:t>
      </w:r>
      <w:r w:rsidR="000B5AD4" w:rsidRPr="00A67732">
        <w:rPr>
          <w:rFonts w:ascii="Times New Roman" w:hAnsi="Times New Roman"/>
          <w:sz w:val="24"/>
          <w:szCs w:val="24"/>
        </w:rPr>
        <w:t>na oprávnenosť nákladov za vypracovanie projektovej dokumentácie - architektonického riešenia pri nadstavbe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D4" w:rsidRPr="00A67732">
        <w:rPr>
          <w:rFonts w:ascii="Times New Roman" w:hAnsi="Times New Roman"/>
          <w:sz w:val="24"/>
          <w:szCs w:val="24"/>
        </w:rPr>
        <w:t>a rekonštrukcii.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D4" w:rsidRPr="00A67732">
        <w:rPr>
          <w:rFonts w:ascii="Times New Roman" w:hAnsi="Times New Roman"/>
          <w:sz w:val="24"/>
          <w:szCs w:val="24"/>
        </w:rPr>
        <w:t>Je tento náklad, ktorý vzniká už v</w:t>
      </w:r>
      <w:r w:rsidR="00423972">
        <w:rPr>
          <w:rFonts w:ascii="Times New Roman" w:hAnsi="Times New Roman"/>
          <w:sz w:val="24"/>
          <w:szCs w:val="24"/>
        </w:rPr>
        <w:t> </w:t>
      </w:r>
      <w:r w:rsidR="000B5AD4" w:rsidRPr="00A67732">
        <w:rPr>
          <w:rFonts w:ascii="Times New Roman" w:hAnsi="Times New Roman"/>
          <w:sz w:val="24"/>
          <w:szCs w:val="24"/>
        </w:rPr>
        <w:t>súčasnosti</w:t>
      </w:r>
      <w:r w:rsidR="00423972">
        <w:rPr>
          <w:rFonts w:ascii="Times New Roman" w:hAnsi="Times New Roman"/>
          <w:sz w:val="24"/>
          <w:szCs w:val="24"/>
        </w:rPr>
        <w:t>,</w:t>
      </w:r>
      <w:r w:rsidR="000B5AD4" w:rsidRPr="00A67732">
        <w:rPr>
          <w:rFonts w:ascii="Times New Roman" w:hAnsi="Times New Roman"/>
          <w:sz w:val="24"/>
          <w:szCs w:val="24"/>
        </w:rPr>
        <w:t xml:space="preserve"> oprávneným v zmysle bodu - 4.5 Príp</w:t>
      </w:r>
      <w:r w:rsidR="00423972">
        <w:rPr>
          <w:rFonts w:ascii="Times New Roman" w:hAnsi="Times New Roman"/>
          <w:sz w:val="24"/>
          <w:szCs w:val="24"/>
        </w:rPr>
        <w:t>ravná a projektová dokumentácia</w:t>
      </w:r>
      <w:r w:rsidR="000B5AD4" w:rsidRPr="00A67732">
        <w:rPr>
          <w:rFonts w:ascii="Times New Roman" w:hAnsi="Times New Roman"/>
          <w:sz w:val="24"/>
          <w:szCs w:val="24"/>
        </w:rPr>
        <w:t>? (samozrejme je nevyhnutný k splneniu cieľov projektu)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D4" w:rsidRPr="00A67732">
        <w:rPr>
          <w:rFonts w:ascii="Times New Roman" w:hAnsi="Times New Roman"/>
          <w:sz w:val="24"/>
          <w:szCs w:val="24"/>
        </w:rPr>
        <w:t>Tieto náklady budú refundované pri schv</w:t>
      </w:r>
      <w:r w:rsidR="00903387">
        <w:rPr>
          <w:rFonts w:ascii="Times New Roman" w:hAnsi="Times New Roman"/>
          <w:sz w:val="24"/>
          <w:szCs w:val="24"/>
        </w:rPr>
        <w:t>álení v prvej žiadosti o platbu</w:t>
      </w:r>
      <w:r w:rsidR="000B5AD4" w:rsidRPr="00A67732">
        <w:rPr>
          <w:rFonts w:ascii="Times New Roman" w:hAnsi="Times New Roman"/>
          <w:sz w:val="24"/>
          <w:szCs w:val="24"/>
        </w:rPr>
        <w:t>?</w:t>
      </w:r>
    </w:p>
    <w:p w14:paraId="351493B2" w14:textId="77777777"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  <w:lang w:eastAsia="en-US"/>
        </w:rPr>
      </w:pPr>
      <w:r>
        <w:rPr>
          <w:rFonts w:ascii="Times New Roman" w:hAnsi="Times New Roman"/>
          <w:color w:val="1F497D" w:themeColor="text2"/>
          <w:sz w:val="24"/>
          <w:szCs w:val="24"/>
          <w:lang w:eastAsia="en-US"/>
        </w:rPr>
        <w:t>Odpoveď:</w:t>
      </w:r>
    </w:p>
    <w:p w14:paraId="7172E4CF" w14:textId="77777777" w:rsidR="000B5AD4" w:rsidRPr="00A67732" w:rsidRDefault="000B5AD4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  <w:lang w:eastAsia="en-US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  <w:lang w:eastAsia="en-US"/>
        </w:rPr>
        <w:t>RO/SO pre IROP môže žiadateľovi zmysle prílohy č. 5 výzvy Zozn</w:t>
      </w:r>
      <w:r w:rsidR="003535E5">
        <w:rPr>
          <w:rFonts w:ascii="Times New Roman" w:hAnsi="Times New Roman"/>
          <w:color w:val="1F497D" w:themeColor="text2"/>
          <w:sz w:val="24"/>
          <w:szCs w:val="24"/>
          <w:lang w:eastAsia="en-US"/>
        </w:rPr>
        <w:t>a</w:t>
      </w:r>
      <w:r w:rsidRPr="00A67732">
        <w:rPr>
          <w:rFonts w:ascii="Times New Roman" w:hAnsi="Times New Roman"/>
          <w:color w:val="1F497D" w:themeColor="text2"/>
          <w:sz w:val="24"/>
          <w:szCs w:val="24"/>
          <w:lang w:eastAsia="en-US"/>
        </w:rPr>
        <w:t xml:space="preserve">m oprávnených výdavkov refundovať pri Prípravnej a projektovej dokumentácie len „dokumentáciu skutočného vyhotovenia stavby“. </w:t>
      </w:r>
    </w:p>
    <w:p w14:paraId="5FC0CE89" w14:textId="77777777" w:rsidR="000B5AD4" w:rsidRPr="00A67732" w:rsidRDefault="000B5AD4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1CF561B8" w14:textId="33FD2A92" w:rsidR="00483E2A" w:rsidRDefault="00483E2A" w:rsidP="009970C8">
      <w:pPr>
        <w:spacing w:afterLines="20" w:after="48"/>
        <w:jc w:val="both"/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Otázka č. </w:t>
      </w:r>
      <w:r w:rsidR="00CE28A8"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98334F"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14:paraId="0CB28D4A" w14:textId="1256F0D1"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Žiadam Vás o záväzné stanovisko, či sú v rámci predmetnej výzve oprávnené výdavky na prípravu </w:t>
      </w:r>
      <w:r w:rsidR="00667DF4"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>žiadosti o NFP</w:t>
      </w:r>
      <w:r w:rsidRPr="00A67732"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>?</w:t>
      </w:r>
      <w:r w:rsidRPr="00A67732">
        <w:rPr>
          <w:rStyle w:val="Vrazn"/>
          <w:rFonts w:ascii="Times New Roman" w:hAnsi="Times New Roman"/>
          <w:b w:val="0"/>
          <w:bCs w:val="0"/>
          <w:color w:val="1F497D"/>
          <w:sz w:val="24"/>
          <w:szCs w:val="24"/>
        </w:rPr>
        <w:t xml:space="preserve"> </w:t>
      </w:r>
    </w:p>
    <w:p w14:paraId="38E30143" w14:textId="77777777"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Odpoveď:</w:t>
      </w:r>
    </w:p>
    <w:p w14:paraId="44778CDB" w14:textId="2C614A3C" w:rsidR="00946082" w:rsidRDefault="00667DF4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V súlade s Príručkou pre žiadateľa sú zároveň oprávnené </w:t>
      </w:r>
      <w:r w:rsidR="00946082" w:rsidRPr="00946082">
        <w:rPr>
          <w:rFonts w:ascii="Times New Roman" w:hAnsi="Times New Roman"/>
          <w:color w:val="1F497D"/>
          <w:sz w:val="24"/>
          <w:szCs w:val="24"/>
        </w:rPr>
        <w:t xml:space="preserve"> aj podporné aktivity projektu, a to mzdové výdavky prijímateľa súvisiace s riadením projektu a výdavky na informovanie a komunikáciu spojenú s realizáciou projekt</w:t>
      </w:r>
      <w:r w:rsidR="00946082">
        <w:rPr>
          <w:rFonts w:ascii="Times New Roman" w:hAnsi="Times New Roman"/>
          <w:color w:val="1F497D"/>
          <w:sz w:val="24"/>
          <w:szCs w:val="24"/>
        </w:rPr>
        <w:t>.</w:t>
      </w:r>
    </w:p>
    <w:p w14:paraId="577D872B" w14:textId="77777777" w:rsidR="00BC72DC" w:rsidRPr="00A67732" w:rsidRDefault="00BC72DC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05B766CC" w14:textId="73E3EC35" w:rsid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 č. </w:t>
      </w:r>
      <w:r w:rsidR="00CE28A8">
        <w:rPr>
          <w:rFonts w:ascii="Times New Roman" w:hAnsi="Times New Roman"/>
          <w:sz w:val="24"/>
          <w:szCs w:val="24"/>
        </w:rPr>
        <w:t>1</w:t>
      </w:r>
      <w:r w:rsidR="009833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14:paraId="67EF6258" w14:textId="77777777"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FF0000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V prílohe </w:t>
      </w:r>
      <w:r w:rsidRPr="00A67732">
        <w:rPr>
          <w:rFonts w:ascii="Times New Roman" w:hAnsi="Times New Roman"/>
          <w:color w:val="000000"/>
          <w:sz w:val="24"/>
          <w:szCs w:val="24"/>
        </w:rPr>
        <w:t xml:space="preserve">č. 2b. Príručky pre žiadateľa - Finančné a percentuálne limity v tabuľke č. 1 je uvedená maximálna výška celkových nepriamych výdavkov: </w:t>
      </w:r>
    </w:p>
    <w:p w14:paraId="659CB9AF" w14:textId="77777777"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>-  max. 3 % z celkových priamych oprávnených výdavkov projektu investičného charakteru</w:t>
      </w:r>
    </w:p>
    <w:p w14:paraId="488C681C" w14:textId="77777777"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>- max. 7% z celkových priamych oprávnených výdavkov projektu neinvestičného charakteru</w:t>
      </w:r>
    </w:p>
    <w:p w14:paraId="4D82C579" w14:textId="16B5EBB4" w:rsidR="00106471" w:rsidRDefault="00106471" w:rsidP="009970C8">
      <w:pPr>
        <w:spacing w:afterLines="20" w:after="48"/>
        <w:jc w:val="both"/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67732"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Žiadateľ má splniť zároveň obidve kritériá? </w:t>
      </w:r>
      <w:r w:rsidR="00483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732"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  <w:t>Ako má správne postupovať napr. žiadateľ, ktorý bude mať minimálne výdavky neinvestičného charakteru?</w:t>
      </w:r>
    </w:p>
    <w:p w14:paraId="5C200AAB" w14:textId="77777777" w:rsidR="005B1DC4" w:rsidRPr="00483E2A" w:rsidRDefault="005B1DC4" w:rsidP="009970C8">
      <w:pPr>
        <w:spacing w:afterLines="20" w:after="48"/>
        <w:jc w:val="both"/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2CDEA1DA" w14:textId="77777777" w:rsidR="00483E2A" w:rsidRPr="00182037" w:rsidRDefault="00483E2A" w:rsidP="009970C8">
      <w:pPr>
        <w:spacing w:afterLines="20" w:after="48"/>
        <w:jc w:val="both"/>
        <w:rPr>
          <w:rStyle w:val="Vrazn"/>
          <w:rFonts w:ascii="Times New Roman" w:hAnsi="Times New Roman"/>
          <w:b w:val="0"/>
          <w:bCs w:val="0"/>
          <w:color w:val="1F497D"/>
          <w:sz w:val="24"/>
          <w:szCs w:val="24"/>
        </w:rPr>
      </w:pPr>
      <w:r w:rsidRPr="00182037">
        <w:rPr>
          <w:rStyle w:val="Vrazn"/>
          <w:rFonts w:ascii="Times New Roman" w:hAnsi="Times New Roman"/>
          <w:b w:val="0"/>
          <w:bCs w:val="0"/>
          <w:color w:val="1F497D"/>
          <w:sz w:val="24"/>
          <w:szCs w:val="24"/>
        </w:rPr>
        <w:t>Odpoveď:</w:t>
      </w:r>
    </w:p>
    <w:p w14:paraId="73F3FB70" w14:textId="62F8671C" w:rsidR="00106471" w:rsidRPr="00733542" w:rsidRDefault="0010647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182037">
        <w:rPr>
          <w:rStyle w:val="Vrazn"/>
          <w:rFonts w:ascii="Times New Roman" w:hAnsi="Times New Roman"/>
          <w:b w:val="0"/>
          <w:bCs w:val="0"/>
          <w:color w:val="1F497D"/>
          <w:sz w:val="24"/>
          <w:szCs w:val="24"/>
        </w:rPr>
        <w:lastRenderedPageBreak/>
        <w:t xml:space="preserve">Výzva na predkladanie </w:t>
      </w:r>
      <w:proofErr w:type="spellStart"/>
      <w:r w:rsidR="00733542">
        <w:rPr>
          <w:rStyle w:val="Vrazn"/>
          <w:rFonts w:ascii="Times New Roman" w:hAnsi="Times New Roman"/>
          <w:b w:val="0"/>
          <w:bCs w:val="0"/>
          <w:color w:val="1F497D"/>
          <w:sz w:val="24"/>
          <w:szCs w:val="24"/>
        </w:rPr>
        <w:t>ŽoNFP</w:t>
      </w:r>
      <w:proofErr w:type="spellEnd"/>
      <w:r w:rsidRPr="00182037">
        <w:rPr>
          <w:rStyle w:val="Vrazn"/>
          <w:rFonts w:ascii="Times New Roman" w:hAnsi="Times New Roman"/>
          <w:b w:val="0"/>
          <w:bCs w:val="0"/>
          <w:color w:val="1F497D"/>
          <w:sz w:val="24"/>
          <w:szCs w:val="24"/>
        </w:rPr>
        <w:t xml:space="preserve"> je investičného charakteru, preto sa na nepriame výdavky projektu vzťahuje max. limit 3 % z celkov</w:t>
      </w:r>
      <w:r w:rsidRPr="00733542">
        <w:rPr>
          <w:rStyle w:val="Vrazn"/>
          <w:rFonts w:ascii="Times New Roman" w:hAnsi="Times New Roman"/>
          <w:b w:val="0"/>
          <w:bCs w:val="0"/>
          <w:color w:val="1F497D"/>
          <w:sz w:val="24"/>
          <w:szCs w:val="24"/>
        </w:rPr>
        <w:t>ých priamych oprávnených výdavkov</w:t>
      </w:r>
      <w:r w:rsidRPr="00182037">
        <w:rPr>
          <w:rStyle w:val="Vrazn"/>
          <w:rFonts w:ascii="Times New Roman" w:hAnsi="Times New Roman"/>
          <w:b w:val="0"/>
          <w:bCs w:val="0"/>
          <w:color w:val="1F497D"/>
          <w:sz w:val="24"/>
          <w:szCs w:val="24"/>
        </w:rPr>
        <w:t>. Nepriame výdavky žiadateľa nad stanovený limit budú kategorizované ako neoprávnené výdavky.</w:t>
      </w:r>
    </w:p>
    <w:p w14:paraId="3C677C79" w14:textId="77777777" w:rsidR="006B76C7" w:rsidRPr="00A67732" w:rsidRDefault="006B76C7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30218B82" w14:textId="5983CC33" w:rsidR="006B76C7" w:rsidRPr="00A67732" w:rsidRDefault="006B76C7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11F1C47C" w14:textId="77777777" w:rsidR="006B76C7" w:rsidRPr="00CE21F2" w:rsidRDefault="006B76C7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030B7CC0" w14:textId="77777777" w:rsidR="00643DCB" w:rsidRPr="00CE21F2" w:rsidRDefault="00631F3A" w:rsidP="009970C8">
      <w:pPr>
        <w:spacing w:afterLines="20" w:after="4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21F2">
        <w:rPr>
          <w:rFonts w:ascii="Times New Roman" w:hAnsi="Times New Roman"/>
          <w:b/>
          <w:sz w:val="24"/>
          <w:szCs w:val="24"/>
          <w:u w:val="single"/>
        </w:rPr>
        <w:t>PODMIENKY POSKYTNUTIA PRÍSPEVKU</w:t>
      </w:r>
    </w:p>
    <w:p w14:paraId="6ABD91F6" w14:textId="77777777" w:rsidR="00643DCB" w:rsidRPr="00483E2A" w:rsidRDefault="00631F3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 č. 1:</w:t>
      </w:r>
      <w:r w:rsidR="00C86444" w:rsidRPr="00483E2A">
        <w:rPr>
          <w:rFonts w:ascii="Times New Roman" w:hAnsi="Times New Roman"/>
          <w:sz w:val="24"/>
          <w:szCs w:val="24"/>
        </w:rPr>
        <w:t xml:space="preserve"> </w:t>
      </w:r>
    </w:p>
    <w:p w14:paraId="05957DC3" w14:textId="77777777" w:rsidR="00A124BA" w:rsidRPr="00483E2A" w:rsidRDefault="00A124BA" w:rsidP="009970C8">
      <w:pPr>
        <w:pStyle w:val="Default"/>
        <w:spacing w:afterLines="20" w:after="48"/>
        <w:jc w:val="both"/>
        <w:rPr>
          <w:rFonts w:ascii="Times New Roman" w:hAnsi="Times New Roman" w:cs="Times New Roman"/>
        </w:rPr>
      </w:pPr>
      <w:r w:rsidRPr="00483E2A">
        <w:rPr>
          <w:rFonts w:ascii="Times New Roman" w:hAnsi="Times New Roman" w:cs="Times New Roman"/>
        </w:rPr>
        <w:t>Ako sa bude posudzovať hodnotiace kritérium</w:t>
      </w:r>
      <w:r w:rsidR="0097555E" w:rsidRPr="00483E2A">
        <w:rPr>
          <w:rFonts w:ascii="Times New Roman" w:hAnsi="Times New Roman" w:cs="Times New Roman"/>
        </w:rPr>
        <w:t xml:space="preserve"> č. 4 Súlad s požiadavkami regionálneho trhu práce a konkurencieschopnosti regiónu</w:t>
      </w:r>
      <w:r w:rsidRPr="00483E2A">
        <w:rPr>
          <w:rFonts w:ascii="Times New Roman" w:hAnsi="Times New Roman" w:cs="Times New Roman"/>
        </w:rPr>
        <w:t>? Bude postačovať pre splnenie kritéria Rámcová zmluva o poskytovaní služieb praktického vyučovania medzi školou a firmou? Alebo je potrebná nejaká špecifická zmluva</w:t>
      </w:r>
      <w:r w:rsidR="00CC21EE" w:rsidRPr="00483E2A">
        <w:rPr>
          <w:rFonts w:ascii="Times New Roman" w:hAnsi="Times New Roman" w:cs="Times New Roman"/>
        </w:rPr>
        <w:t>,</w:t>
      </w:r>
      <w:r w:rsidRPr="00483E2A">
        <w:rPr>
          <w:rFonts w:ascii="Times New Roman" w:hAnsi="Times New Roman" w:cs="Times New Roman"/>
        </w:rPr>
        <w:t xml:space="preserve"> v ktorom je presne stanov</w:t>
      </w:r>
      <w:r w:rsidR="00375FE5" w:rsidRPr="00483E2A">
        <w:rPr>
          <w:rFonts w:ascii="Times New Roman" w:hAnsi="Times New Roman" w:cs="Times New Roman"/>
        </w:rPr>
        <w:t>ené koľko žiakov sa pre firmu v </w:t>
      </w:r>
      <w:r w:rsidRPr="00483E2A">
        <w:rPr>
          <w:rFonts w:ascii="Times New Roman" w:hAnsi="Times New Roman" w:cs="Times New Roman"/>
        </w:rPr>
        <w:t>škole učí?</w:t>
      </w:r>
    </w:p>
    <w:p w14:paraId="530661D4" w14:textId="77777777"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14:paraId="36E3E080" w14:textId="77777777"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Výzva nešpecifikuje </w:t>
      </w:r>
      <w:r w:rsidR="0097555E" w:rsidRPr="00483E2A">
        <w:rPr>
          <w:rFonts w:ascii="Times New Roman" w:hAnsi="Times New Roman" w:cs="Times New Roman"/>
          <w:color w:val="1F497D"/>
          <w:sz w:val="24"/>
          <w:szCs w:val="24"/>
        </w:rPr>
        <w:t>konkrétny typ zmluvy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s tým, že zmlu</w:t>
      </w:r>
      <w:r w:rsidR="00375FE5" w:rsidRPr="00483E2A">
        <w:rPr>
          <w:rFonts w:ascii="Times New Roman" w:hAnsi="Times New Roman" w:cs="Times New Roman"/>
          <w:color w:val="1F497D"/>
          <w:sz w:val="24"/>
          <w:szCs w:val="24"/>
        </w:rPr>
        <w:t>va musí byť platná minimálne na 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obdobie </w:t>
      </w:r>
      <w:r w:rsidR="00CC2462" w:rsidRPr="00483E2A">
        <w:rPr>
          <w:rFonts w:ascii="Times New Roman" w:hAnsi="Times New Roman" w:cs="Times New Roman"/>
          <w:color w:val="1F497D"/>
          <w:sz w:val="24"/>
          <w:szCs w:val="24"/>
        </w:rPr>
        <w:t>realizácie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CC2462" w:rsidRPr="00483E2A">
        <w:rPr>
          <w:rFonts w:ascii="Times New Roman" w:hAnsi="Times New Roman" w:cs="Times New Roman"/>
          <w:color w:val="1F497D"/>
          <w:sz w:val="24"/>
          <w:szCs w:val="24"/>
        </w:rPr>
        <w:t>a počas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udržateľnosti</w:t>
      </w:r>
      <w:r w:rsidR="0034128F"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projektu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14:paraId="5F286A36" w14:textId="77777777"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14:paraId="0F7B78A0" w14:textId="2BC75402"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</w:t>
      </w:r>
      <w:r w:rsidR="00375FE5" w:rsidRPr="00483E2A">
        <w:rPr>
          <w:rFonts w:ascii="Times New Roman" w:hAnsi="Times New Roman"/>
          <w:sz w:val="24"/>
          <w:szCs w:val="24"/>
        </w:rPr>
        <w:t xml:space="preserve"> č. </w:t>
      </w:r>
      <w:r w:rsidR="006D0B7F">
        <w:rPr>
          <w:rFonts w:ascii="Times New Roman" w:hAnsi="Times New Roman"/>
          <w:sz w:val="24"/>
          <w:szCs w:val="24"/>
        </w:rPr>
        <w:t>2</w:t>
      </w:r>
      <w:r w:rsidR="00375FE5" w:rsidRPr="00483E2A">
        <w:rPr>
          <w:rFonts w:ascii="Times New Roman" w:hAnsi="Times New Roman"/>
          <w:sz w:val="24"/>
          <w:szCs w:val="24"/>
        </w:rPr>
        <w:t>:</w:t>
      </w:r>
    </w:p>
    <w:p w14:paraId="0ECF3C17" w14:textId="77777777" w:rsidR="00A124BA" w:rsidRPr="00483E2A" w:rsidRDefault="00733542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</w:t>
      </w:r>
      <w:r w:rsidR="00A124BA" w:rsidRPr="00483E2A">
        <w:rPr>
          <w:rFonts w:ascii="Times New Roman" w:hAnsi="Times New Roman" w:cs="Times New Roman"/>
          <w:sz w:val="24"/>
          <w:szCs w:val="24"/>
        </w:rPr>
        <w:t xml:space="preserve"> o projekt generujúci príjem?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 Š</w:t>
      </w:r>
      <w:r w:rsidR="00A124BA" w:rsidRPr="00483E2A">
        <w:rPr>
          <w:rFonts w:ascii="Times New Roman" w:hAnsi="Times New Roman" w:cs="Times New Roman"/>
          <w:sz w:val="24"/>
          <w:szCs w:val="24"/>
        </w:rPr>
        <w:t xml:space="preserve">kola školné nevyberá, robí podnikateľskú činnosť  - zváračské kurzy, rekvalifikačné kurzy, zhotovovanie výrobkov, príležitostný prenájom priestorov (napr. telocvične, </w:t>
      </w:r>
      <w:proofErr w:type="spellStart"/>
      <w:r w:rsidR="00A124BA" w:rsidRPr="00483E2A">
        <w:rPr>
          <w:rFonts w:ascii="Times New Roman" w:hAnsi="Times New Roman" w:cs="Times New Roman"/>
          <w:sz w:val="24"/>
          <w:szCs w:val="24"/>
        </w:rPr>
        <w:t>videou</w:t>
      </w:r>
      <w:r w:rsidR="00375FE5" w:rsidRPr="00483E2A">
        <w:rPr>
          <w:rFonts w:ascii="Times New Roman" w:hAnsi="Times New Roman" w:cs="Times New Roman"/>
          <w:sz w:val="24"/>
          <w:szCs w:val="24"/>
        </w:rPr>
        <w:t>čebne</w:t>
      </w:r>
      <w:proofErr w:type="spellEnd"/>
      <w:r w:rsidR="00375FE5" w:rsidRPr="00483E2A">
        <w:rPr>
          <w:rFonts w:ascii="Times New Roman" w:hAnsi="Times New Roman" w:cs="Times New Roman"/>
          <w:sz w:val="24"/>
          <w:szCs w:val="24"/>
        </w:rPr>
        <w:t>, ...</w:t>
      </w:r>
      <w:r w:rsidR="00A124BA" w:rsidRPr="00483E2A">
        <w:rPr>
          <w:rFonts w:ascii="Times New Roman" w:hAnsi="Times New Roman" w:cs="Times New Roman"/>
          <w:sz w:val="24"/>
          <w:szCs w:val="24"/>
        </w:rPr>
        <w:t>), bufet. Zisk je použitý na prevádzku školy + normatív +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 </w:t>
      </w:r>
      <w:r w:rsidR="00A124BA" w:rsidRPr="00483E2A">
        <w:rPr>
          <w:rFonts w:ascii="Times New Roman" w:hAnsi="Times New Roman" w:cs="Times New Roman"/>
          <w:sz w:val="24"/>
          <w:szCs w:val="24"/>
        </w:rPr>
        <w:t>od zriaďovateľa. Sú platiteľmi DPH len za podnikateľskú činnosť. Sú nezisková organizácia.</w:t>
      </w:r>
    </w:p>
    <w:p w14:paraId="3F40E70B" w14:textId="77777777"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14:paraId="37EC5CAD" w14:textId="77777777"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Posúdenie toho, či ide o projekt generujúci príjem, vychá</w:t>
      </w:r>
      <w:r w:rsidR="00375FE5" w:rsidRPr="00483E2A">
        <w:rPr>
          <w:rFonts w:ascii="Times New Roman" w:hAnsi="Times New Roman" w:cs="Times New Roman"/>
          <w:color w:val="1F497D"/>
          <w:sz w:val="24"/>
          <w:szCs w:val="24"/>
        </w:rPr>
        <w:t>dza z predloženého  projektu na 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základe finančnej analýzy projektu. </w:t>
      </w:r>
    </w:p>
    <w:p w14:paraId="01AC1DDC" w14:textId="77777777"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43023F90" w14:textId="18EE9211"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</w:t>
      </w:r>
      <w:r w:rsidR="00375FE5" w:rsidRPr="00483E2A">
        <w:rPr>
          <w:rFonts w:ascii="Times New Roman" w:hAnsi="Times New Roman"/>
          <w:sz w:val="24"/>
          <w:szCs w:val="24"/>
        </w:rPr>
        <w:t xml:space="preserve"> č. </w:t>
      </w:r>
      <w:r w:rsidR="006D0B7F">
        <w:rPr>
          <w:rFonts w:ascii="Times New Roman" w:hAnsi="Times New Roman"/>
          <w:sz w:val="24"/>
          <w:szCs w:val="24"/>
        </w:rPr>
        <w:t>3</w:t>
      </w:r>
      <w:r w:rsidR="00375FE5" w:rsidRPr="00483E2A">
        <w:rPr>
          <w:rFonts w:ascii="Times New Roman" w:hAnsi="Times New Roman"/>
          <w:sz w:val="24"/>
          <w:szCs w:val="24"/>
        </w:rPr>
        <w:t>:</w:t>
      </w:r>
    </w:p>
    <w:p w14:paraId="484D4B76" w14:textId="77777777" w:rsidR="00A124BA" w:rsidRPr="00483E2A" w:rsidRDefault="00375FE5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483E2A">
        <w:rPr>
          <w:rFonts w:ascii="Times New Roman" w:hAnsi="Times New Roman" w:cs="Times New Roman"/>
          <w:sz w:val="24"/>
          <w:szCs w:val="24"/>
        </w:rPr>
        <w:t>M</w:t>
      </w:r>
      <w:r w:rsidR="00A124BA" w:rsidRPr="00483E2A">
        <w:rPr>
          <w:rFonts w:ascii="Times New Roman" w:hAnsi="Times New Roman" w:cs="Times New Roman"/>
          <w:sz w:val="24"/>
          <w:szCs w:val="24"/>
        </w:rPr>
        <w:t>ôže mať nájomnú zmluvu na budovu uzavretú s VÚC zriaďovateľ, nie škola?</w:t>
      </w:r>
    </w:p>
    <w:p w14:paraId="5854B7AC" w14:textId="77777777"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14:paraId="4517181A" w14:textId="77777777"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Podľa podmienok výzvy musia byť nehnuteľnosti (pozemky a stavby) a hnuteľné veci, prostredníctvom ktorých dochádza k realizácii projektu, vo výlučnom vlastníctve </w:t>
      </w:r>
      <w:r w:rsidRPr="00483E2A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žiadateľa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, alebo </w:t>
      </w:r>
      <w:r w:rsidRPr="00483E2A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žiadateľ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musí mať k predmetným nehnuteľnostiam a hnuteľným veciam iné právo (napr. dlhodobý prenájom), na základe ktorého je oprávnen</w:t>
      </w:r>
      <w:r w:rsidR="00375FE5" w:rsidRPr="00483E2A">
        <w:rPr>
          <w:rFonts w:ascii="Times New Roman" w:hAnsi="Times New Roman" w:cs="Times New Roman"/>
          <w:color w:val="1F497D"/>
          <w:sz w:val="24"/>
          <w:szCs w:val="24"/>
        </w:rPr>
        <w:t>ý užívať všetky nehnuteľnosti a 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hnuteľné veci, na ktorých má byť projekt realizovaný. Túto podmienku poskytnutia príspevku </w:t>
      </w:r>
      <w:r w:rsidRPr="00483E2A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 xml:space="preserve">musí žiadateľ spĺňať počas realizácie projektu a zároveň počas obdobia udržateľnosti projektu, </w:t>
      </w:r>
      <w:proofErr w:type="spellStart"/>
      <w:r w:rsidRPr="00483E2A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t.j</w:t>
      </w:r>
      <w:proofErr w:type="spellEnd"/>
      <w:r w:rsidRPr="00483E2A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. minimálne 5 rokov po ukončení realizácie projektu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>. Pre odpoveď na túto otázku je teda rozhodujúce, či bude žiadateľom stredná odborná škola, alebo jej zriaďovateľ.</w:t>
      </w:r>
    </w:p>
    <w:p w14:paraId="22047663" w14:textId="77777777"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203E7EBF" w14:textId="136658A4" w:rsidR="00564573" w:rsidRPr="00483E2A" w:rsidRDefault="00564573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</w:t>
      </w:r>
      <w:r w:rsidR="00375FE5" w:rsidRPr="00483E2A">
        <w:rPr>
          <w:rFonts w:ascii="Times New Roman" w:hAnsi="Times New Roman"/>
          <w:sz w:val="24"/>
          <w:szCs w:val="24"/>
        </w:rPr>
        <w:t xml:space="preserve"> č. </w:t>
      </w:r>
      <w:r w:rsidR="006D0B7F">
        <w:rPr>
          <w:rFonts w:ascii="Times New Roman" w:hAnsi="Times New Roman"/>
          <w:sz w:val="24"/>
          <w:szCs w:val="24"/>
        </w:rPr>
        <w:t>4</w:t>
      </w:r>
      <w:r w:rsidR="00375FE5" w:rsidRPr="00483E2A">
        <w:rPr>
          <w:rFonts w:ascii="Times New Roman" w:hAnsi="Times New Roman"/>
          <w:sz w:val="24"/>
          <w:szCs w:val="24"/>
        </w:rPr>
        <w:t>:</w:t>
      </w:r>
    </w:p>
    <w:p w14:paraId="18912381" w14:textId="54461763" w:rsidR="00564573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483E2A">
        <w:rPr>
          <w:rFonts w:ascii="Times New Roman" w:hAnsi="Times New Roman" w:cs="Times New Roman"/>
          <w:sz w:val="24"/>
          <w:szCs w:val="24"/>
        </w:rPr>
        <w:t xml:space="preserve">V prípade zatepľovania budovy 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je povinné si </w:t>
      </w:r>
      <w:r w:rsidRPr="00483E2A">
        <w:rPr>
          <w:rFonts w:ascii="Times New Roman" w:hAnsi="Times New Roman" w:cs="Times New Roman"/>
          <w:sz w:val="24"/>
          <w:szCs w:val="24"/>
        </w:rPr>
        <w:t>stanoviť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 pre projekt merateľný</w:t>
      </w:r>
      <w:r w:rsidRPr="00483E2A">
        <w:rPr>
          <w:rFonts w:ascii="Times New Roman" w:hAnsi="Times New Roman" w:cs="Times New Roman"/>
          <w:sz w:val="24"/>
          <w:szCs w:val="24"/>
        </w:rPr>
        <w:t xml:space="preserve"> ukazovateľ P0700 Zníženie ročnej spotreby primárnej energie vo verejných budovách a aj P0103 Ročné zníženie emisií skleníkových plynov?</w:t>
      </w:r>
    </w:p>
    <w:p w14:paraId="1FFC25EE" w14:textId="77777777" w:rsidR="005B1DC4" w:rsidRPr="00483E2A" w:rsidRDefault="005B1DC4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14:paraId="130BD599" w14:textId="77777777" w:rsidR="00564573" w:rsidRPr="00483E2A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</w:t>
      </w:r>
    </w:p>
    <w:p w14:paraId="480DF7DE" w14:textId="77777777" w:rsidR="00564573" w:rsidRPr="00483E2A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Áno (viď príloha č. 4 výzvy - Zoznam merateľných uka</w:t>
      </w:r>
      <w:r w:rsidR="00375FE5" w:rsidRPr="00483E2A">
        <w:rPr>
          <w:rFonts w:ascii="Times New Roman" w:hAnsi="Times New Roman" w:cs="Times New Roman"/>
          <w:color w:val="1F497D"/>
          <w:sz w:val="24"/>
          <w:szCs w:val="24"/>
        </w:rPr>
        <w:t>zovateľov a stĺpec relevancia k 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>aktivite).</w:t>
      </w:r>
    </w:p>
    <w:p w14:paraId="5AEADCB5" w14:textId="77777777" w:rsidR="00375FE5" w:rsidRPr="00483E2A" w:rsidRDefault="00375FE5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2773A35B" w14:textId="1767CBE9" w:rsidR="006614ED" w:rsidRPr="00483E2A" w:rsidRDefault="006614ED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 xml:space="preserve">Otázka č. </w:t>
      </w:r>
      <w:r w:rsidR="006D0B7F">
        <w:rPr>
          <w:rFonts w:ascii="Times New Roman" w:hAnsi="Times New Roman"/>
          <w:sz w:val="24"/>
          <w:szCs w:val="24"/>
        </w:rPr>
        <w:t>5</w:t>
      </w:r>
      <w:r w:rsidRPr="00483E2A">
        <w:rPr>
          <w:rFonts w:ascii="Times New Roman" w:hAnsi="Times New Roman"/>
          <w:sz w:val="24"/>
          <w:szCs w:val="24"/>
        </w:rPr>
        <w:t>:</w:t>
      </w:r>
    </w:p>
    <w:p w14:paraId="1A4E9D59" w14:textId="77777777" w:rsidR="006614ED" w:rsidRPr="00483E2A" w:rsidRDefault="006614ED" w:rsidP="009970C8">
      <w:pPr>
        <w:pStyle w:val="Default"/>
        <w:spacing w:afterLines="20" w:after="48"/>
        <w:jc w:val="both"/>
        <w:rPr>
          <w:rFonts w:ascii="Times New Roman" w:hAnsi="Times New Roman" w:cs="Times New Roman"/>
          <w:bCs/>
        </w:rPr>
      </w:pPr>
      <w:r w:rsidRPr="00483E2A">
        <w:rPr>
          <w:rFonts w:ascii="Times New Roman" w:hAnsi="Times New Roman" w:cs="Times New Roman"/>
          <w:bCs/>
        </w:rPr>
        <w:t>Prosím Vás o de</w:t>
      </w:r>
      <w:r w:rsidR="008F0E61">
        <w:rPr>
          <w:rFonts w:ascii="Times New Roman" w:hAnsi="Times New Roman" w:cs="Times New Roman"/>
          <w:bCs/>
        </w:rPr>
        <w:t>finovanie oprávnenej aktivity e)</w:t>
      </w:r>
      <w:r w:rsidRPr="00483E2A">
        <w:rPr>
          <w:rFonts w:ascii="Times New Roman" w:hAnsi="Times New Roman" w:cs="Times New Roman"/>
          <w:bCs/>
        </w:rPr>
        <w:t xml:space="preserve"> zvýšenie energetickej hospodárnosti budov stredných odborných škôl, centier odborného vzdelávania a prípravy, stredísk odbornej praxe, stredísk praktického vyučovania, školských hospodárstiev a internátov. V ktorých prípadoch je žiadateľ povinný túto aktivitu zaradiť do projektu a priradiť k nej príslušné merateľné ukazovatele?</w:t>
      </w:r>
    </w:p>
    <w:p w14:paraId="54F71727" w14:textId="77777777" w:rsidR="006614ED" w:rsidRPr="00483E2A" w:rsidRDefault="006614ED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2640195F" w14:textId="04066E82" w:rsidR="006614ED" w:rsidRPr="00483E2A" w:rsidRDefault="006614ED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/>
          <w:color w:val="1F497D" w:themeColor="text2"/>
          <w:sz w:val="24"/>
          <w:szCs w:val="24"/>
        </w:rPr>
        <w:t>Platí všeobecná zásada, že výdavky, ktoré smerujú k zvyšovaniu energetickej efektívnosti budov (</w:t>
      </w:r>
      <w:r w:rsidRPr="00483E2A">
        <w:rPr>
          <w:rFonts w:ascii="Times New Roman" w:hAnsi="Times New Roman"/>
          <w:color w:val="1F497D" w:themeColor="text2"/>
          <w:sz w:val="24"/>
          <w:szCs w:val="24"/>
          <w:u w:val="single"/>
        </w:rPr>
        <w:t>opatrenia zamerané na zateplenie obvodového plášťa (vrátane strechy), výmena vykurovacieho zariadenia, výmena otvorov na budove – okná, dvere a pod.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 xml:space="preserve">) predstavujú opatrenia, ktoré musia byť sledované prostredníctvom ukazovateľov </w:t>
      </w:r>
      <w:r w:rsidRPr="00483E2A">
        <w:rPr>
          <w:rFonts w:ascii="Times New Roman" w:hAnsi="Times New Roman"/>
          <w:i/>
          <w:iCs/>
          <w:color w:val="1F497D" w:themeColor="text2"/>
          <w:sz w:val="24"/>
          <w:szCs w:val="24"/>
        </w:rPr>
        <w:t>Zníženie ročnej spotreby primárnej energie vo verejných budovách/Odhadované ročné zníženie emisií skleníkových plynov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>. V prípade, že súčasťou </w:t>
      </w:r>
      <w:r w:rsidR="00836DB4">
        <w:rPr>
          <w:rFonts w:ascii="Times New Roman" w:hAnsi="Times New Roman"/>
          <w:color w:val="1F497D" w:themeColor="text2"/>
          <w:sz w:val="24"/>
          <w:szCs w:val="24"/>
        </w:rPr>
        <w:t>žiadosti</w:t>
      </w:r>
      <w:r w:rsidR="00836DB4" w:rsidRPr="00483E2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 xml:space="preserve">sú zrejmé opatrenia zamerané na energetickú efektívnosť je potrebné, aby žiadateľ vytvoril hlavnú aktivitu súvisiacu so zvyšovaním energetickej efektívnosti budov a zároveň bude potrebné definoval zmieňované ukazovatele. </w:t>
      </w:r>
    </w:p>
    <w:p w14:paraId="041A2210" w14:textId="77777777" w:rsidR="006614ED" w:rsidRPr="00483E2A" w:rsidRDefault="006614ED" w:rsidP="009970C8">
      <w:pPr>
        <w:spacing w:afterLines="20" w:after="48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483E2A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Postup (kedy je nutné zahrnúť výdavky pod typ aktivity </w:t>
      </w:r>
      <w:r w:rsidR="006A4FB3" w:rsidRPr="00483E2A">
        <w:rPr>
          <w:rFonts w:ascii="Times New Roman" w:hAnsi="Times New Roman"/>
          <w:b/>
          <w:bCs/>
          <w:color w:val="1F497D" w:themeColor="text2"/>
          <w:sz w:val="24"/>
          <w:szCs w:val="24"/>
        </w:rPr>
        <w:t>e</w:t>
      </w:r>
      <w:r w:rsidRPr="00483E2A">
        <w:rPr>
          <w:rFonts w:ascii="Times New Roman" w:hAnsi="Times New Roman"/>
          <w:b/>
          <w:bCs/>
          <w:color w:val="1F497D" w:themeColor="text2"/>
          <w:sz w:val="24"/>
          <w:szCs w:val="24"/>
        </w:rPr>
        <w:t>):</w:t>
      </w:r>
    </w:p>
    <w:p w14:paraId="79997D66" w14:textId="77777777" w:rsidR="006614ED" w:rsidRPr="00483E2A" w:rsidRDefault="006614ED" w:rsidP="008F0E61">
      <w:pPr>
        <w:pStyle w:val="Odsekzoznamu"/>
        <w:numPr>
          <w:ilvl w:val="0"/>
          <w:numId w:val="8"/>
        </w:numPr>
        <w:spacing w:afterLines="20" w:after="48"/>
        <w:ind w:left="567" w:hanging="283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>Pri zateplení obvodového plášťa (vrátane strechy) a výmene otvorov na budove (okná, dvere a pod.) platí:</w:t>
      </w:r>
    </w:p>
    <w:p w14:paraId="106CBE19" w14:textId="77777777" w:rsidR="006614ED" w:rsidRPr="00483E2A" w:rsidRDefault="006614ED" w:rsidP="00236B86">
      <w:pPr>
        <w:spacing w:afterLines="20" w:after="48"/>
        <w:ind w:left="567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/>
          <w:color w:val="1F497D" w:themeColor="text2"/>
          <w:sz w:val="24"/>
          <w:szCs w:val="24"/>
        </w:rPr>
        <w:t>Podmienky energetickej hospodárnosti budov určuje zákon č. 555/2005 Z. z. o energetickej hospodárnosti budov a o zmene a doplnení niektorých zákonov. V zmysle § 2 ods. 7 tohto zákona: „</w:t>
      </w:r>
      <w:r w:rsidRPr="00483E2A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Významnou obnovou budovy sú stavebné úpravy existujúcej budovy, ktorými sa vykonáva zásah do jej obalovej konštrukcie v rozsahu viac ako 25 % jej plochy, najmä zateplením obvodového plášťa a strešného plášťa a výmenou pôvodných otvorových výplní. Významnú obnovu budovy možno uskutočniť jej jednorazovou stavebnou úpravou alebo postupnými čiastkovými stavebnými úpravami.“ 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>V prípade významnej obnovy budovy je nutná energetická certifikácia</w:t>
      </w:r>
      <w:r w:rsidRPr="00483E2A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. Typ aktivity </w:t>
      </w:r>
      <w:r w:rsidR="006A4FB3" w:rsidRPr="00483E2A">
        <w:rPr>
          <w:rFonts w:ascii="Times New Roman" w:hAnsi="Times New Roman"/>
          <w:color w:val="1F497D" w:themeColor="text2"/>
          <w:sz w:val="24"/>
          <w:szCs w:val="24"/>
          <w:u w:val="single"/>
        </w:rPr>
        <w:t>e</w:t>
      </w:r>
      <w:r w:rsidR="008F0E61">
        <w:rPr>
          <w:rFonts w:ascii="Times New Roman" w:hAnsi="Times New Roman"/>
          <w:color w:val="1F497D" w:themeColor="text2"/>
          <w:sz w:val="24"/>
          <w:szCs w:val="24"/>
          <w:u w:val="single"/>
        </w:rPr>
        <w:t>)</w:t>
      </w:r>
      <w:r w:rsidRPr="00483E2A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pri existujúcich budovách sa teda použije len v prípade, ak ide o významnú obnovu budovy podľa textu vyššie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>, nakoľko v týchto prípadoch je nutná energetická certifikácia. Uvedené platí aj pri nadstavbách a prístavbách.</w:t>
      </w:r>
    </w:p>
    <w:p w14:paraId="36C58B4A" w14:textId="77777777" w:rsidR="006614ED" w:rsidRPr="00483E2A" w:rsidRDefault="006614ED" w:rsidP="008F0E61">
      <w:pPr>
        <w:pStyle w:val="Odsekzoznamu"/>
        <w:numPr>
          <w:ilvl w:val="0"/>
          <w:numId w:val="8"/>
        </w:numPr>
        <w:spacing w:afterLines="20" w:after="48"/>
        <w:ind w:left="567" w:hanging="283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Ak je predmetom projektu výmena zdroja tepla a vykurovacieho systému, </w:t>
      </w:r>
      <w:r w:rsidRPr="00483E2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 nutné výdavky zaradiť pod typ aktivity</w:t>
      </w: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A4FB3"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="008F0E61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Uvedené platí i v prípade, ak je predmetom iba výmena zdroja tepla. Naopak, pri výmene výlučne vykurovacieho systému (napr. radiátory), tieto výdavky nie je nutné zahŕňať pod typ aktivity </w:t>
      </w:r>
      <w:r w:rsidR="006A4FB3"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="008F0E61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</w:p>
    <w:p w14:paraId="537D774A" w14:textId="77777777" w:rsidR="00C12FBE" w:rsidRDefault="006614ED" w:rsidP="00C12FBE">
      <w:pPr>
        <w:pStyle w:val="Odsekzoznamu"/>
        <w:numPr>
          <w:ilvl w:val="0"/>
          <w:numId w:val="8"/>
        </w:numPr>
        <w:spacing w:afterLines="20" w:after="48"/>
        <w:ind w:left="567" w:hanging="283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Pri projektoch, kde je predmetom novostavba, sa typ aktivity </w:t>
      </w:r>
      <w:r w:rsidR="006A4FB3"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="008F0E61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C12FB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neaplikuje.</w:t>
      </w:r>
    </w:p>
    <w:p w14:paraId="0F5630D2" w14:textId="77777777" w:rsidR="00C12FBE" w:rsidRPr="00C12FBE" w:rsidRDefault="00C12FBE" w:rsidP="00C12FBE">
      <w:pPr>
        <w:spacing w:afterLines="20" w:after="48"/>
        <w:contextualSpacing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Upozorňujeme</w:t>
      </w:r>
      <w:r w:rsidRPr="00C12FBE">
        <w:rPr>
          <w:rFonts w:ascii="Times New Roman" w:hAnsi="Times New Roman"/>
          <w:color w:val="1F497D" w:themeColor="text2"/>
          <w:sz w:val="24"/>
          <w:szCs w:val="24"/>
        </w:rPr>
        <w:t>, že typ aktivity e) – zvýšenie energetickej hospodárnosti budov nie je možné realizovať ako samostatný/jediný typ aktivity, ale iba v kombinácii s typmi aktivít a) až c). V zmysle aktualizácie č. 1 z 13. februára 2017 je možné typy aktivít b), c) a e) realizovať len v kombinácii s aktivitou a).</w:t>
      </w:r>
    </w:p>
    <w:p w14:paraId="789BA115" w14:textId="77777777" w:rsidR="00643DCB" w:rsidRPr="00483E2A" w:rsidRDefault="00643DCB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057F96B2" w14:textId="05CA21EF" w:rsid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 č. </w:t>
      </w:r>
      <w:r w:rsidR="006D0B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</w:p>
    <w:p w14:paraId="0AC4EC14" w14:textId="77777777" w:rsidR="000B5AD4" w:rsidRP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B5AD4" w:rsidRPr="00483E2A">
        <w:rPr>
          <w:rFonts w:ascii="Times New Roman" w:hAnsi="Times New Roman"/>
          <w:sz w:val="24"/>
          <w:szCs w:val="24"/>
        </w:rPr>
        <w:t>rojektom riešime prístavbu k existujúcemu objektu a to v rámci oprávnenej aktivity c) prístavba, n</w:t>
      </w:r>
      <w:r w:rsidR="00B7623C">
        <w:rPr>
          <w:rFonts w:ascii="Times New Roman" w:hAnsi="Times New Roman"/>
          <w:sz w:val="24"/>
          <w:szCs w:val="24"/>
        </w:rPr>
        <w:t>adstavba a stavebné úprav</w:t>
      </w:r>
      <w:r w:rsidR="00A01B25">
        <w:rPr>
          <w:rFonts w:ascii="Times New Roman" w:hAnsi="Times New Roman"/>
          <w:sz w:val="24"/>
          <w:szCs w:val="24"/>
        </w:rPr>
        <w:t>y</w:t>
      </w:r>
      <w:r w:rsidR="00B7623C">
        <w:rPr>
          <w:rFonts w:ascii="Times New Roman" w:hAnsi="Times New Roman"/>
          <w:sz w:val="24"/>
          <w:szCs w:val="24"/>
        </w:rPr>
        <w:t xml:space="preserve"> ... </w:t>
      </w:r>
      <w:r w:rsidR="000B5AD4" w:rsidRPr="00483E2A">
        <w:rPr>
          <w:rFonts w:ascii="Times New Roman" w:hAnsi="Times New Roman"/>
          <w:sz w:val="24"/>
          <w:szCs w:val="24"/>
        </w:rPr>
        <w:t>.Samotná prístavba bude projektovaná v zmysle platnej legislatívy v oblasti požadovanej energetickej hospodárnosti budov.</w:t>
      </w:r>
      <w:r w:rsidR="00B7623C">
        <w:rPr>
          <w:rFonts w:ascii="Times New Roman" w:hAnsi="Times New Roman"/>
          <w:sz w:val="24"/>
          <w:szCs w:val="24"/>
        </w:rPr>
        <w:t xml:space="preserve"> </w:t>
      </w:r>
      <w:r w:rsidR="000B5AD4" w:rsidRPr="00483E2A">
        <w:rPr>
          <w:rFonts w:ascii="Times New Roman" w:hAnsi="Times New Roman"/>
          <w:sz w:val="24"/>
          <w:szCs w:val="24"/>
        </w:rPr>
        <w:t xml:space="preserve">Keďže v jestvujúcom objekte nedôjde k zníženiu energetickej náročnosti (ktorú NERIEŠIME) a v prístavbe nie je možné stanoviť úsporu, keďže dnes objekt nestojí, znamená to, že </w:t>
      </w:r>
      <w:r w:rsidR="000B5AD4" w:rsidRPr="00483E2A">
        <w:rPr>
          <w:rFonts w:ascii="Times New Roman" w:hAnsi="Times New Roman"/>
          <w:sz w:val="24"/>
          <w:szCs w:val="24"/>
        </w:rPr>
        <w:lastRenderedPageBreak/>
        <w:t>u ukazovateľa P0700 – Zníženie ročnej spotreby primárnej energie vo verejných bu</w:t>
      </w:r>
      <w:r>
        <w:rPr>
          <w:rFonts w:ascii="Times New Roman" w:hAnsi="Times New Roman"/>
          <w:sz w:val="24"/>
          <w:szCs w:val="24"/>
        </w:rPr>
        <w:t>dovách máme v zámere uviesť „0“?</w:t>
      </w:r>
    </w:p>
    <w:p w14:paraId="3FA184B2" w14:textId="77777777"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Odpoveď:</w:t>
      </w:r>
    </w:p>
    <w:p w14:paraId="326C7ACE" w14:textId="77777777" w:rsidR="000B5AD4" w:rsidRPr="00483E2A" w:rsidRDefault="000B5AD4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483E2A">
        <w:rPr>
          <w:rFonts w:ascii="Times New Roman" w:hAnsi="Times New Roman"/>
          <w:color w:val="1F497D"/>
          <w:sz w:val="24"/>
          <w:szCs w:val="24"/>
        </w:rPr>
        <w:t>Dovoľujeme si Vás upozorniť, že v zmysle prílohy č. 4 výzvy má ukazovateľ P0700 (prístavba, nadstavba, stavebné úpravy a rekonštrukcia vonkajších a vnútorných priestorov a areálov) relevanciu k </w:t>
      </w:r>
      <w:r w:rsidRPr="00483E2A">
        <w:rPr>
          <w:rFonts w:ascii="Times New Roman" w:hAnsi="Times New Roman"/>
          <w:color w:val="1F497D"/>
          <w:sz w:val="24"/>
          <w:szCs w:val="24"/>
          <w:u w:val="single"/>
        </w:rPr>
        <w:t xml:space="preserve">aktivite typu </w:t>
      </w:r>
      <w:r w:rsidR="00B7623C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e)</w:t>
      </w:r>
      <w:r w:rsidRPr="00483E2A">
        <w:rPr>
          <w:rFonts w:ascii="Times New Roman" w:hAnsi="Times New Roman"/>
          <w:color w:val="1F497D"/>
          <w:sz w:val="24"/>
          <w:szCs w:val="24"/>
        </w:rPr>
        <w:t xml:space="preserve"> a nie relevanciu k </w:t>
      </w:r>
      <w:r w:rsidRPr="00483E2A">
        <w:rPr>
          <w:rFonts w:ascii="Times New Roman" w:hAnsi="Times New Roman"/>
          <w:color w:val="1F497D"/>
          <w:sz w:val="24"/>
          <w:szCs w:val="24"/>
          <w:u w:val="single"/>
        </w:rPr>
        <w:t xml:space="preserve">aktivite typu </w:t>
      </w:r>
      <w:r w:rsidR="00B7623C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c)</w:t>
      </w:r>
      <w:r w:rsidRPr="00483E2A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 xml:space="preserve">, </w:t>
      </w:r>
      <w:r w:rsidRPr="00483E2A">
        <w:rPr>
          <w:rFonts w:ascii="Times New Roman" w:hAnsi="Times New Roman"/>
          <w:color w:val="1F497D"/>
          <w:sz w:val="24"/>
          <w:szCs w:val="24"/>
          <w:u w:val="single"/>
        </w:rPr>
        <w:t>ktorú popisujete vo svojej otázke</w:t>
      </w:r>
      <w:r w:rsidRPr="00483E2A">
        <w:rPr>
          <w:rFonts w:ascii="Times New Roman" w:hAnsi="Times New Roman"/>
          <w:color w:val="1F497D"/>
          <w:sz w:val="24"/>
          <w:szCs w:val="24"/>
        </w:rPr>
        <w:t xml:space="preserve">. </w:t>
      </w:r>
    </w:p>
    <w:p w14:paraId="06AFF806" w14:textId="31E7181C" w:rsidR="000B5AD4" w:rsidRPr="00483E2A" w:rsidRDefault="00B7623C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K aktivite typu c)</w:t>
      </w:r>
      <w:r w:rsidR="000B5AD4" w:rsidRPr="00483E2A">
        <w:rPr>
          <w:rFonts w:ascii="Times New Roman" w:hAnsi="Times New Roman"/>
          <w:color w:val="1F497D"/>
          <w:sz w:val="24"/>
          <w:szCs w:val="24"/>
        </w:rPr>
        <w:t xml:space="preserve"> si žiadateľ priraďuje zo zoznamu merateľných ukazovateľov (príloha č. 4 výzvy) tie ukazovatele, ktoré majú relevanciu k predmetnej aktivite. </w:t>
      </w:r>
    </w:p>
    <w:p w14:paraId="27CAA0B9" w14:textId="77777777" w:rsidR="000B5AD4" w:rsidRPr="00483E2A" w:rsidRDefault="000B5AD4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19BBEA07" w14:textId="25D655D0" w:rsidR="00633B21" w:rsidRPr="00633B21" w:rsidRDefault="00633B21" w:rsidP="00633B21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633B21">
        <w:rPr>
          <w:rFonts w:ascii="Times New Roman" w:hAnsi="Times New Roman"/>
          <w:sz w:val="24"/>
          <w:szCs w:val="24"/>
        </w:rPr>
        <w:t xml:space="preserve">Otázka č. </w:t>
      </w:r>
      <w:r w:rsidR="006D0B7F">
        <w:rPr>
          <w:rFonts w:ascii="Times New Roman" w:hAnsi="Times New Roman"/>
          <w:sz w:val="24"/>
          <w:szCs w:val="24"/>
        </w:rPr>
        <w:t>7</w:t>
      </w:r>
      <w:r w:rsidRPr="00633B21">
        <w:rPr>
          <w:rFonts w:ascii="Times New Roman" w:hAnsi="Times New Roman"/>
          <w:sz w:val="24"/>
          <w:szCs w:val="24"/>
        </w:rPr>
        <w:t>:</w:t>
      </w:r>
    </w:p>
    <w:p w14:paraId="590DD114" w14:textId="77777777" w:rsidR="00633B21" w:rsidRPr="00633B21" w:rsidRDefault="00633B21" w:rsidP="00633B21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633B21">
        <w:rPr>
          <w:rFonts w:ascii="Times New Roman" w:hAnsi="Times New Roman"/>
          <w:bCs/>
          <w:sz w:val="24"/>
          <w:szCs w:val="24"/>
        </w:rPr>
        <w:t xml:space="preserve">Je možné podať ŽoNFP na významnú obnovu a zateplenie starej budovy, kde bude dosiahnutý iba stupeň potreby primárnej energie B v zmysle vyhlášky bez </w:t>
      </w:r>
      <w:r>
        <w:rPr>
          <w:rFonts w:ascii="Times New Roman" w:hAnsi="Times New Roman"/>
          <w:bCs/>
          <w:sz w:val="24"/>
          <w:szCs w:val="24"/>
        </w:rPr>
        <w:t>ohľadu na dátum</w:t>
      </w:r>
      <w:r w:rsidRPr="00633B21">
        <w:rPr>
          <w:rFonts w:ascii="Times New Roman" w:hAnsi="Times New Roman"/>
          <w:bCs/>
          <w:sz w:val="24"/>
          <w:szCs w:val="24"/>
        </w:rPr>
        <w:t xml:space="preserve"> vydania stavebného povolenia?</w:t>
      </w:r>
    </w:p>
    <w:p w14:paraId="021AD17F" w14:textId="77777777" w:rsidR="00633B21" w:rsidRPr="00633B21" w:rsidRDefault="00633B21" w:rsidP="00633B21">
      <w:pPr>
        <w:pStyle w:val="Default"/>
        <w:spacing w:before="120"/>
        <w:jc w:val="both"/>
        <w:rPr>
          <w:rFonts w:ascii="Times New Roman" w:hAnsi="Times New Roman" w:cs="Times New Roman"/>
          <w:bCs/>
          <w:color w:val="1F497D"/>
        </w:rPr>
      </w:pPr>
      <w:r w:rsidRPr="00633B21">
        <w:rPr>
          <w:rFonts w:ascii="Times New Roman" w:hAnsi="Times New Roman" w:cs="Times New Roman"/>
          <w:bCs/>
          <w:color w:val="1F497D"/>
        </w:rPr>
        <w:t xml:space="preserve">Odpoveď: </w:t>
      </w:r>
    </w:p>
    <w:p w14:paraId="59E3B7D2" w14:textId="77777777" w:rsidR="00633B21" w:rsidRPr="00633B21" w:rsidRDefault="00633B21" w:rsidP="00633B21">
      <w:pPr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633B21">
        <w:rPr>
          <w:rFonts w:ascii="Times New Roman" w:hAnsi="Times New Roman"/>
          <w:color w:val="1F497D"/>
          <w:sz w:val="24"/>
          <w:szCs w:val="24"/>
        </w:rPr>
        <w:t xml:space="preserve">V zmysle Vyhlášky MDVRR SR č. 364/2012 Z. z., ktorou sa vykonáva zákon č. 555/2005 Z. z. o energetickej hospodárnosti budov a o zmene a doplnení niektorých zákonov v znení neskorších predpisov sú stanovené </w:t>
      </w:r>
      <w:r w:rsidRPr="00633B21">
        <w:rPr>
          <w:rFonts w:ascii="Times New Roman" w:hAnsi="Times New Roman"/>
          <w:bCs/>
          <w:color w:val="1F497D"/>
          <w:sz w:val="24"/>
          <w:szCs w:val="24"/>
        </w:rPr>
        <w:t>minimálne požiadavky na energetickú hospodárnosť budov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podľa úrovne výstavby takto:</w:t>
      </w:r>
    </w:p>
    <w:p w14:paraId="100FE676" w14:textId="77777777" w:rsidR="00633B21" w:rsidRPr="00633B21" w:rsidRDefault="00633B21" w:rsidP="00633B21">
      <w:pPr>
        <w:pStyle w:val="Textpoznmkypodiarou"/>
        <w:numPr>
          <w:ilvl w:val="0"/>
          <w:numId w:val="11"/>
        </w:numPr>
        <w:spacing w:before="60"/>
        <w:ind w:left="284" w:hanging="218"/>
        <w:jc w:val="both"/>
        <w:rPr>
          <w:rFonts w:ascii="Times New Roman" w:hAnsi="Times New Roman"/>
          <w:color w:val="1F497D"/>
          <w:sz w:val="24"/>
          <w:szCs w:val="24"/>
        </w:rPr>
      </w:pPr>
      <w:r w:rsidRPr="00633B21">
        <w:rPr>
          <w:rFonts w:ascii="Times New Roman" w:hAnsi="Times New Roman"/>
          <w:color w:val="1F497D"/>
          <w:sz w:val="24"/>
          <w:szCs w:val="24"/>
        </w:rPr>
        <w:t xml:space="preserve">Pre budovu,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pre ktorú bola žiadosť o stavebné povolenie podaná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633B21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do 31.12.2015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, musí byť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globálny ukazovateľ lepš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í (teda menší) ako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horná hranica energetickej triedy B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a 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všetky ostatné ukazovatele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, ktoré sú pre danú budovu relevantné, musia dosahovať hodnoty hornej hranice energetickej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triedy B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alebo lepšie. (</w:t>
      </w:r>
      <w:r w:rsidRPr="00633B21">
        <w:rPr>
          <w:rFonts w:ascii="Times New Roman" w:hAnsi="Times New Roman"/>
          <w:i/>
          <w:iCs/>
          <w:color w:val="1F497D"/>
          <w:sz w:val="24"/>
          <w:szCs w:val="24"/>
        </w:rPr>
        <w:t>Budova musí byť teda minimálne nízkoenergetická a to v zmysle definície platnej/účinnej v čase podania žiadosti o stavebné povolenie</w:t>
      </w:r>
      <w:r w:rsidRPr="00633B21">
        <w:rPr>
          <w:rFonts w:ascii="Times New Roman" w:hAnsi="Times New Roman"/>
          <w:color w:val="1F497D"/>
          <w:sz w:val="24"/>
          <w:szCs w:val="24"/>
        </w:rPr>
        <w:t>).</w:t>
      </w:r>
    </w:p>
    <w:p w14:paraId="4D08E7F3" w14:textId="77777777" w:rsidR="00633B21" w:rsidRPr="00633B21" w:rsidRDefault="00633B21" w:rsidP="00633B21">
      <w:pPr>
        <w:pStyle w:val="Textpoznmkypodiarou"/>
        <w:numPr>
          <w:ilvl w:val="0"/>
          <w:numId w:val="11"/>
        </w:numPr>
        <w:spacing w:before="60"/>
        <w:ind w:left="284" w:hanging="218"/>
        <w:jc w:val="both"/>
        <w:rPr>
          <w:rFonts w:ascii="Times New Roman" w:hAnsi="Times New Roman"/>
          <w:color w:val="1F497D"/>
          <w:sz w:val="24"/>
          <w:szCs w:val="24"/>
          <w:lang w:eastAsia="sk-SK"/>
        </w:rPr>
      </w:pPr>
      <w:r w:rsidRPr="00633B21">
        <w:rPr>
          <w:rFonts w:ascii="Times New Roman" w:hAnsi="Times New Roman"/>
          <w:color w:val="1F497D"/>
          <w:sz w:val="24"/>
          <w:szCs w:val="24"/>
        </w:rPr>
        <w:t xml:space="preserve">Pre budovu,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pre ktorú bola žiadosť o stavebné povolenie podaná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633B21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od 1.1.2016 do 31.12.2016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, musí byť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globálny ukazovateľ lepší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(teda menší) ako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horná hranica energetickej triedy A1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a 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všetky ostatné ukazovatele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, ktoré sú pre danú budovu relevantné, musia dosahovať hodnoty hornej hranice energetickej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triedy B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alebo lepšie. (</w:t>
      </w:r>
      <w:r w:rsidRPr="00633B21">
        <w:rPr>
          <w:rFonts w:ascii="Times New Roman" w:hAnsi="Times New Roman"/>
          <w:i/>
          <w:iCs/>
          <w:color w:val="1F497D"/>
          <w:sz w:val="24"/>
          <w:szCs w:val="24"/>
        </w:rPr>
        <w:t>Budova musí byť teda minimálne nízkoenergetická a to v zmysle definície platnej/účinnej v čase podania žiadosti o stavebné povolenie</w:t>
      </w:r>
      <w:r w:rsidRPr="00633B21">
        <w:rPr>
          <w:rFonts w:ascii="Times New Roman" w:hAnsi="Times New Roman"/>
          <w:color w:val="1F497D"/>
          <w:sz w:val="24"/>
          <w:szCs w:val="24"/>
        </w:rPr>
        <w:t>).</w:t>
      </w:r>
    </w:p>
    <w:p w14:paraId="69B7401F" w14:textId="77777777" w:rsidR="00633B21" w:rsidRPr="00633B21" w:rsidRDefault="00633B21" w:rsidP="00633B21">
      <w:pPr>
        <w:pStyle w:val="Default"/>
        <w:numPr>
          <w:ilvl w:val="0"/>
          <w:numId w:val="11"/>
        </w:numPr>
        <w:adjustRightInd w:val="0"/>
        <w:spacing w:before="120"/>
        <w:ind w:left="284" w:hanging="284"/>
        <w:jc w:val="both"/>
        <w:rPr>
          <w:rFonts w:ascii="Times New Roman" w:hAnsi="Times New Roman" w:cs="Times New Roman"/>
          <w:color w:val="1F497D"/>
        </w:rPr>
      </w:pPr>
      <w:r w:rsidRPr="00633B21">
        <w:rPr>
          <w:rFonts w:ascii="Times New Roman" w:hAnsi="Times New Roman" w:cs="Times New Roman"/>
          <w:color w:val="1F497D"/>
        </w:rPr>
        <w:t xml:space="preserve">Pre budovu, </w:t>
      </w:r>
      <w:r w:rsidRPr="00633B21">
        <w:rPr>
          <w:rFonts w:ascii="Times New Roman" w:hAnsi="Times New Roman" w:cs="Times New Roman"/>
          <w:b/>
          <w:color w:val="1F497D"/>
          <w:u w:val="single"/>
        </w:rPr>
        <w:t>pre ktorú bola žiadosť o stavebné povolenie podaná</w:t>
      </w:r>
      <w:r w:rsidRPr="00633B21">
        <w:rPr>
          <w:rFonts w:ascii="Times New Roman" w:hAnsi="Times New Roman" w:cs="Times New Roman"/>
          <w:color w:val="1F497D"/>
        </w:rPr>
        <w:t xml:space="preserve"> </w:t>
      </w:r>
      <w:r w:rsidRPr="00633B21">
        <w:rPr>
          <w:rFonts w:ascii="Times New Roman" w:hAnsi="Times New Roman" w:cs="Times New Roman"/>
          <w:b/>
          <w:bCs/>
          <w:color w:val="1F497D"/>
          <w:u w:val="single"/>
        </w:rPr>
        <w:t>od 1.1.2017</w:t>
      </w:r>
      <w:r w:rsidRPr="00633B21">
        <w:rPr>
          <w:rFonts w:ascii="Times New Roman" w:hAnsi="Times New Roman" w:cs="Times New Roman"/>
          <w:color w:val="1F497D"/>
        </w:rPr>
        <w:t xml:space="preserve">, musí byť globálny ukazovateľ lepší (teda menší) ako </w:t>
      </w:r>
      <w:r w:rsidRPr="00633B21">
        <w:rPr>
          <w:rFonts w:ascii="Times New Roman" w:hAnsi="Times New Roman" w:cs="Times New Roman"/>
          <w:b/>
          <w:color w:val="1F497D"/>
          <w:u w:val="single"/>
        </w:rPr>
        <w:t>horná hranica energetickej triedy A1</w:t>
      </w:r>
      <w:r w:rsidRPr="00633B21">
        <w:rPr>
          <w:rFonts w:ascii="Times New Roman" w:hAnsi="Times New Roman" w:cs="Times New Roman"/>
          <w:color w:val="1F497D"/>
        </w:rPr>
        <w:t>. (</w:t>
      </w:r>
      <w:r w:rsidRPr="00633B21">
        <w:rPr>
          <w:rFonts w:ascii="Times New Roman" w:hAnsi="Times New Roman" w:cs="Times New Roman"/>
          <w:i/>
          <w:iCs/>
          <w:color w:val="1F497D"/>
        </w:rPr>
        <w:t xml:space="preserve">Podľa Vyhlášky č. 364/2012 Z. z. účinnej od 1.1.2017 je takáto budova </w:t>
      </w:r>
      <w:proofErr w:type="spellStart"/>
      <w:r w:rsidRPr="00633B21">
        <w:rPr>
          <w:rFonts w:ascii="Times New Roman" w:hAnsi="Times New Roman" w:cs="Times New Roman"/>
          <w:i/>
          <w:iCs/>
          <w:color w:val="1F497D"/>
        </w:rPr>
        <w:t>ultranízkoenergetická</w:t>
      </w:r>
      <w:proofErr w:type="spellEnd"/>
      <w:r w:rsidRPr="00633B21">
        <w:rPr>
          <w:rFonts w:ascii="Times New Roman" w:hAnsi="Times New Roman" w:cs="Times New Roman"/>
          <w:i/>
          <w:iCs/>
          <w:color w:val="1F497D"/>
        </w:rPr>
        <w:t>, čím je splnená požiadavka vyplývajúca z operačného programu</w:t>
      </w:r>
      <w:r w:rsidRPr="00633B21">
        <w:rPr>
          <w:rFonts w:ascii="Times New Roman" w:hAnsi="Times New Roman" w:cs="Times New Roman"/>
          <w:color w:val="1F497D"/>
        </w:rPr>
        <w:t>.)</w:t>
      </w:r>
    </w:p>
    <w:p w14:paraId="3623E637" w14:textId="77777777" w:rsidR="00633B21" w:rsidRPr="00633B21" w:rsidRDefault="00633B21" w:rsidP="00633B21">
      <w:pPr>
        <w:pStyle w:val="Default"/>
        <w:spacing w:before="120"/>
        <w:jc w:val="both"/>
        <w:rPr>
          <w:rFonts w:ascii="Times New Roman" w:hAnsi="Times New Roman" w:cs="Times New Roman"/>
          <w:color w:val="1F497D"/>
        </w:rPr>
      </w:pPr>
      <w:r w:rsidRPr="00633B21">
        <w:rPr>
          <w:rFonts w:ascii="Times New Roman" w:hAnsi="Times New Roman" w:cs="Times New Roman"/>
          <w:color w:val="1F497D"/>
        </w:rPr>
        <w:t xml:space="preserve">Žiadateľ preukazuje hodnoty príslušných ukazovateľov v povinnej Prílohe č. </w:t>
      </w:r>
      <w:r w:rsidR="009E08F4">
        <w:rPr>
          <w:rFonts w:ascii="Times New Roman" w:hAnsi="Times New Roman" w:cs="Times New Roman"/>
          <w:color w:val="1F497D"/>
        </w:rPr>
        <w:t>16c</w:t>
      </w:r>
      <w:r w:rsidRPr="00633B21">
        <w:rPr>
          <w:rFonts w:ascii="Times New Roman" w:hAnsi="Times New Roman" w:cs="Times New Roman"/>
          <w:color w:val="1F497D"/>
        </w:rPr>
        <w:t xml:space="preserve"> k žiadosti o NFP (Projektové hodnotenie energetickej hospodárnosti budov)</w:t>
      </w:r>
    </w:p>
    <w:p w14:paraId="1A43969D" w14:textId="77777777" w:rsidR="00633B21" w:rsidRDefault="00633B21" w:rsidP="00633B21">
      <w:pPr>
        <w:pStyle w:val="Default"/>
        <w:spacing w:before="120"/>
        <w:jc w:val="both"/>
        <w:rPr>
          <w:rFonts w:ascii="Times New Roman" w:hAnsi="Times New Roman" w:cs="Times New Roman"/>
          <w:color w:val="1F497D"/>
        </w:rPr>
      </w:pPr>
      <w:r w:rsidRPr="00633B21">
        <w:rPr>
          <w:rFonts w:ascii="Times New Roman" w:hAnsi="Times New Roman" w:cs="Times New Roman"/>
          <w:b/>
          <w:color w:val="1F497D"/>
        </w:rPr>
        <w:t xml:space="preserve">Ak nie je splnenie minimálnych požiadaviek na primárnu energiu (globálny ukazovateľ) pri významne obnovovanej budove technicky, funkčne a ekonomicky uskutočniteľné, musí žiadateľ odôvodniť túto skutočnosť </w:t>
      </w:r>
      <w:r w:rsidRPr="00633B21">
        <w:rPr>
          <w:rFonts w:ascii="Times New Roman" w:hAnsi="Times New Roman" w:cs="Times New Roman"/>
          <w:b/>
          <w:color w:val="1F497D"/>
          <w:u w:val="single"/>
        </w:rPr>
        <w:t>predložením stanoviska odborne spôsobilej osoby pre energetickú certifikáciu budov</w:t>
      </w:r>
      <w:r w:rsidRPr="00633B21">
        <w:rPr>
          <w:rFonts w:ascii="Times New Roman" w:hAnsi="Times New Roman" w:cs="Times New Roman"/>
          <w:color w:val="1F497D"/>
        </w:rPr>
        <w:t xml:space="preserve"> (v rámci Prílohy č. </w:t>
      </w:r>
      <w:r w:rsidR="009E08F4">
        <w:rPr>
          <w:rFonts w:ascii="Times New Roman" w:hAnsi="Times New Roman" w:cs="Times New Roman"/>
          <w:color w:val="1F497D"/>
        </w:rPr>
        <w:t>16c</w:t>
      </w:r>
      <w:r w:rsidRPr="00633B21">
        <w:rPr>
          <w:rFonts w:ascii="Times New Roman" w:hAnsi="Times New Roman" w:cs="Times New Roman"/>
          <w:color w:val="1F497D"/>
        </w:rPr>
        <w:t xml:space="preserve"> Projektové hodnotenie energetickej hospodárnosti budov).</w:t>
      </w:r>
    </w:p>
    <w:p w14:paraId="2DF5B537" w14:textId="77777777" w:rsidR="00534517" w:rsidRDefault="00534517" w:rsidP="00633B21">
      <w:pPr>
        <w:pStyle w:val="Default"/>
        <w:spacing w:before="120"/>
        <w:jc w:val="both"/>
        <w:rPr>
          <w:rFonts w:ascii="Times New Roman" w:hAnsi="Times New Roman" w:cs="Times New Roman"/>
          <w:color w:val="1F497D"/>
        </w:rPr>
      </w:pPr>
    </w:p>
    <w:p w14:paraId="65CB3ED5" w14:textId="77777777" w:rsidR="005E4AD3" w:rsidRDefault="005E4AD3" w:rsidP="006C7C0E">
      <w:pPr>
        <w:pStyle w:val="Default"/>
        <w:spacing w:before="120"/>
        <w:jc w:val="both"/>
        <w:rPr>
          <w:rFonts w:ascii="Times New Roman" w:hAnsi="Times New Roman"/>
          <w:color w:val="1F497D"/>
        </w:rPr>
      </w:pPr>
    </w:p>
    <w:p w14:paraId="7A7DCEA9" w14:textId="77777777" w:rsidR="005E4AD3" w:rsidRPr="00633B21" w:rsidRDefault="005E4AD3" w:rsidP="00534517">
      <w:pPr>
        <w:pStyle w:val="Default"/>
        <w:spacing w:before="120"/>
        <w:jc w:val="both"/>
        <w:rPr>
          <w:rFonts w:ascii="Times New Roman" w:hAnsi="Times New Roman" w:cs="Times New Roman"/>
          <w:color w:val="1F497D"/>
        </w:rPr>
      </w:pPr>
    </w:p>
    <w:p w14:paraId="56733CC5" w14:textId="0E77D964" w:rsidR="005E4AD3" w:rsidRPr="00B84777" w:rsidRDefault="005E4AD3" w:rsidP="005E4AD3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777">
        <w:rPr>
          <w:color w:val="000000"/>
        </w:rPr>
        <w:t>Otázka č.</w:t>
      </w:r>
      <w:r w:rsidR="006D0B7F">
        <w:rPr>
          <w:color w:val="000000"/>
        </w:rPr>
        <w:t xml:space="preserve"> </w:t>
      </w:r>
      <w:r w:rsidR="006C7C0E">
        <w:rPr>
          <w:color w:val="000000"/>
        </w:rPr>
        <w:t>8</w:t>
      </w:r>
      <w:r w:rsidRPr="00B84777">
        <w:rPr>
          <w:color w:val="000000"/>
        </w:rPr>
        <w:t>:</w:t>
      </w:r>
    </w:p>
    <w:p w14:paraId="1DEF4256" w14:textId="51D29E5B" w:rsidR="005E4AD3" w:rsidRPr="00B84777" w:rsidRDefault="005E4AD3" w:rsidP="005E4AD3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B84777">
        <w:rPr>
          <w:rFonts w:ascii="Times New Roman" w:hAnsi="Times New Roman"/>
          <w:color w:val="212121"/>
          <w:sz w:val="24"/>
          <w:szCs w:val="24"/>
        </w:rPr>
        <w:t> Pravidlá oprávnenosti výdavkov pre IROP, kap. 2.3 Časová oprávnenosť výdavku je v  Príručke pre žiadateľa - Príl</w:t>
      </w:r>
      <w:r>
        <w:rPr>
          <w:rFonts w:ascii="Times New Roman" w:hAnsi="Times New Roman"/>
          <w:color w:val="212121"/>
          <w:sz w:val="24"/>
          <w:szCs w:val="24"/>
        </w:rPr>
        <w:t xml:space="preserve">oha č. 2a  uvedené </w:t>
      </w:r>
      <w:r w:rsidR="00836DB4">
        <w:rPr>
          <w:rFonts w:ascii="Times New Roman" w:hAnsi="Times New Roman"/>
          <w:color w:val="212121"/>
          <w:sz w:val="24"/>
          <w:szCs w:val="24"/>
        </w:rPr>
        <w:t>nasledovné:</w:t>
      </w:r>
      <w:r w:rsidR="00836DB4" w:rsidRPr="00B84777">
        <w:rPr>
          <w:rFonts w:ascii="Times New Roman" w:hAnsi="Times New Roman"/>
          <w:color w:val="212121"/>
          <w:sz w:val="24"/>
          <w:szCs w:val="24"/>
        </w:rPr>
        <w:t xml:space="preserve"> „Výdavok</w:t>
      </w:r>
      <w:r w:rsidRPr="00B84777">
        <w:rPr>
          <w:rFonts w:ascii="Times New Roman" w:hAnsi="Times New Roman"/>
          <w:color w:val="212121"/>
          <w:sz w:val="24"/>
          <w:szCs w:val="24"/>
        </w:rPr>
        <w:t xml:space="preserve"> musí skutočne vzniknúť a byť uhradený prijímateľom </w:t>
      </w:r>
      <w:r w:rsidRPr="00B84777">
        <w:rPr>
          <w:rFonts w:ascii="Times New Roman" w:hAnsi="Times New Roman"/>
          <w:b/>
          <w:bCs/>
          <w:color w:val="212121"/>
          <w:sz w:val="24"/>
          <w:szCs w:val="24"/>
        </w:rPr>
        <w:t>medzi 1. januárom 2014 a 31. decembrom 2023, </w:t>
      </w:r>
      <w:r w:rsidRPr="00B84777">
        <w:rPr>
          <w:rFonts w:ascii="Times New Roman" w:hAnsi="Times New Roman"/>
          <w:color w:val="212121"/>
          <w:sz w:val="24"/>
          <w:szCs w:val="24"/>
        </w:rPr>
        <w:t>pokiaľ v príslušnej výzve nie je stanovené inak“.  V rámci výzvy nie je stanovená maximálna ani minimálna dĺžka realizácie projektu, pri dodržaní časovej oprávnenosti výdavkov projektu.</w:t>
      </w:r>
    </w:p>
    <w:p w14:paraId="7ED09EE0" w14:textId="77777777" w:rsidR="005E4AD3" w:rsidRPr="00B84777" w:rsidRDefault="005E4AD3" w:rsidP="005E4AD3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B84777">
        <w:rPr>
          <w:rFonts w:ascii="Times New Roman" w:hAnsi="Times New Roman"/>
          <w:color w:val="212121"/>
          <w:sz w:val="24"/>
          <w:szCs w:val="24"/>
        </w:rPr>
        <w:t> Je možné považovať výdavky za časovo oprávnené pre pracovnú pozíciu Manažér/expert pre verejné obstarávanie ešte pred začatím hlavných aktivít projektu:</w:t>
      </w:r>
    </w:p>
    <w:p w14:paraId="246BFC13" w14:textId="77777777" w:rsidR="005E4AD3" w:rsidRPr="00B84777" w:rsidRDefault="005E4AD3" w:rsidP="005E4AD3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B84777">
        <w:rPr>
          <w:rFonts w:ascii="Times New Roman" w:hAnsi="Times New Roman"/>
          <w:color w:val="212121"/>
          <w:sz w:val="24"/>
          <w:szCs w:val="24"/>
        </w:rPr>
        <w:t>V harmonograme projektu je začiatok hlavných aktivít plánovaný na : 01/2021  </w:t>
      </w:r>
    </w:p>
    <w:p w14:paraId="5DB232C0" w14:textId="77777777" w:rsidR="005E4AD3" w:rsidRPr="00B84777" w:rsidRDefault="005E4AD3" w:rsidP="005E4AD3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B84777">
        <w:rPr>
          <w:rFonts w:ascii="Times New Roman" w:hAnsi="Times New Roman"/>
          <w:color w:val="212121"/>
          <w:sz w:val="24"/>
          <w:szCs w:val="24"/>
        </w:rPr>
        <w:t>Podporné aktivity začiatok 09/2020 – práve uzavretím pracovnej zmluvy na pozíciu Manažér/expert pre verejné obstarávanie</w:t>
      </w:r>
    </w:p>
    <w:p w14:paraId="1851E564" w14:textId="77777777" w:rsidR="005E4AD3" w:rsidRPr="00B84777" w:rsidRDefault="005E4AD3" w:rsidP="005E4AD3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B84777">
        <w:rPr>
          <w:rFonts w:ascii="Times New Roman" w:hAnsi="Times New Roman"/>
          <w:color w:val="212121"/>
          <w:sz w:val="24"/>
          <w:szCs w:val="24"/>
        </w:rPr>
        <w:t> Je predpoklad, že v danom čase -   9/2020 nebude ešte ukončené konanie o ŽoNFP.  Je možné predpokladať, že po schválení ŽoNFP budú následne výdavky považované za oprávnené?</w:t>
      </w:r>
    </w:p>
    <w:p w14:paraId="18D9E78D" w14:textId="77777777" w:rsidR="005E4AD3" w:rsidRPr="00B84777" w:rsidRDefault="005E4AD3" w:rsidP="005E4AD3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B84777">
        <w:rPr>
          <w:rFonts w:ascii="Times New Roman" w:hAnsi="Times New Roman"/>
          <w:color w:val="212121"/>
          <w:sz w:val="24"/>
          <w:szCs w:val="24"/>
        </w:rPr>
        <w:t>Vopred ďakujem za odpoveď.</w:t>
      </w:r>
    </w:p>
    <w:p w14:paraId="7A94C4DD" w14:textId="77777777" w:rsidR="005E4AD3" w:rsidRPr="00B84777" w:rsidRDefault="005E4AD3" w:rsidP="005E4AD3">
      <w:pPr>
        <w:spacing w:after="4"/>
        <w:jc w:val="both"/>
        <w:rPr>
          <w:rFonts w:ascii="Times New Roman" w:hAnsi="Times New Roman"/>
          <w:sz w:val="24"/>
          <w:szCs w:val="24"/>
        </w:rPr>
      </w:pPr>
    </w:p>
    <w:p w14:paraId="38515EC7" w14:textId="77777777" w:rsidR="005E4AD3" w:rsidRPr="00B84777" w:rsidRDefault="005E4AD3" w:rsidP="005E4AD3">
      <w:pPr>
        <w:spacing w:after="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B84777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24ADC1F3" w14:textId="77777777" w:rsidR="005E4AD3" w:rsidRPr="00B84777" w:rsidRDefault="005E4AD3" w:rsidP="005E4AD3">
      <w:pPr>
        <w:spacing w:after="4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</w:pPr>
      <w:r w:rsidRPr="00B84777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Výdavky na pracovnú pozíciu manažér/expert pre verejné obstarávanie je možné považovať za časovo oprávnené ešte pred začatím hlavných aktivít projektu, pri dodržaní finančných limitov zadefinovaných v rámci Prílohy 2b príručky pre žiadateľa.</w:t>
      </w:r>
    </w:p>
    <w:p w14:paraId="38F64FF5" w14:textId="77777777" w:rsidR="005E4AD3" w:rsidRPr="00B84777" w:rsidRDefault="005E4AD3" w:rsidP="005E4AD3">
      <w:pPr>
        <w:spacing w:after="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CF3E9F" w14:textId="77777777" w:rsidR="00534517" w:rsidRDefault="00534517" w:rsidP="006C7C0E">
      <w:pPr>
        <w:pStyle w:val="Default"/>
        <w:spacing w:before="120"/>
        <w:jc w:val="both"/>
      </w:pPr>
    </w:p>
    <w:p w14:paraId="71A2479B" w14:textId="77777777"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14:paraId="79A1EA15" w14:textId="77777777" w:rsidR="001814C0" w:rsidRPr="00617889" w:rsidRDefault="001814C0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 w:rsidRPr="00617889">
        <w:rPr>
          <w:rFonts w:ascii="Times New Roman" w:hAnsi="Times New Roman"/>
          <w:b/>
          <w:sz w:val="28"/>
          <w:szCs w:val="28"/>
        </w:rPr>
        <w:t xml:space="preserve">Usmernenie k spôsobu </w:t>
      </w:r>
      <w:proofErr w:type="spellStart"/>
      <w:r w:rsidRPr="00617889">
        <w:rPr>
          <w:rFonts w:ascii="Times New Roman" w:hAnsi="Times New Roman"/>
          <w:b/>
          <w:sz w:val="28"/>
          <w:szCs w:val="28"/>
        </w:rPr>
        <w:t>klarifikácie</w:t>
      </w:r>
      <w:proofErr w:type="spellEnd"/>
      <w:r w:rsidRPr="00617889">
        <w:rPr>
          <w:rFonts w:ascii="Times New Roman" w:hAnsi="Times New Roman"/>
          <w:b/>
          <w:sz w:val="28"/>
          <w:szCs w:val="28"/>
        </w:rPr>
        <w:t xml:space="preserve"> povinných príloh </w:t>
      </w:r>
      <w:proofErr w:type="spellStart"/>
      <w:r w:rsidRPr="00617889">
        <w:rPr>
          <w:rFonts w:ascii="Times New Roman" w:hAnsi="Times New Roman"/>
          <w:b/>
          <w:sz w:val="28"/>
          <w:szCs w:val="28"/>
        </w:rPr>
        <w:t>ŽoNFP</w:t>
      </w:r>
      <w:proofErr w:type="spellEnd"/>
    </w:p>
    <w:p w14:paraId="539E33AB" w14:textId="77777777" w:rsidR="001814C0" w:rsidRPr="00617889" w:rsidRDefault="001814C0" w:rsidP="001814C0">
      <w:pPr>
        <w:jc w:val="both"/>
        <w:rPr>
          <w:rFonts w:ascii="Arial Narrow" w:hAnsi="Arial Narrow"/>
        </w:rPr>
      </w:pPr>
    </w:p>
    <w:p w14:paraId="773113B0" w14:textId="77777777" w:rsidR="001814C0" w:rsidRPr="00617889" w:rsidRDefault="001814C0" w:rsidP="001814C0">
      <w:pPr>
        <w:jc w:val="both"/>
        <w:rPr>
          <w:rFonts w:ascii="Times New Roman" w:hAnsi="Times New Roman"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 xml:space="preserve">RO IROP v súvislosti s často kladenými otázkami týkajúcimi sa spôsobu odstraňovania nedostatkov predloženej ŽoNFP vydáva nasledovné usmernenie pre žiadateľov. Cieľom tohto usmernenia je zadefinovať jednotný postup </w:t>
      </w:r>
      <w:proofErr w:type="spellStart"/>
      <w:r w:rsidRPr="00617889">
        <w:rPr>
          <w:rFonts w:ascii="Times New Roman" w:hAnsi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 xml:space="preserve"> na základe Výzvy na doplnenie chýbajúcich náležitostí ŽoNFP v rámci administratívneho overenia ŽoNFP</w:t>
      </w:r>
      <w:r w:rsidRPr="00617889">
        <w:rPr>
          <w:rFonts w:ascii="Times New Roman" w:hAnsi="Times New Roman"/>
          <w:sz w:val="24"/>
          <w:szCs w:val="24"/>
        </w:rPr>
        <w:t>.</w:t>
      </w:r>
    </w:p>
    <w:p w14:paraId="30CD4EB5" w14:textId="77777777" w:rsidR="001814C0" w:rsidRPr="00617889" w:rsidRDefault="001814C0" w:rsidP="001814C0">
      <w:pPr>
        <w:jc w:val="both"/>
        <w:rPr>
          <w:rFonts w:ascii="Times New Roman" w:hAnsi="Times New Roman"/>
          <w:sz w:val="24"/>
          <w:szCs w:val="24"/>
        </w:rPr>
      </w:pPr>
    </w:p>
    <w:p w14:paraId="4F5154B0" w14:textId="77777777" w:rsidR="001814C0" w:rsidRPr="00617889" w:rsidRDefault="001814C0" w:rsidP="001814C0">
      <w:pPr>
        <w:jc w:val="both"/>
        <w:rPr>
          <w:rFonts w:ascii="Times New Roman" w:hAnsi="Times New Roman"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 xml:space="preserve">RO/SO v rámci </w:t>
      </w:r>
      <w:proofErr w:type="spellStart"/>
      <w:r w:rsidRPr="00617889">
        <w:rPr>
          <w:rFonts w:ascii="Times New Roman" w:hAnsi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postupuje nasledovne: </w:t>
      </w:r>
    </w:p>
    <w:p w14:paraId="7E2AC318" w14:textId="77777777" w:rsidR="001814C0" w:rsidRDefault="001814C0" w:rsidP="001814C0">
      <w:pPr>
        <w:pStyle w:val="Odsekzoznamu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7889">
        <w:rPr>
          <w:rFonts w:ascii="Times New Roman" w:hAnsi="Times New Roman" w:cs="Times New Roman"/>
          <w:b/>
          <w:bCs/>
          <w:sz w:val="24"/>
          <w:szCs w:val="24"/>
        </w:rPr>
        <w:t>Žiadateľ nepredložil povinnú prílohu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 w:rsidRPr="00617889">
        <w:rPr>
          <w:rFonts w:ascii="Times New Roman" w:hAnsi="Times New Roman" w:cs="Times New Roman"/>
          <w:b/>
          <w:bCs/>
          <w:sz w:val="24"/>
          <w:szCs w:val="24"/>
        </w:rPr>
        <w:t>spolu so ŽoNFP,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alebo predložená povinná príloha nespĺňa požadované náležitosti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(napr. nie je úplná) </w:t>
      </w:r>
      <w:r w:rsidRPr="00617889">
        <w:rPr>
          <w:rFonts w:ascii="Times New Roman" w:hAnsi="Times New Roman" w:cs="Times New Roman"/>
          <w:sz w:val="24"/>
          <w:szCs w:val="24"/>
        </w:rPr>
        <w:t xml:space="preserve">– RO/SO v rámci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 vyzve žiadateľa na doloženie chýbajúcej prílohy, alebo na </w:t>
      </w:r>
      <w:r>
        <w:rPr>
          <w:rFonts w:ascii="Times New Roman" w:hAnsi="Times New Roman" w:cs="Times New Roman"/>
          <w:sz w:val="24"/>
          <w:szCs w:val="24"/>
        </w:rPr>
        <w:t>doplnenie chýbajúcich náležitostí prílohy ŽoNFP</w:t>
      </w:r>
      <w:r w:rsidRPr="00617889">
        <w:rPr>
          <w:rFonts w:ascii="Times New Roman" w:hAnsi="Times New Roman" w:cs="Times New Roman"/>
          <w:sz w:val="24"/>
          <w:szCs w:val="24"/>
        </w:rPr>
        <w:t xml:space="preserve">. Žiadateľ je povinný doručiť chýbajúcu </w:t>
      </w:r>
      <w:r>
        <w:rPr>
          <w:rFonts w:ascii="Times New Roman" w:hAnsi="Times New Roman" w:cs="Times New Roman"/>
          <w:sz w:val="24"/>
          <w:szCs w:val="24"/>
        </w:rPr>
        <w:t xml:space="preserve">prílohu </w:t>
      </w:r>
      <w:r w:rsidRPr="00617889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doplniť chýbajúce náležitosti prílohy ŽoNFP </w:t>
      </w:r>
      <w:r w:rsidRPr="00617889">
        <w:rPr>
          <w:rFonts w:ascii="Times New Roman" w:hAnsi="Times New Roman" w:cs="Times New Roman"/>
          <w:sz w:val="24"/>
          <w:szCs w:val="24"/>
        </w:rPr>
        <w:t xml:space="preserve">v lehote stanovenej RO/SO vo Výzve na doplnenie chýbajúcich náležitostí ŽoNFP. </w:t>
      </w:r>
    </w:p>
    <w:p w14:paraId="498B63C8" w14:textId="77777777" w:rsidR="006E1175" w:rsidRDefault="001814C0" w:rsidP="001814C0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prílohy ŽoNFP</w:t>
      </w:r>
      <w:r w:rsidR="006E1175">
        <w:rPr>
          <w:rFonts w:ascii="Times New Roman" w:hAnsi="Times New Roman"/>
          <w:sz w:val="24"/>
          <w:szCs w:val="24"/>
        </w:rPr>
        <w:t xml:space="preserve">, pri ktorej sa vyžaduje jej právoplatnosť (napr. príloha </w:t>
      </w:r>
      <w:r w:rsidRPr="00B53091">
        <w:rPr>
          <w:rFonts w:ascii="Times New Roman" w:hAnsi="Times New Roman"/>
          <w:i/>
          <w:sz w:val="24"/>
          <w:szCs w:val="24"/>
        </w:rPr>
        <w:t>Právoplatné rozhodnutie stavebného úradu alebo iné povolenie na realizáciu stavby podľa platnej legislatívy</w:t>
      </w:r>
      <w:r w:rsidR="000C08E7">
        <w:rPr>
          <w:rFonts w:ascii="Times New Roman" w:hAnsi="Times New Roman"/>
          <w:i/>
          <w:sz w:val="24"/>
          <w:szCs w:val="24"/>
        </w:rPr>
        <w:t>)</w:t>
      </w:r>
      <w:r w:rsidR="008B1BA2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C1F23">
        <w:rPr>
          <w:rFonts w:ascii="Times New Roman" w:hAnsi="Times New Roman"/>
          <w:sz w:val="24"/>
          <w:szCs w:val="24"/>
        </w:rPr>
        <w:t>právoplatné rozhodnutie/povolenie musí byť predložené najneskôr ku dňu doplnenia chýbajúcich náležitostí ŽoNFP v zmysle Výzvy na doplnenie chýbajúcich náležitostí ŽoNFP.</w:t>
      </w:r>
      <w:r w:rsidR="006F2D32">
        <w:rPr>
          <w:rFonts w:ascii="Times New Roman" w:hAnsi="Times New Roman"/>
          <w:sz w:val="24"/>
          <w:szCs w:val="24"/>
        </w:rPr>
        <w:t xml:space="preserve"> Zároveň, ak ide o súvisiacu projektovú dokumentáciu, žiadateľ formou čestného vyhlásenia (príloha 3.b Príručky pre žiadateľa) preukazuje, že predkladaná projektová dokumentácia je úplná a totožná s projektovou dokumentáciou, ktorá bola predmetom povoľovacieho konania a bola v tomto konaní overená.</w:t>
      </w:r>
    </w:p>
    <w:p w14:paraId="037FD770" w14:textId="77777777" w:rsidR="001814C0" w:rsidRPr="00617889" w:rsidRDefault="001814C0" w:rsidP="001814C0">
      <w:pPr>
        <w:pStyle w:val="Odsekzoznamu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8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Žiadateľ nepredložil povinnú prílohu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 w:rsidRPr="00617889">
        <w:rPr>
          <w:rFonts w:ascii="Times New Roman" w:hAnsi="Times New Roman" w:cs="Times New Roman"/>
          <w:b/>
          <w:bCs/>
          <w:sz w:val="24"/>
          <w:szCs w:val="24"/>
        </w:rPr>
        <w:t>spolu so ŽoNFP,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alebo predložená povinná príloha nespĺňa požadované náležitosti a povinná príloha </w:t>
      </w:r>
      <w:r w:rsidRPr="00B53091">
        <w:rPr>
          <w:rFonts w:ascii="Times New Roman" w:hAnsi="Times New Roman" w:cs="Times New Roman"/>
          <w:b/>
          <w:sz w:val="24"/>
          <w:szCs w:val="24"/>
        </w:rPr>
        <w:t>má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stanovený dátum platnosti</w:t>
      </w:r>
      <w:r w:rsidRPr="00617889">
        <w:rPr>
          <w:rFonts w:ascii="Times New Roman" w:hAnsi="Times New Roman" w:cs="Times New Roman"/>
          <w:sz w:val="24"/>
          <w:szCs w:val="24"/>
        </w:rPr>
        <w:t xml:space="preserve"> (napr. </w:t>
      </w:r>
      <w:r w:rsidRPr="00617889">
        <w:rPr>
          <w:rFonts w:ascii="Times New Roman" w:hAnsi="Times New Roman" w:cs="Times New Roman"/>
          <w:bCs/>
          <w:sz w:val="24"/>
          <w:szCs w:val="24"/>
        </w:rPr>
        <w:t xml:space="preserve">príloha k  ŽoNFP nesmie byť staršia ako 3 mesiace, resp. ako 1 mesiac ku dňu predloženia ŽoNFP; podľa konkrétnej povinnej prílohy k ŽoNFP a konkrétnej výzvy na predkladanie ŽoNFP) – RO/SO v rámci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 vyzve žiadateľa na doloženie chýbajúcej prílohy, alebo na jej opravu (napr. potvrdenia Sociálnej poisťovne). </w:t>
      </w:r>
      <w:r w:rsidRPr="00617889">
        <w:rPr>
          <w:rFonts w:ascii="Times New Roman" w:hAnsi="Times New Roman" w:cs="Times New Roman"/>
          <w:sz w:val="24"/>
          <w:szCs w:val="24"/>
        </w:rPr>
        <w:t xml:space="preserve">Žiadateľ je povinný doručiť chýbajúcu alebo opravenú prílohu v lehote stanovenej RO/SO vo Výzve na doplnenie chýbajúcich náležitostí ŽoNFP, pričom dátum vydania príslušnej prílohy predloženej na základe doplnenia nesmie byť starší ako 3 mesiace, resp. 1 mesiac ku dňu predloženia ŽoNFP (podľa konkrétnej povinnej prílohy ŽoNFP). </w:t>
      </w:r>
    </w:p>
    <w:p w14:paraId="5A7886C1" w14:textId="77777777" w:rsidR="001814C0" w:rsidRDefault="001814C0" w:rsidP="001814C0">
      <w:pPr>
        <w:spacing w:before="12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>V prípade nedoplnenia chýbajúcich náležitostí v stanovenom termíne, resp. v požadovanej forme, alebo ak aj po doplnení ŽoNFP naďalej pretrvávajú pochybnosti o pravdivosti alebo úplnosti ŽoNFP, na základe čoho nie je možné overiť spl</w:t>
      </w:r>
      <w:r>
        <w:rPr>
          <w:rFonts w:ascii="Times New Roman" w:hAnsi="Times New Roman"/>
          <w:sz w:val="24"/>
          <w:szCs w:val="24"/>
        </w:rPr>
        <w:t>n</w:t>
      </w:r>
      <w:r w:rsidRPr="00617889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i</w:t>
      </w:r>
      <w:r w:rsidRPr="00617889">
        <w:rPr>
          <w:rFonts w:ascii="Times New Roman" w:hAnsi="Times New Roman"/>
          <w:sz w:val="24"/>
          <w:szCs w:val="24"/>
        </w:rPr>
        <w:t>e niektorej podmienky poskytnutia príspevku a rozhodnúť o schválení ŽoNFP, alebo nesplnenia podmienky platnosti prílohy, ako aj v prípade nesplnenia podmienok poskytnutia príspevku, RO/SO postupuje podľa Príručky pre žiadateľa (Rozhodnutie o zastavení konania / Rozhodnutie o neschválení ŽoNFP).</w:t>
      </w:r>
    </w:p>
    <w:p w14:paraId="5608B537" w14:textId="7226E38F" w:rsidR="00B60327" w:rsidRPr="00B84777" w:rsidRDefault="00B60327" w:rsidP="00B84777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14:paraId="55D52777" w14:textId="63B291A8" w:rsidR="00A46F79" w:rsidRPr="00B84777" w:rsidRDefault="00A46F79" w:rsidP="006C7C0E">
      <w:pPr>
        <w:jc w:val="both"/>
        <w:rPr>
          <w:rFonts w:ascii="Times New Roman" w:hAnsi="Times New Roman"/>
          <w:sz w:val="24"/>
          <w:szCs w:val="24"/>
        </w:rPr>
      </w:pPr>
    </w:p>
    <w:sectPr w:rsidR="00A46F79" w:rsidRPr="00B84777" w:rsidSect="00BB5D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B81D" w14:textId="77777777" w:rsidR="007473CD" w:rsidRDefault="007473CD" w:rsidP="00643DCB">
      <w:r>
        <w:separator/>
      </w:r>
    </w:p>
  </w:endnote>
  <w:endnote w:type="continuationSeparator" w:id="0">
    <w:p w14:paraId="39E51F15" w14:textId="77777777" w:rsidR="007473CD" w:rsidRDefault="007473CD" w:rsidP="0064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687836"/>
      <w:docPartObj>
        <w:docPartGallery w:val="Page Numbers (Bottom of Page)"/>
        <w:docPartUnique/>
      </w:docPartObj>
    </w:sdtPr>
    <w:sdtEndPr/>
    <w:sdtContent>
      <w:p w14:paraId="38F3C486" w14:textId="1C15707E" w:rsidR="00A9754D" w:rsidRDefault="007E29B5">
        <w:pPr>
          <w:pStyle w:val="Pta"/>
          <w:jc w:val="right"/>
        </w:pPr>
        <w:r w:rsidRPr="007F13A2">
          <w:rPr>
            <w:rFonts w:ascii="Times New Roman" w:hAnsi="Times New Roman"/>
            <w:sz w:val="24"/>
            <w:szCs w:val="24"/>
          </w:rPr>
          <w:fldChar w:fldCharType="begin"/>
        </w:r>
        <w:r w:rsidR="00A9754D" w:rsidRPr="007F13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F13A2">
          <w:rPr>
            <w:rFonts w:ascii="Times New Roman" w:hAnsi="Times New Roman"/>
            <w:sz w:val="24"/>
            <w:szCs w:val="24"/>
          </w:rPr>
          <w:fldChar w:fldCharType="separate"/>
        </w:r>
        <w:r w:rsidR="006C7C0E">
          <w:rPr>
            <w:rFonts w:ascii="Times New Roman" w:hAnsi="Times New Roman"/>
            <w:noProof/>
            <w:sz w:val="24"/>
            <w:szCs w:val="24"/>
          </w:rPr>
          <w:t>2</w:t>
        </w:r>
        <w:r w:rsidRPr="007F13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AC71793" w14:textId="77777777" w:rsidR="00A9754D" w:rsidRDefault="00A975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FCA9" w14:textId="77777777" w:rsidR="007473CD" w:rsidRDefault="007473CD" w:rsidP="00643DCB">
      <w:r>
        <w:separator/>
      </w:r>
    </w:p>
  </w:footnote>
  <w:footnote w:type="continuationSeparator" w:id="0">
    <w:p w14:paraId="66BED9EF" w14:textId="77777777" w:rsidR="007473CD" w:rsidRDefault="007473CD" w:rsidP="0064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04B8" w14:textId="45C98167" w:rsidR="00A9754D" w:rsidRDefault="00256DCF">
    <w:pPr>
      <w:pStyle w:val="Hlavika"/>
    </w:pPr>
    <w:r>
      <w:rPr>
        <w:noProof/>
      </w:rPr>
      <w:drawing>
        <wp:inline distT="0" distB="0" distL="0" distR="0" wp14:anchorId="5E7638D6" wp14:editId="34DF08F6">
          <wp:extent cx="5760720" cy="560070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83315"/>
                  <a:stretch/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9754D">
      <w:tab/>
    </w:r>
    <w:r w:rsidR="00A975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7398"/>
    <w:multiLevelType w:val="hybridMultilevel"/>
    <w:tmpl w:val="39D637EA"/>
    <w:lvl w:ilvl="0" w:tplc="20D289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E9E"/>
    <w:multiLevelType w:val="hybridMultilevel"/>
    <w:tmpl w:val="CC2AE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E3"/>
    <w:multiLevelType w:val="hybridMultilevel"/>
    <w:tmpl w:val="938284B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E4180"/>
    <w:multiLevelType w:val="hybridMultilevel"/>
    <w:tmpl w:val="7012BE68"/>
    <w:lvl w:ilvl="0" w:tplc="4BA0D20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81250E"/>
    <w:multiLevelType w:val="hybridMultilevel"/>
    <w:tmpl w:val="27AEC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79A0"/>
    <w:multiLevelType w:val="hybridMultilevel"/>
    <w:tmpl w:val="28EC2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25595"/>
    <w:multiLevelType w:val="hybridMultilevel"/>
    <w:tmpl w:val="0982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A25"/>
    <w:multiLevelType w:val="hybridMultilevel"/>
    <w:tmpl w:val="FA54EA08"/>
    <w:lvl w:ilvl="0" w:tplc="E6E47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2155"/>
    <w:multiLevelType w:val="hybridMultilevel"/>
    <w:tmpl w:val="D7102B7E"/>
    <w:lvl w:ilvl="0" w:tplc="F946A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1B1A"/>
    <w:multiLevelType w:val="hybridMultilevel"/>
    <w:tmpl w:val="B77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10A"/>
    <w:multiLevelType w:val="hybridMultilevel"/>
    <w:tmpl w:val="4AF62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279F1"/>
    <w:multiLevelType w:val="hybridMultilevel"/>
    <w:tmpl w:val="2E76C530"/>
    <w:lvl w:ilvl="0" w:tplc="4D96F41A">
      <w:numFmt w:val="bullet"/>
      <w:lvlText w:val="-"/>
      <w:lvlJc w:val="left"/>
      <w:pPr>
        <w:ind w:left="451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2" w15:restartNumberingAfterBreak="0">
    <w:nsid w:val="72E05AFD"/>
    <w:multiLevelType w:val="hybridMultilevel"/>
    <w:tmpl w:val="465482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CB"/>
    <w:rsid w:val="00037CAA"/>
    <w:rsid w:val="00071D55"/>
    <w:rsid w:val="00080ADA"/>
    <w:rsid w:val="000942FD"/>
    <w:rsid w:val="000A256F"/>
    <w:rsid w:val="000A5EB7"/>
    <w:rsid w:val="000B5AD4"/>
    <w:rsid w:val="000C08E7"/>
    <w:rsid w:val="000D7F50"/>
    <w:rsid w:val="000E3AAE"/>
    <w:rsid w:val="00103599"/>
    <w:rsid w:val="00106471"/>
    <w:rsid w:val="00132621"/>
    <w:rsid w:val="001333DD"/>
    <w:rsid w:val="001559CB"/>
    <w:rsid w:val="001814C0"/>
    <w:rsid w:val="00182037"/>
    <w:rsid w:val="001908DF"/>
    <w:rsid w:val="001A61CD"/>
    <w:rsid w:val="001B618B"/>
    <w:rsid w:val="001F3D0A"/>
    <w:rsid w:val="00234640"/>
    <w:rsid w:val="002361B1"/>
    <w:rsid w:val="00236B86"/>
    <w:rsid w:val="002508B7"/>
    <w:rsid w:val="00252FD3"/>
    <w:rsid w:val="00256DCF"/>
    <w:rsid w:val="00273AAA"/>
    <w:rsid w:val="002D4B0E"/>
    <w:rsid w:val="002D69BE"/>
    <w:rsid w:val="002F4E57"/>
    <w:rsid w:val="00316B32"/>
    <w:rsid w:val="003205BD"/>
    <w:rsid w:val="0032541D"/>
    <w:rsid w:val="00325515"/>
    <w:rsid w:val="003343F7"/>
    <w:rsid w:val="00336C8C"/>
    <w:rsid w:val="0034128F"/>
    <w:rsid w:val="00346E98"/>
    <w:rsid w:val="003535E5"/>
    <w:rsid w:val="003561E5"/>
    <w:rsid w:val="003568A9"/>
    <w:rsid w:val="00370038"/>
    <w:rsid w:val="00371B44"/>
    <w:rsid w:val="00375FE5"/>
    <w:rsid w:val="0038127B"/>
    <w:rsid w:val="003847C5"/>
    <w:rsid w:val="00385370"/>
    <w:rsid w:val="00387B43"/>
    <w:rsid w:val="003B2B72"/>
    <w:rsid w:val="003B55B3"/>
    <w:rsid w:val="003B75AD"/>
    <w:rsid w:val="003C4C12"/>
    <w:rsid w:val="003F3333"/>
    <w:rsid w:val="003F3A32"/>
    <w:rsid w:val="00405524"/>
    <w:rsid w:val="00423972"/>
    <w:rsid w:val="00426945"/>
    <w:rsid w:val="00433A22"/>
    <w:rsid w:val="00464D56"/>
    <w:rsid w:val="00483E2A"/>
    <w:rsid w:val="00491BD6"/>
    <w:rsid w:val="004B347F"/>
    <w:rsid w:val="004C1622"/>
    <w:rsid w:val="004F14B8"/>
    <w:rsid w:val="0051289E"/>
    <w:rsid w:val="0052434B"/>
    <w:rsid w:val="00534517"/>
    <w:rsid w:val="00537AFB"/>
    <w:rsid w:val="00553A24"/>
    <w:rsid w:val="00557BC5"/>
    <w:rsid w:val="00564573"/>
    <w:rsid w:val="005A2F9C"/>
    <w:rsid w:val="005B1DC4"/>
    <w:rsid w:val="005B6888"/>
    <w:rsid w:val="005C57F1"/>
    <w:rsid w:val="005D04E9"/>
    <w:rsid w:val="005E021F"/>
    <w:rsid w:val="005E4AD3"/>
    <w:rsid w:val="00622B75"/>
    <w:rsid w:val="006237A7"/>
    <w:rsid w:val="00631F3A"/>
    <w:rsid w:val="00632203"/>
    <w:rsid w:val="00633B21"/>
    <w:rsid w:val="00635061"/>
    <w:rsid w:val="00640F21"/>
    <w:rsid w:val="00643DCB"/>
    <w:rsid w:val="0064697D"/>
    <w:rsid w:val="00653244"/>
    <w:rsid w:val="006614ED"/>
    <w:rsid w:val="00667DF4"/>
    <w:rsid w:val="006720D9"/>
    <w:rsid w:val="00676685"/>
    <w:rsid w:val="00676BB0"/>
    <w:rsid w:val="006775F4"/>
    <w:rsid w:val="00681157"/>
    <w:rsid w:val="006A4FB3"/>
    <w:rsid w:val="006A7C73"/>
    <w:rsid w:val="006B76C7"/>
    <w:rsid w:val="006C7C0E"/>
    <w:rsid w:val="006D0B7F"/>
    <w:rsid w:val="006E1175"/>
    <w:rsid w:val="006F2D32"/>
    <w:rsid w:val="00711C55"/>
    <w:rsid w:val="00713134"/>
    <w:rsid w:val="00714092"/>
    <w:rsid w:val="00717D04"/>
    <w:rsid w:val="00733542"/>
    <w:rsid w:val="007473CD"/>
    <w:rsid w:val="007615E8"/>
    <w:rsid w:val="00765C88"/>
    <w:rsid w:val="007A0238"/>
    <w:rsid w:val="007A0CBE"/>
    <w:rsid w:val="007D6A20"/>
    <w:rsid w:val="007D787A"/>
    <w:rsid w:val="007E29B5"/>
    <w:rsid w:val="007F13A2"/>
    <w:rsid w:val="007F4D67"/>
    <w:rsid w:val="0080061D"/>
    <w:rsid w:val="0080265A"/>
    <w:rsid w:val="00822736"/>
    <w:rsid w:val="0083039A"/>
    <w:rsid w:val="00830A21"/>
    <w:rsid w:val="00836DB4"/>
    <w:rsid w:val="008576C7"/>
    <w:rsid w:val="008615EC"/>
    <w:rsid w:val="00872926"/>
    <w:rsid w:val="008B1BA2"/>
    <w:rsid w:val="008C7723"/>
    <w:rsid w:val="008D66DF"/>
    <w:rsid w:val="008F0E61"/>
    <w:rsid w:val="00903387"/>
    <w:rsid w:val="00906FD1"/>
    <w:rsid w:val="009341C4"/>
    <w:rsid w:val="00946082"/>
    <w:rsid w:val="00951EE4"/>
    <w:rsid w:val="0097555E"/>
    <w:rsid w:val="00982183"/>
    <w:rsid w:val="0098334F"/>
    <w:rsid w:val="009970C8"/>
    <w:rsid w:val="009B0C35"/>
    <w:rsid w:val="009D764C"/>
    <w:rsid w:val="009E08F4"/>
    <w:rsid w:val="009E6CA2"/>
    <w:rsid w:val="009F4CF3"/>
    <w:rsid w:val="009F704A"/>
    <w:rsid w:val="00A0040F"/>
    <w:rsid w:val="00A01B25"/>
    <w:rsid w:val="00A1242E"/>
    <w:rsid w:val="00A124BA"/>
    <w:rsid w:val="00A158D2"/>
    <w:rsid w:val="00A21417"/>
    <w:rsid w:val="00A46F79"/>
    <w:rsid w:val="00A62E86"/>
    <w:rsid w:val="00A67732"/>
    <w:rsid w:val="00A96C98"/>
    <w:rsid w:val="00A9754D"/>
    <w:rsid w:val="00AB5D32"/>
    <w:rsid w:val="00AC467C"/>
    <w:rsid w:val="00AE0F14"/>
    <w:rsid w:val="00AF5B75"/>
    <w:rsid w:val="00B60327"/>
    <w:rsid w:val="00B64E5E"/>
    <w:rsid w:val="00B7623C"/>
    <w:rsid w:val="00B84777"/>
    <w:rsid w:val="00B875A3"/>
    <w:rsid w:val="00BB5DE8"/>
    <w:rsid w:val="00BB7F25"/>
    <w:rsid w:val="00BC0CBA"/>
    <w:rsid w:val="00BC5E3E"/>
    <w:rsid w:val="00BC72DC"/>
    <w:rsid w:val="00BE20D3"/>
    <w:rsid w:val="00C0482E"/>
    <w:rsid w:val="00C067AC"/>
    <w:rsid w:val="00C11BB6"/>
    <w:rsid w:val="00C12FBE"/>
    <w:rsid w:val="00C1753C"/>
    <w:rsid w:val="00C21499"/>
    <w:rsid w:val="00C37D87"/>
    <w:rsid w:val="00C4037F"/>
    <w:rsid w:val="00C86444"/>
    <w:rsid w:val="00C901AE"/>
    <w:rsid w:val="00CA2973"/>
    <w:rsid w:val="00CC21EE"/>
    <w:rsid w:val="00CC2462"/>
    <w:rsid w:val="00CE21F2"/>
    <w:rsid w:val="00CE28A8"/>
    <w:rsid w:val="00D03E22"/>
    <w:rsid w:val="00D24CE9"/>
    <w:rsid w:val="00D31ABE"/>
    <w:rsid w:val="00D33FE7"/>
    <w:rsid w:val="00D5753A"/>
    <w:rsid w:val="00D734D7"/>
    <w:rsid w:val="00D968A1"/>
    <w:rsid w:val="00DA3941"/>
    <w:rsid w:val="00DC1F23"/>
    <w:rsid w:val="00DC4566"/>
    <w:rsid w:val="00DC58A2"/>
    <w:rsid w:val="00DC6172"/>
    <w:rsid w:val="00E15E29"/>
    <w:rsid w:val="00E20BA2"/>
    <w:rsid w:val="00E31BC9"/>
    <w:rsid w:val="00E80A43"/>
    <w:rsid w:val="00E84088"/>
    <w:rsid w:val="00E91678"/>
    <w:rsid w:val="00EF0AF5"/>
    <w:rsid w:val="00EF4019"/>
    <w:rsid w:val="00F16F29"/>
    <w:rsid w:val="00F32AB1"/>
    <w:rsid w:val="00F410D4"/>
    <w:rsid w:val="00F46A52"/>
    <w:rsid w:val="00F61BAD"/>
    <w:rsid w:val="00F71FD6"/>
    <w:rsid w:val="00FA5787"/>
    <w:rsid w:val="00FD6E19"/>
    <w:rsid w:val="00FD6F20"/>
    <w:rsid w:val="00FD7116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3EF7D"/>
  <w15:docId w15:val="{629CAEEC-E705-4EB3-AB10-C5DF7C7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DCB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C1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3D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DC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DC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43D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DCB"/>
  </w:style>
  <w:style w:type="paragraph" w:customStyle="1" w:styleId="Default">
    <w:name w:val="Default"/>
    <w:basedOn w:val="Normlny"/>
    <w:rsid w:val="003F3A3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F3A32"/>
    <w:rPr>
      <w:color w:val="0563C1"/>
      <w:u w:val="single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631F3A"/>
    <w:rPr>
      <w:rFonts w:ascii="Calibri" w:hAnsi="Calibri" w:cs="Calibri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31F3A"/>
    <w:pPr>
      <w:ind w:left="720"/>
    </w:pPr>
    <w:rPr>
      <w:rFonts w:cs="Calibri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2694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2D69BE"/>
    <w:rPr>
      <w:rFonts w:cs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D69BE"/>
    <w:rPr>
      <w:rFonts w:ascii="Calibri" w:hAnsi="Calibri" w:cs="Consolas"/>
      <w:szCs w:val="21"/>
    </w:rPr>
  </w:style>
  <w:style w:type="character" w:styleId="Vrazn">
    <w:name w:val="Strong"/>
    <w:basedOn w:val="Predvolenpsmoodseku"/>
    <w:uiPriority w:val="22"/>
    <w:qFormat/>
    <w:rsid w:val="00635061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942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42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42FD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42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42FD"/>
    <w:rPr>
      <w:rFonts w:ascii="Calibri" w:hAnsi="Calibri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405524"/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8C772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qFormat/>
    <w:rsid w:val="008C7723"/>
    <w:rPr>
      <w:rFonts w:ascii="Arial" w:eastAsia="Times New Roman" w:hAnsi="Arial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8C7723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uiPriority w:val="99"/>
    <w:rsid w:val="00733542"/>
    <w:pPr>
      <w:spacing w:after="160" w:line="240" w:lineRule="exact"/>
    </w:pPr>
    <w:rPr>
      <w:rFonts w:ascii="Arial" w:hAnsi="Arial" w:cstheme="minorBidi"/>
      <w:sz w:val="16"/>
      <w:vertAlign w:val="superscript"/>
      <w:lang w:eastAsia="en-US"/>
    </w:rPr>
  </w:style>
  <w:style w:type="table" w:styleId="Mriekatabuky">
    <w:name w:val="Table Grid"/>
    <w:basedOn w:val="Normlnatabuka"/>
    <w:uiPriority w:val="59"/>
    <w:rsid w:val="0053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lny"/>
    <w:rsid w:val="00B603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C16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4C1622"/>
    <w:pPr>
      <w:spacing w:after="0" w:line="240" w:lineRule="auto"/>
    </w:pPr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403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3D40-D9FB-47D0-8A9D-1981888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marian labaj</cp:lastModifiedBy>
  <cp:revision>3</cp:revision>
  <cp:lastPrinted>2017-02-15T08:34:00Z</cp:lastPrinted>
  <dcterms:created xsi:type="dcterms:W3CDTF">2020-12-04T13:01:00Z</dcterms:created>
  <dcterms:modified xsi:type="dcterms:W3CDTF">2020-12-04T13:22:00Z</dcterms:modified>
</cp:coreProperties>
</file>