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E12132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1043B6">
        <w:rPr>
          <w:rFonts w:asciiTheme="minorHAnsi" w:hAnsiTheme="minorHAnsi"/>
          <w:b/>
          <w:i/>
          <w:sz w:val="22"/>
        </w:rPr>
        <w:t>20</w:t>
      </w:r>
      <w:r w:rsidR="00E12132">
        <w:rPr>
          <w:rFonts w:asciiTheme="minorHAnsi" w:hAnsiTheme="minorHAnsi"/>
          <w:b/>
          <w:i/>
          <w:sz w:val="22"/>
        </w:rPr>
        <w:t>20</w:t>
      </w:r>
      <w:r w:rsidR="001043B6">
        <w:rPr>
          <w:rFonts w:asciiTheme="minorHAnsi" w:hAnsiTheme="minorHAnsi"/>
          <w:b/>
          <w:i/>
          <w:sz w:val="22"/>
        </w:rPr>
        <w:t>)</w:t>
      </w:r>
    </w:p>
    <w:p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:rsidR="00A4447B" w:rsidRPr="00494F59" w:rsidRDefault="00A4447B" w:rsidP="00A4447B">
      <w:pPr>
        <w:tabs>
          <w:tab w:val="left" w:pos="4253"/>
        </w:tabs>
        <w:spacing w:after="0"/>
        <w:rPr>
          <w:b/>
          <w:sz w:val="48"/>
          <w:szCs w:val="48"/>
        </w:rPr>
      </w:pPr>
      <w:r>
        <w:rPr>
          <w:rFonts w:asciiTheme="minorHAnsi" w:hAnsiTheme="minorHAnsi"/>
          <w:sz w:val="22"/>
        </w:rPr>
        <w:t>S</w:t>
      </w:r>
      <w:r w:rsidR="0010589A" w:rsidRPr="00E4368A">
        <w:rPr>
          <w:rFonts w:asciiTheme="minorHAnsi" w:hAnsiTheme="minorHAnsi"/>
          <w:sz w:val="22"/>
        </w:rPr>
        <w:t>tratégia CLLD:</w:t>
      </w:r>
      <w:r w:rsidR="00E4368A">
        <w:rPr>
          <w:rFonts w:asciiTheme="minorHAnsi" w:hAnsiTheme="minorHAnsi"/>
          <w:sz w:val="22"/>
        </w:rPr>
        <w:tab/>
      </w:r>
      <w:r w:rsidRPr="00A4447B">
        <w:rPr>
          <w:rFonts w:asciiTheme="minorHAnsi" w:hAnsiTheme="minorHAnsi"/>
          <w:b/>
          <w:sz w:val="22"/>
        </w:rPr>
        <w:t>STRATÉGIA CLLD ÚZEMIA MAS HNILEC</w:t>
      </w:r>
    </w:p>
    <w:p w:rsidR="009C7008" w:rsidRPr="00A4447B" w:rsidRDefault="0010589A" w:rsidP="00E4368A">
      <w:pPr>
        <w:tabs>
          <w:tab w:val="left" w:pos="4253"/>
        </w:tabs>
        <w:spacing w:after="0"/>
        <w:rPr>
          <w:rFonts w:asciiTheme="minorHAnsi" w:hAnsiTheme="minorHAnsi"/>
          <w:b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A4447B" w:rsidRPr="00A4447B">
        <w:rPr>
          <w:rFonts w:asciiTheme="minorHAnsi" w:hAnsiTheme="minorHAnsi"/>
          <w:b/>
          <w:sz w:val="22"/>
        </w:rPr>
        <w:t xml:space="preserve">Miestna akčná skupina </w:t>
      </w:r>
      <w:proofErr w:type="spellStart"/>
      <w:r w:rsidR="00A4447B" w:rsidRPr="00A4447B">
        <w:rPr>
          <w:rFonts w:asciiTheme="minorHAnsi" w:hAnsiTheme="minorHAnsi"/>
          <w:b/>
          <w:sz w:val="22"/>
        </w:rPr>
        <w:t>HNILEC,o.z</w:t>
      </w:r>
      <w:proofErr w:type="spellEnd"/>
      <w:r w:rsidR="00A4447B" w:rsidRPr="00A4447B">
        <w:rPr>
          <w:rFonts w:asciiTheme="minorHAnsi" w:hAnsiTheme="minorHAnsi"/>
          <w:b/>
          <w:sz w:val="22"/>
        </w:rPr>
        <w:t>.</w:t>
      </w:r>
    </w:p>
    <w:p w:rsidR="009C7008" w:rsidRPr="00A4447B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Dátum schválenia</w:t>
      </w:r>
      <w:r w:rsidR="005154E6">
        <w:rPr>
          <w:rFonts w:asciiTheme="minorHAnsi" w:hAnsiTheme="minorHAnsi"/>
          <w:sz w:val="22"/>
        </w:rPr>
        <w:t xml:space="preserve"> harmonogramu</w:t>
      </w:r>
      <w:r w:rsidRPr="00E4368A">
        <w:rPr>
          <w:rStyle w:val="Odkaznapoznmkupodiarou"/>
          <w:rFonts w:asciiTheme="minorHAnsi" w:hAnsiTheme="minorHAnsi"/>
          <w:sz w:val="22"/>
        </w:rPr>
        <w:footnoteReference w:id="2"/>
      </w:r>
      <w:r w:rsidRPr="00E4368A">
        <w:rPr>
          <w:rFonts w:asciiTheme="minorHAnsi" w:hAnsiTheme="minorHAnsi"/>
          <w:sz w:val="22"/>
        </w:rPr>
        <w:t>:</w:t>
      </w:r>
      <w:r w:rsidR="0010589A" w:rsidRPr="00E4368A">
        <w:rPr>
          <w:rFonts w:asciiTheme="minorHAnsi" w:hAnsiTheme="minorHAnsi"/>
          <w:sz w:val="22"/>
        </w:rPr>
        <w:tab/>
      </w:r>
      <w:r w:rsidR="00862F11">
        <w:rPr>
          <w:rFonts w:asciiTheme="minorHAnsi" w:hAnsiTheme="minorHAnsi"/>
          <w:sz w:val="22"/>
        </w:rPr>
        <w:t>30</w:t>
      </w:r>
      <w:r w:rsidR="00A4447B" w:rsidRPr="00A4447B">
        <w:rPr>
          <w:rFonts w:asciiTheme="minorHAnsi" w:hAnsiTheme="minorHAnsi"/>
          <w:sz w:val="22"/>
        </w:rPr>
        <w:t>.</w:t>
      </w:r>
      <w:r w:rsidR="00E12132">
        <w:rPr>
          <w:rFonts w:asciiTheme="minorHAnsi" w:hAnsiTheme="minorHAnsi"/>
          <w:sz w:val="22"/>
        </w:rPr>
        <w:t>10</w:t>
      </w:r>
      <w:r w:rsidR="00A4447B" w:rsidRPr="00A4447B">
        <w:rPr>
          <w:rFonts w:asciiTheme="minorHAnsi" w:hAnsiTheme="minorHAnsi"/>
          <w:sz w:val="22"/>
        </w:rPr>
        <w:t>.2019</w:t>
      </w:r>
    </w:p>
    <w:p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A4447B">
        <w:rPr>
          <w:rFonts w:asciiTheme="minorHAnsi" w:hAnsiTheme="minorHAnsi"/>
          <w:sz w:val="22"/>
        </w:rPr>
        <w:t>1.0</w:t>
      </w:r>
    </w:p>
    <w:p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2835"/>
        <w:gridCol w:w="1418"/>
        <w:gridCol w:w="1417"/>
        <w:gridCol w:w="1418"/>
        <w:gridCol w:w="1984"/>
      </w:tblGrid>
      <w:tr w:rsidR="00732DE2" w:rsidRPr="00E4368A" w:rsidTr="00732DE2">
        <w:trPr>
          <w:trHeight w:val="754"/>
          <w:jc w:val="center"/>
        </w:trPr>
        <w:tc>
          <w:tcPr>
            <w:tcW w:w="2830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835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732DE2" w:rsidRPr="00E4368A" w:rsidTr="00732DE2">
        <w:trPr>
          <w:trHeight w:val="566"/>
          <w:jc w:val="center"/>
        </w:trPr>
        <w:tc>
          <w:tcPr>
            <w:tcW w:w="2830" w:type="dxa"/>
            <w:vAlign w:val="center"/>
          </w:tcPr>
          <w:p w:rsidR="003E7163" w:rsidRPr="00E4368A" w:rsidRDefault="00A84942" w:rsidP="00E4368A">
            <w:pPr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18"/>
                <w:szCs w:val="18"/>
              </w:rPr>
              <w:t>5.1.2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1843" w:type="dxa"/>
          </w:tcPr>
          <w:p w:rsidR="003E7163" w:rsidRPr="00A84942" w:rsidRDefault="00A84942" w:rsidP="00E4368A">
            <w:pPr>
              <w:rPr>
                <w:rFonts w:asciiTheme="minorHAnsi" w:hAnsiTheme="minorHAnsi"/>
                <w:sz w:val="18"/>
                <w:szCs w:val="18"/>
              </w:rPr>
            </w:pPr>
            <w:r w:rsidRPr="00A84942">
              <w:rPr>
                <w:rFonts w:asciiTheme="minorHAnsi" w:hAnsiTheme="minorHAnsi"/>
                <w:sz w:val="18"/>
                <w:szCs w:val="18"/>
              </w:rPr>
              <w:t>B3 Nákup vozidiel spoločnej dopravy osôb</w:t>
            </w:r>
          </w:p>
        </w:tc>
        <w:tc>
          <w:tcPr>
            <w:tcW w:w="2835" w:type="dxa"/>
            <w:vAlign w:val="center"/>
          </w:tcPr>
          <w:p w:rsidR="00A84942" w:rsidRPr="00A84942" w:rsidRDefault="00A84942" w:rsidP="00A84942">
            <w:pPr>
              <w:numPr>
                <w:ilvl w:val="0"/>
                <w:numId w:val="1"/>
              </w:numPr>
              <w:tabs>
                <w:tab w:val="left" w:pos="362"/>
              </w:tabs>
              <w:ind w:left="362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84942">
              <w:rPr>
                <w:rFonts w:asciiTheme="minorHAnsi" w:hAnsiTheme="minorHAnsi"/>
                <w:sz w:val="18"/>
                <w:szCs w:val="18"/>
              </w:rPr>
              <w:t xml:space="preserve">občianske združenia, </w:t>
            </w:r>
          </w:p>
          <w:p w:rsidR="00A84942" w:rsidRPr="00A84942" w:rsidRDefault="00A84942" w:rsidP="00A84942">
            <w:pPr>
              <w:numPr>
                <w:ilvl w:val="0"/>
                <w:numId w:val="1"/>
              </w:numPr>
              <w:tabs>
                <w:tab w:val="left" w:pos="362"/>
              </w:tabs>
              <w:ind w:left="362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84942">
              <w:rPr>
                <w:rFonts w:asciiTheme="minorHAnsi" w:hAnsiTheme="minorHAnsi"/>
                <w:sz w:val="18"/>
                <w:szCs w:val="18"/>
              </w:rPr>
              <w:t>neziskové organizácie,</w:t>
            </w:r>
          </w:p>
          <w:p w:rsidR="003E7163" w:rsidRPr="00A84942" w:rsidRDefault="00A84942" w:rsidP="00A84942">
            <w:pPr>
              <w:numPr>
                <w:ilvl w:val="0"/>
                <w:numId w:val="1"/>
              </w:numPr>
              <w:tabs>
                <w:tab w:val="left" w:pos="362"/>
              </w:tabs>
              <w:ind w:left="362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84942">
              <w:rPr>
                <w:rFonts w:asciiTheme="minorHAnsi" w:hAnsiTheme="minorHAnsi"/>
                <w:sz w:val="18"/>
                <w:szCs w:val="18"/>
              </w:rPr>
              <w:t>cirkevné organizácie</w:t>
            </w:r>
          </w:p>
        </w:tc>
        <w:tc>
          <w:tcPr>
            <w:tcW w:w="1418" w:type="dxa"/>
            <w:vAlign w:val="center"/>
          </w:tcPr>
          <w:p w:rsidR="003E7163" w:rsidRPr="00A84942" w:rsidRDefault="003E7163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942"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417" w:type="dxa"/>
            <w:vAlign w:val="center"/>
          </w:tcPr>
          <w:p w:rsidR="003E7163" w:rsidRPr="00A84942" w:rsidRDefault="00A4447B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="009D0F4E">
              <w:rPr>
                <w:rFonts w:asciiTheme="minorHAnsi" w:hAnsiTheme="minorHAnsi"/>
                <w:sz w:val="18"/>
                <w:szCs w:val="18"/>
              </w:rPr>
              <w:t>2</w:t>
            </w:r>
            <w:r w:rsidR="003E7163" w:rsidRPr="00A8494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E12132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3E7163" w:rsidRPr="00A84942" w:rsidRDefault="003E7163" w:rsidP="001058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942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1984" w:type="dxa"/>
            <w:vAlign w:val="center"/>
          </w:tcPr>
          <w:p w:rsidR="003E7163" w:rsidRPr="00A84942" w:rsidRDefault="00A84942" w:rsidP="00A8494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942">
              <w:rPr>
                <w:rFonts w:asciiTheme="minorHAnsi" w:hAnsiTheme="minorHAnsi"/>
                <w:sz w:val="18"/>
                <w:szCs w:val="18"/>
              </w:rPr>
              <w:t>325 000,00 EUR</w:t>
            </w:r>
          </w:p>
        </w:tc>
      </w:tr>
      <w:tr w:rsidR="00732DE2" w:rsidRPr="00E4368A" w:rsidTr="00732DE2">
        <w:trPr>
          <w:trHeight w:val="252"/>
          <w:jc w:val="center"/>
        </w:trPr>
        <w:tc>
          <w:tcPr>
            <w:tcW w:w="2830" w:type="dxa"/>
          </w:tcPr>
          <w:p w:rsidR="00A4447B" w:rsidRDefault="00A4447B" w:rsidP="00A4447B">
            <w:r w:rsidRPr="00E4368A">
              <w:rPr>
                <w:rFonts w:asciiTheme="minorHAnsi" w:hAnsiTheme="minorHAnsi"/>
                <w:sz w:val="18"/>
                <w:szCs w:val="18"/>
              </w:rPr>
              <w:lastRenderedPageBreak/>
              <w:t>5.1.2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E4368A">
              <w:rPr>
                <w:rFonts w:asciiTheme="minorHAnsi" w:hAnsiTheme="minorHAnsi"/>
                <w:sz w:val="18"/>
                <w:szCs w:val="18"/>
              </w:rPr>
              <w:t>Zlepšenie udržateľných vzťahov medzi vidieckymi rozvojovými centrami a ich zázemím vo verejných službách a vo verejných infraštruktúrach</w:t>
            </w:r>
          </w:p>
        </w:tc>
        <w:tc>
          <w:tcPr>
            <w:tcW w:w="1843" w:type="dxa"/>
          </w:tcPr>
          <w:p w:rsidR="00A4447B" w:rsidRPr="00A4447B" w:rsidRDefault="00A4447B" w:rsidP="00A4447B">
            <w:pPr>
              <w:rPr>
                <w:rFonts w:asciiTheme="minorHAnsi" w:hAnsiTheme="minorHAnsi"/>
                <w:sz w:val="18"/>
                <w:szCs w:val="18"/>
              </w:rPr>
            </w:pPr>
            <w:r w:rsidRPr="00A4447B">
              <w:rPr>
                <w:rFonts w:asciiTheme="minorHAnsi" w:hAnsiTheme="minorHAnsi"/>
                <w:sz w:val="18"/>
                <w:szCs w:val="18"/>
              </w:rPr>
              <w:t>C1 Komunitné sociálne služby</w:t>
            </w:r>
          </w:p>
        </w:tc>
        <w:tc>
          <w:tcPr>
            <w:tcW w:w="2835" w:type="dxa"/>
          </w:tcPr>
          <w:p w:rsidR="00A4447B" w:rsidRPr="00A4447B" w:rsidRDefault="00A4447B" w:rsidP="00A4447B">
            <w:pPr>
              <w:numPr>
                <w:ilvl w:val="0"/>
                <w:numId w:val="1"/>
              </w:numPr>
              <w:tabs>
                <w:tab w:val="left" w:pos="362"/>
              </w:tabs>
              <w:ind w:left="362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4447B">
              <w:rPr>
                <w:rFonts w:asciiTheme="minorHAnsi" w:hAnsiTheme="minorHAnsi"/>
                <w:sz w:val="18"/>
                <w:szCs w:val="18"/>
              </w:rPr>
              <w:t xml:space="preserve">občianske združenia, </w:t>
            </w:r>
          </w:p>
          <w:p w:rsidR="00A4447B" w:rsidRPr="00A4447B" w:rsidRDefault="00A4447B" w:rsidP="00A4447B">
            <w:pPr>
              <w:numPr>
                <w:ilvl w:val="0"/>
                <w:numId w:val="1"/>
              </w:numPr>
              <w:tabs>
                <w:tab w:val="left" w:pos="362"/>
              </w:tabs>
              <w:ind w:left="362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4447B">
              <w:rPr>
                <w:rFonts w:asciiTheme="minorHAnsi" w:hAnsiTheme="minorHAnsi"/>
                <w:sz w:val="18"/>
                <w:szCs w:val="18"/>
              </w:rPr>
              <w:t>neziskové organizácie,</w:t>
            </w:r>
          </w:p>
          <w:p w:rsidR="00A4447B" w:rsidRPr="00E4368A" w:rsidRDefault="00A4447B" w:rsidP="00A4447B">
            <w:pPr>
              <w:numPr>
                <w:ilvl w:val="0"/>
                <w:numId w:val="1"/>
              </w:numPr>
              <w:tabs>
                <w:tab w:val="left" w:pos="362"/>
              </w:tabs>
              <w:ind w:left="362" w:hanging="283"/>
              <w:jc w:val="both"/>
              <w:rPr>
                <w:rFonts w:asciiTheme="minorHAnsi" w:hAnsiTheme="minorHAnsi"/>
                <w:sz w:val="22"/>
              </w:rPr>
            </w:pPr>
            <w:r w:rsidRPr="00A4447B">
              <w:rPr>
                <w:rFonts w:asciiTheme="minorHAnsi" w:hAnsiTheme="minorHAnsi"/>
                <w:sz w:val="18"/>
                <w:szCs w:val="18"/>
              </w:rPr>
              <w:t>cirkevné organizácie</w:t>
            </w:r>
          </w:p>
        </w:tc>
        <w:tc>
          <w:tcPr>
            <w:tcW w:w="1418" w:type="dxa"/>
            <w:vAlign w:val="center"/>
          </w:tcPr>
          <w:p w:rsidR="00A4447B" w:rsidRPr="00A84942" w:rsidRDefault="00A4447B" w:rsidP="00A44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942">
              <w:rPr>
                <w:rFonts w:asciiTheme="minorHAnsi" w:hAnsiTheme="minorHAnsi"/>
                <w:sz w:val="18"/>
                <w:szCs w:val="18"/>
              </w:rPr>
              <w:t>otvorená</w:t>
            </w:r>
          </w:p>
        </w:tc>
        <w:tc>
          <w:tcPr>
            <w:tcW w:w="1417" w:type="dxa"/>
            <w:vAlign w:val="center"/>
          </w:tcPr>
          <w:p w:rsidR="00A4447B" w:rsidRPr="00A84942" w:rsidRDefault="001043B6" w:rsidP="00A44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bookmarkStart w:id="0" w:name="_GoBack"/>
            <w:bookmarkEnd w:id="0"/>
            <w:r w:rsidR="00E12132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/20</w:t>
            </w:r>
            <w:r w:rsidR="00E12132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A4447B" w:rsidRPr="00A84942" w:rsidRDefault="00A4447B" w:rsidP="00A44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942">
              <w:rPr>
                <w:rFonts w:asciiTheme="minorHAnsi" w:hAnsiTheme="minorHAnsi"/>
                <w:sz w:val="18"/>
                <w:szCs w:val="18"/>
              </w:rPr>
              <w:t>do vyčerpania alokácie</w:t>
            </w:r>
          </w:p>
        </w:tc>
        <w:tc>
          <w:tcPr>
            <w:tcW w:w="1984" w:type="dxa"/>
            <w:vAlign w:val="center"/>
          </w:tcPr>
          <w:p w:rsidR="00A4447B" w:rsidRPr="00A4447B" w:rsidRDefault="00A4447B" w:rsidP="00A444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447B">
              <w:rPr>
                <w:rFonts w:asciiTheme="minorHAnsi" w:hAnsiTheme="minorHAnsi"/>
                <w:sz w:val="18"/>
                <w:szCs w:val="18"/>
              </w:rPr>
              <w:t>70 000,00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84942">
              <w:rPr>
                <w:rFonts w:asciiTheme="minorHAnsi" w:hAnsiTheme="minorHAnsi"/>
                <w:sz w:val="18"/>
                <w:szCs w:val="18"/>
              </w:rPr>
              <w:t>EUR</w:t>
            </w:r>
          </w:p>
        </w:tc>
      </w:tr>
    </w:tbl>
    <w:p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11" w:rsidRDefault="00AB3111" w:rsidP="00C057E2">
      <w:pPr>
        <w:spacing w:after="0" w:line="240" w:lineRule="auto"/>
      </w:pPr>
      <w:r>
        <w:separator/>
      </w:r>
    </w:p>
  </w:endnote>
  <w:endnote w:type="continuationSeparator" w:id="0">
    <w:p w:rsidR="00AB3111" w:rsidRDefault="00AB3111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22DDB" wp14:editId="5486037F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DB47B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11048" wp14:editId="3F1A5846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66FD">
          <w:rPr>
            <w:noProof/>
          </w:rPr>
          <w:t>2</w:t>
        </w:r>
        <w:r>
          <w:fldChar w:fldCharType="end"/>
        </w:r>
      </w:sdtContent>
    </w:sdt>
  </w:p>
  <w:p w:rsidR="006B7927" w:rsidRDefault="006B7927" w:rsidP="006B7927">
    <w:pPr>
      <w:pStyle w:val="Pta"/>
    </w:pPr>
  </w:p>
  <w:p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11" w:rsidRDefault="00AB3111" w:rsidP="00C057E2">
      <w:pPr>
        <w:spacing w:after="0" w:line="240" w:lineRule="auto"/>
      </w:pPr>
      <w:r>
        <w:separator/>
      </w:r>
    </w:p>
  </w:footnote>
  <w:footnote w:type="continuationSeparator" w:id="0">
    <w:p w:rsidR="00AB3111" w:rsidRDefault="00AB3111" w:rsidP="00C057E2">
      <w:pPr>
        <w:spacing w:after="0" w:line="240" w:lineRule="auto"/>
      </w:pPr>
      <w:r>
        <w:continuationSeparator/>
      </w:r>
    </w:p>
  </w:footnote>
  <w:footnote w:id="1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6" w:rsidRPr="001F013A" w:rsidRDefault="001043B6" w:rsidP="00413B16">
    <w:pPr>
      <w:pStyle w:val="Hlavika"/>
      <w:rPr>
        <w:rFonts w:ascii="Arial Narrow" w:hAnsi="Arial Narrow"/>
        <w:sz w:val="20"/>
      </w:rPr>
    </w:pPr>
    <w:r>
      <w:rPr>
        <w:b/>
        <w:noProof/>
      </w:rPr>
      <w:drawing>
        <wp:anchor distT="0" distB="0" distL="114300" distR="114300" simplePos="0" relativeHeight="251672576" behindDoc="0" locked="0" layoutInCell="1" allowOverlap="1" wp14:anchorId="10E6D786" wp14:editId="02E6E51C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399415" cy="390525"/>
          <wp:effectExtent l="0" t="0" r="635" b="9525"/>
          <wp:wrapSquare wrapText="right"/>
          <wp:docPr id="4" name="Obrázok 4" descr="logo_MAS_oprav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MAS_oprave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9504" behindDoc="1" locked="0" layoutInCell="1" allowOverlap="1" wp14:anchorId="496200A9" wp14:editId="4FC02CC9">
          <wp:simplePos x="0" y="0"/>
          <wp:positionH relativeFrom="column">
            <wp:posOffset>4558030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8480" behindDoc="1" locked="0" layoutInCell="1" allowOverlap="1" wp14:anchorId="1A82E93F" wp14:editId="2B3AE1A4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0528" behindDoc="1" locked="0" layoutInCell="1" allowOverlap="1" wp14:anchorId="1BE0541E" wp14:editId="0807B22F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3B16" w:rsidRDefault="00413B16" w:rsidP="00413B16">
    <w:pPr>
      <w:pStyle w:val="Hlavika"/>
    </w:pPr>
  </w:p>
  <w:p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5EA"/>
    <w:multiLevelType w:val="hybridMultilevel"/>
    <w:tmpl w:val="3AA65C16"/>
    <w:lvl w:ilvl="0" w:tplc="1B887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23"/>
    <w:rsid w:val="00095F84"/>
    <w:rsid w:val="000B0C58"/>
    <w:rsid w:val="000E7996"/>
    <w:rsid w:val="001043B6"/>
    <w:rsid w:val="0010589A"/>
    <w:rsid w:val="00117D56"/>
    <w:rsid w:val="00187F2F"/>
    <w:rsid w:val="0019444C"/>
    <w:rsid w:val="00217CEC"/>
    <w:rsid w:val="00242051"/>
    <w:rsid w:val="00295FD9"/>
    <w:rsid w:val="002E6DD1"/>
    <w:rsid w:val="00311C83"/>
    <w:rsid w:val="003377A7"/>
    <w:rsid w:val="003632C4"/>
    <w:rsid w:val="003C7C46"/>
    <w:rsid w:val="003E6833"/>
    <w:rsid w:val="003E7163"/>
    <w:rsid w:val="00413B16"/>
    <w:rsid w:val="00454F56"/>
    <w:rsid w:val="004E0C17"/>
    <w:rsid w:val="004E4086"/>
    <w:rsid w:val="0050129E"/>
    <w:rsid w:val="005154E6"/>
    <w:rsid w:val="006300A5"/>
    <w:rsid w:val="0069646F"/>
    <w:rsid w:val="006B7927"/>
    <w:rsid w:val="006F1BA0"/>
    <w:rsid w:val="0070774B"/>
    <w:rsid w:val="00710938"/>
    <w:rsid w:val="00732DE2"/>
    <w:rsid w:val="0079366E"/>
    <w:rsid w:val="007C4B7E"/>
    <w:rsid w:val="007F08EA"/>
    <w:rsid w:val="008334F9"/>
    <w:rsid w:val="00836AC8"/>
    <w:rsid w:val="00862F11"/>
    <w:rsid w:val="008D0C3E"/>
    <w:rsid w:val="008E0389"/>
    <w:rsid w:val="009023BC"/>
    <w:rsid w:val="00981528"/>
    <w:rsid w:val="00981818"/>
    <w:rsid w:val="00992EDD"/>
    <w:rsid w:val="00993C5A"/>
    <w:rsid w:val="009C58D5"/>
    <w:rsid w:val="009C7008"/>
    <w:rsid w:val="009D0F4E"/>
    <w:rsid w:val="00A17DAB"/>
    <w:rsid w:val="00A25F7C"/>
    <w:rsid w:val="00A4447B"/>
    <w:rsid w:val="00A84942"/>
    <w:rsid w:val="00A9035D"/>
    <w:rsid w:val="00AB3111"/>
    <w:rsid w:val="00AC6266"/>
    <w:rsid w:val="00B41A8E"/>
    <w:rsid w:val="00B67CCB"/>
    <w:rsid w:val="00BA5823"/>
    <w:rsid w:val="00BE75A4"/>
    <w:rsid w:val="00BF1E73"/>
    <w:rsid w:val="00C057E2"/>
    <w:rsid w:val="00C35B10"/>
    <w:rsid w:val="00C43EE3"/>
    <w:rsid w:val="00CB4492"/>
    <w:rsid w:val="00D04DA3"/>
    <w:rsid w:val="00D61E17"/>
    <w:rsid w:val="00D62C3C"/>
    <w:rsid w:val="00D873FA"/>
    <w:rsid w:val="00E12132"/>
    <w:rsid w:val="00E4368A"/>
    <w:rsid w:val="00E85D90"/>
    <w:rsid w:val="00E866FD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8706A"/>
  <w15:docId w15:val="{1F1346CB-8481-4182-ABF1-A30F8FE6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A046-7037-490E-BDDB-64636B4C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2019-10-30T08:55:00Z</dcterms:created>
  <dcterms:modified xsi:type="dcterms:W3CDTF">2019-10-30T09:10:00Z</dcterms:modified>
</cp:coreProperties>
</file>