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9D1F" w14:textId="77777777" w:rsidR="009C7008" w:rsidRPr="00E4368A" w:rsidRDefault="00C0326F" w:rsidP="00C0326F">
      <w:pPr>
        <w:spacing w:after="0"/>
        <w:jc w:val="center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In</w:t>
      </w:r>
      <w:r w:rsidR="009C7008" w:rsidRPr="00E4368A">
        <w:rPr>
          <w:rFonts w:asciiTheme="minorHAnsi" w:hAnsiTheme="minorHAnsi"/>
          <w:b/>
          <w:i/>
          <w:sz w:val="22"/>
        </w:rPr>
        <w:t xml:space="preserve">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="009C7008" w:rsidRPr="00E4368A">
        <w:rPr>
          <w:rFonts w:asciiTheme="minorHAnsi" w:hAnsiTheme="minorHAnsi"/>
          <w:b/>
          <w:i/>
          <w:sz w:val="22"/>
        </w:rPr>
        <w:t>príspevok</w:t>
      </w:r>
      <w:r w:rsidR="009C7008" w:rsidRPr="00E4368A">
        <w:rPr>
          <w:rStyle w:val="FootnoteReference"/>
          <w:rFonts w:asciiTheme="minorHAnsi" w:hAnsiTheme="minorHAnsi"/>
          <w:b/>
          <w:i/>
          <w:sz w:val="22"/>
        </w:rPr>
        <w:footnoteReference w:id="1"/>
      </w:r>
    </w:p>
    <w:p w14:paraId="110680E9" w14:textId="453E66BF" w:rsidR="00E4368A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>(</w:t>
      </w:r>
      <w:r w:rsidR="00425177" w:rsidRPr="00425177">
        <w:rPr>
          <w:rFonts w:asciiTheme="minorHAnsi" w:hAnsiTheme="minorHAnsi"/>
          <w:b/>
          <w:i/>
          <w:sz w:val="22"/>
        </w:rPr>
        <w:t xml:space="preserve">obdobie </w:t>
      </w:r>
      <w:r w:rsidR="00D86CAD">
        <w:rPr>
          <w:rFonts w:asciiTheme="minorHAnsi" w:hAnsiTheme="minorHAnsi"/>
          <w:b/>
          <w:i/>
          <w:sz w:val="22"/>
        </w:rPr>
        <w:t>január</w:t>
      </w:r>
      <w:r w:rsidR="00336360">
        <w:rPr>
          <w:rFonts w:asciiTheme="minorHAnsi" w:hAnsiTheme="minorHAnsi"/>
          <w:b/>
          <w:i/>
          <w:sz w:val="22"/>
        </w:rPr>
        <w:t xml:space="preserve"> 2020 až december 2020</w:t>
      </w:r>
      <w:r w:rsidR="00887E59">
        <w:rPr>
          <w:rFonts w:asciiTheme="minorHAnsi" w:hAnsiTheme="minorHAnsi"/>
          <w:b/>
          <w:i/>
          <w:sz w:val="22"/>
        </w:rPr>
        <w:t>)</w:t>
      </w:r>
    </w:p>
    <w:p w14:paraId="418C2B88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396EE5C9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6E7220A4" w14:textId="77777777" w:rsidR="0010589A" w:rsidRPr="00881AA8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425177" w:rsidRPr="00881AA8">
        <w:rPr>
          <w:rFonts w:asciiTheme="minorHAnsi" w:hAnsiTheme="minorHAnsi"/>
          <w:sz w:val="22"/>
        </w:rPr>
        <w:t>Stratégia miestneho rozvoja vedeného komunitou regiónu Oravy</w:t>
      </w:r>
    </w:p>
    <w:p w14:paraId="2B5B1E81" w14:textId="77777777" w:rsidR="009C7008" w:rsidRPr="00881AA8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881AA8">
        <w:rPr>
          <w:rFonts w:asciiTheme="minorHAnsi" w:hAnsiTheme="minorHAnsi"/>
          <w:sz w:val="22"/>
        </w:rPr>
        <w:t>MAS</w:t>
      </w:r>
      <w:r w:rsidR="009C7008" w:rsidRPr="00881AA8">
        <w:rPr>
          <w:rFonts w:asciiTheme="minorHAnsi" w:hAnsiTheme="minorHAnsi"/>
          <w:sz w:val="22"/>
        </w:rPr>
        <w:t>:</w:t>
      </w:r>
      <w:r w:rsidRPr="00881AA8">
        <w:rPr>
          <w:rFonts w:asciiTheme="minorHAnsi" w:hAnsiTheme="minorHAnsi"/>
          <w:sz w:val="22"/>
        </w:rPr>
        <w:tab/>
      </w:r>
      <w:r w:rsidR="00425177" w:rsidRPr="00881AA8">
        <w:rPr>
          <w:rFonts w:asciiTheme="minorHAnsi" w:hAnsiTheme="minorHAnsi"/>
          <w:sz w:val="22"/>
        </w:rPr>
        <w:t>MAS Orava, o.z.</w:t>
      </w:r>
    </w:p>
    <w:p w14:paraId="61ADF621" w14:textId="05B6DA01" w:rsidR="009C7008" w:rsidRPr="00881AA8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881AA8">
        <w:rPr>
          <w:rFonts w:asciiTheme="minorHAnsi" w:hAnsiTheme="minorHAnsi"/>
          <w:sz w:val="22"/>
        </w:rPr>
        <w:t>Dátum schválenia</w:t>
      </w:r>
      <w:r w:rsidR="005154E6" w:rsidRPr="00881AA8">
        <w:rPr>
          <w:rFonts w:asciiTheme="minorHAnsi" w:hAnsiTheme="minorHAnsi"/>
          <w:sz w:val="22"/>
        </w:rPr>
        <w:t xml:space="preserve"> harmonogramu</w:t>
      </w:r>
      <w:r w:rsidRPr="00881AA8">
        <w:rPr>
          <w:rStyle w:val="FootnoteReference"/>
          <w:rFonts w:asciiTheme="minorHAnsi" w:hAnsiTheme="minorHAnsi"/>
          <w:sz w:val="22"/>
        </w:rPr>
        <w:footnoteReference w:id="2"/>
      </w:r>
      <w:r w:rsidRPr="00881AA8">
        <w:rPr>
          <w:rFonts w:asciiTheme="minorHAnsi" w:hAnsiTheme="minorHAnsi"/>
          <w:sz w:val="22"/>
        </w:rPr>
        <w:t>:</w:t>
      </w:r>
      <w:r w:rsidR="00425177" w:rsidRPr="00881AA8">
        <w:rPr>
          <w:rFonts w:asciiTheme="minorHAnsi" w:hAnsiTheme="minorHAnsi"/>
          <w:sz w:val="22"/>
        </w:rPr>
        <w:tab/>
        <w:t>1</w:t>
      </w:r>
      <w:r w:rsidR="009E3861">
        <w:rPr>
          <w:rFonts w:asciiTheme="minorHAnsi" w:hAnsiTheme="minorHAnsi"/>
          <w:sz w:val="22"/>
        </w:rPr>
        <w:t>.4.2020</w:t>
      </w:r>
    </w:p>
    <w:p w14:paraId="69C843D3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FootnoteReference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336360">
        <w:rPr>
          <w:rFonts w:asciiTheme="minorHAnsi" w:hAnsiTheme="minorHAnsi"/>
          <w:sz w:val="22"/>
        </w:rPr>
        <w:t>2.0</w:t>
      </w:r>
    </w:p>
    <w:tbl>
      <w:tblPr>
        <w:tblStyle w:val="TableGrid"/>
        <w:tblW w:w="140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2"/>
        <w:gridCol w:w="1753"/>
        <w:gridCol w:w="3757"/>
        <w:gridCol w:w="1134"/>
        <w:gridCol w:w="1134"/>
        <w:gridCol w:w="1276"/>
        <w:gridCol w:w="1676"/>
      </w:tblGrid>
      <w:tr w:rsidR="00336360" w:rsidRPr="00E4368A" w14:paraId="3F01F3F2" w14:textId="77777777" w:rsidTr="006414AA">
        <w:trPr>
          <w:trHeight w:val="647"/>
          <w:tblHeader/>
        </w:trPr>
        <w:tc>
          <w:tcPr>
            <w:tcW w:w="3272" w:type="dxa"/>
            <w:shd w:val="clear" w:color="auto" w:fill="95B3D7" w:themeFill="accent1" w:themeFillTint="99"/>
            <w:vAlign w:val="center"/>
          </w:tcPr>
          <w:p w14:paraId="42DEEED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7D7C7062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53" w:type="dxa"/>
            <w:shd w:val="clear" w:color="auto" w:fill="95B3D7" w:themeFill="accent1" w:themeFillTint="99"/>
            <w:vAlign w:val="center"/>
          </w:tcPr>
          <w:p w14:paraId="29F0631A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0616ADE5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FootnoteReference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3757" w:type="dxa"/>
            <w:shd w:val="clear" w:color="auto" w:fill="95B3D7" w:themeFill="accent1" w:themeFillTint="99"/>
            <w:vAlign w:val="center"/>
          </w:tcPr>
          <w:p w14:paraId="2F19EEA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10E63D7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6BCFBC5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14:paraId="1B7845F8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676" w:type="dxa"/>
            <w:shd w:val="clear" w:color="auto" w:fill="95B3D7" w:themeFill="accent1" w:themeFillTint="99"/>
            <w:vAlign w:val="center"/>
          </w:tcPr>
          <w:p w14:paraId="70210D23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36360" w:rsidRPr="00E4368A" w14:paraId="22E2A097" w14:textId="77777777" w:rsidTr="006414AA">
        <w:trPr>
          <w:trHeight w:val="216"/>
        </w:trPr>
        <w:tc>
          <w:tcPr>
            <w:tcW w:w="3272" w:type="dxa"/>
          </w:tcPr>
          <w:p w14:paraId="48F86B0C" w14:textId="77777777" w:rsidR="003E7163" w:rsidRPr="00E4368A" w:rsidRDefault="00C0326F" w:rsidP="0010589A">
            <w:pPr>
              <w:rPr>
                <w:rFonts w:asciiTheme="minorHAnsi" w:hAnsiTheme="minorHAnsi"/>
                <w:sz w:val="22"/>
              </w:rPr>
            </w:pPr>
            <w:r w:rsidRPr="00C0326F">
              <w:rPr>
                <w:rFonts w:asciiTheme="minorHAnsi" w:hAnsiTheme="minorHAnsi"/>
                <w:sz w:val="22"/>
              </w:rPr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1753" w:type="dxa"/>
          </w:tcPr>
          <w:p w14:paraId="7D2F86EB" w14:textId="77777777" w:rsidR="00C0326F" w:rsidRDefault="00C0326F" w:rsidP="00C0326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>C2.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Terénne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a ambulantné služby </w:t>
            </w:r>
          </w:p>
          <w:p w14:paraId="2357E43A" w14:textId="77777777" w:rsidR="003E7163" w:rsidRPr="00E4368A" w:rsidRDefault="003E7163" w:rsidP="0010589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57" w:type="dxa"/>
          </w:tcPr>
          <w:p w14:paraId="7DDB4C79" w14:textId="77777777" w:rsidR="0089740C" w:rsidRDefault="0089740C" w:rsidP="005B05E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00" w:hanging="284"/>
              <w:rPr>
                <w:rFonts w:ascii="Calibri" w:hAnsi="Calibri" w:cs="Calibri"/>
                <w:sz w:val="22"/>
                <w:szCs w:val="22"/>
              </w:rPr>
            </w:pPr>
            <w:r w:rsidRPr="0089740C">
              <w:rPr>
                <w:rFonts w:ascii="Calibri" w:hAnsi="Calibri" w:cs="Calibri"/>
                <w:sz w:val="22"/>
                <w:szCs w:val="22"/>
              </w:rPr>
              <w:t>občianske združenia</w:t>
            </w:r>
          </w:p>
          <w:p w14:paraId="6111C221" w14:textId="77777777" w:rsidR="0089740C" w:rsidRPr="0089740C" w:rsidRDefault="0089740C" w:rsidP="005B05E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00" w:hanging="284"/>
              <w:rPr>
                <w:rFonts w:ascii="Calibri" w:hAnsi="Calibri" w:cs="Calibri"/>
                <w:sz w:val="22"/>
                <w:szCs w:val="22"/>
              </w:rPr>
            </w:pPr>
            <w:r w:rsidRPr="0089740C">
              <w:rPr>
                <w:rFonts w:ascii="Calibri" w:hAnsi="Calibri" w:cs="Calibri"/>
                <w:sz w:val="22"/>
                <w:szCs w:val="22"/>
              </w:rPr>
              <w:t>neziskové organizácie</w:t>
            </w:r>
          </w:p>
          <w:p w14:paraId="015155B7" w14:textId="77777777" w:rsidR="003E7163" w:rsidRPr="005B05ED" w:rsidRDefault="0089740C" w:rsidP="005B05ED">
            <w:pPr>
              <w:pStyle w:val="ListParagraph"/>
              <w:numPr>
                <w:ilvl w:val="0"/>
                <w:numId w:val="4"/>
              </w:numPr>
              <w:ind w:left="400" w:hanging="284"/>
              <w:rPr>
                <w:rFonts w:asciiTheme="minorHAnsi" w:hAnsiTheme="minorHAnsi"/>
                <w:sz w:val="22"/>
              </w:rPr>
            </w:pPr>
            <w:r w:rsidRPr="005B05ED">
              <w:rPr>
                <w:rFonts w:ascii="Calibri" w:hAnsi="Calibri" w:cs="Calibri"/>
                <w:sz w:val="22"/>
              </w:rPr>
              <w:t>cirkevné organizácie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28520C46" w14:textId="77777777" w:rsidR="003E7163" w:rsidRPr="00E4368A" w:rsidRDefault="00C0326F" w:rsidP="0010589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134" w:type="dxa"/>
          </w:tcPr>
          <w:p w14:paraId="6EAD9525" w14:textId="77777777" w:rsidR="003E7163" w:rsidRPr="00E4368A" w:rsidRDefault="003E7163" w:rsidP="00336360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 xml:space="preserve"> </w:t>
            </w:r>
            <w:r w:rsidR="00336360">
              <w:rPr>
                <w:rFonts w:asciiTheme="minorHAnsi" w:hAnsiTheme="minorHAnsi"/>
                <w:sz w:val="22"/>
              </w:rPr>
              <w:t>05/2020</w:t>
            </w:r>
          </w:p>
        </w:tc>
        <w:tc>
          <w:tcPr>
            <w:tcW w:w="1276" w:type="dxa"/>
          </w:tcPr>
          <w:p w14:paraId="143FAF3B" w14:textId="77777777" w:rsidR="003E7163" w:rsidRPr="00E4368A" w:rsidRDefault="00C0326F" w:rsidP="0010589A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676" w:type="dxa"/>
          </w:tcPr>
          <w:p w14:paraId="6A323330" w14:textId="77777777" w:rsidR="003E7163" w:rsidRPr="00E4368A" w:rsidRDefault="00425177" w:rsidP="0010589A">
            <w:pPr>
              <w:rPr>
                <w:rFonts w:asciiTheme="minorHAnsi" w:hAnsiTheme="minorHAnsi"/>
                <w:sz w:val="22"/>
              </w:rPr>
            </w:pPr>
            <w:r w:rsidRPr="00425177">
              <w:rPr>
                <w:rFonts w:asciiTheme="minorHAnsi" w:hAnsiTheme="minorHAnsi"/>
                <w:sz w:val="22"/>
              </w:rPr>
              <w:t>118 000</w:t>
            </w:r>
          </w:p>
        </w:tc>
      </w:tr>
      <w:tr w:rsidR="00336360" w:rsidRPr="00E4368A" w14:paraId="16E21722" w14:textId="77777777" w:rsidTr="006414AA">
        <w:trPr>
          <w:trHeight w:val="216"/>
        </w:trPr>
        <w:tc>
          <w:tcPr>
            <w:tcW w:w="3272" w:type="dxa"/>
          </w:tcPr>
          <w:p w14:paraId="6B3786C3" w14:textId="77777777" w:rsidR="00C0326F" w:rsidRPr="00C0326F" w:rsidRDefault="00C0326F" w:rsidP="0010589A">
            <w:pPr>
              <w:rPr>
                <w:rFonts w:asciiTheme="minorHAnsi" w:hAnsiTheme="minorHAnsi"/>
                <w:sz w:val="22"/>
              </w:rPr>
            </w:pPr>
            <w:r w:rsidRPr="00C0326F">
              <w:rPr>
                <w:rFonts w:asciiTheme="minorHAnsi" w:hAnsiTheme="minorHAnsi"/>
                <w:sz w:val="22"/>
              </w:rPr>
              <w:t xml:space="preserve">5.1.1 Zvýšenie zamestnanosti na </w:t>
            </w:r>
            <w:r w:rsidRPr="00C0326F">
              <w:rPr>
                <w:rFonts w:asciiTheme="minorHAnsi" w:hAnsiTheme="minorHAnsi"/>
                <w:sz w:val="22"/>
              </w:rPr>
              <w:lastRenderedPageBreak/>
              <w:t>miestnej úrovni podporou podnikania a inovácií</w:t>
            </w:r>
          </w:p>
        </w:tc>
        <w:tc>
          <w:tcPr>
            <w:tcW w:w="1753" w:type="dxa"/>
          </w:tcPr>
          <w:p w14:paraId="4C39D2BC" w14:textId="77777777" w:rsidR="00C0326F" w:rsidRDefault="00425177" w:rsidP="00C0326F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2517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 Podpora </w:t>
            </w:r>
            <w:r w:rsidRPr="00425177">
              <w:rPr>
                <w:rFonts w:ascii="Calibri" w:hAnsi="Calibri" w:cs="Calibri"/>
                <w:sz w:val="22"/>
                <w:szCs w:val="22"/>
              </w:rPr>
              <w:lastRenderedPageBreak/>
              <w:t>podnikania a inovácií</w:t>
            </w:r>
          </w:p>
        </w:tc>
        <w:tc>
          <w:tcPr>
            <w:tcW w:w="3757" w:type="dxa"/>
          </w:tcPr>
          <w:p w14:paraId="615665B7" w14:textId="77777777" w:rsidR="00C0326F" w:rsidRPr="00C0326F" w:rsidRDefault="00C0326F" w:rsidP="005B05ED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400" w:hanging="284"/>
              <w:rPr>
                <w:rFonts w:ascii="Calibri" w:hAnsi="Calibri" w:cs="Calibri"/>
                <w:sz w:val="22"/>
                <w:szCs w:val="22"/>
              </w:rPr>
            </w:pPr>
            <w:r w:rsidRPr="00C0326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samostatne zárobkovo činné </w:t>
            </w:r>
            <w:r w:rsidRPr="00C0326F">
              <w:rPr>
                <w:rFonts w:ascii="Calibri" w:hAnsi="Calibri" w:cs="Calibri"/>
                <w:sz w:val="22"/>
                <w:szCs w:val="22"/>
              </w:rPr>
              <w:lastRenderedPageBreak/>
              <w:t>osoby, okrem tých, ktoré sú oprávnenými prijímateľmi z PRV v opatrení LEADER a oprávnenými prijímateľmi z OP RH</w:t>
            </w:r>
          </w:p>
          <w:p w14:paraId="4A88FB24" w14:textId="77777777" w:rsidR="00C0326F" w:rsidRDefault="00C0326F" w:rsidP="005B05ED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400" w:hanging="284"/>
              <w:rPr>
                <w:rFonts w:ascii="Calibri" w:hAnsi="Calibri" w:cs="Calibri"/>
                <w:sz w:val="22"/>
                <w:szCs w:val="22"/>
              </w:rPr>
            </w:pPr>
            <w:r w:rsidRPr="00C0326F">
              <w:rPr>
                <w:rFonts w:ascii="Calibri" w:hAnsi="Calibri" w:cs="Calibri"/>
                <w:sz w:val="22"/>
                <w:szCs w:val="22"/>
              </w:rPr>
              <w:t>mikro a malé podniky s počtom do 49 zamestnancov, okrem tých, ktoré sú oprávnenými</w:t>
            </w:r>
            <w:r w:rsidR="008974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740C" w:rsidRPr="0089740C">
              <w:rPr>
                <w:rFonts w:ascii="Calibri" w:hAnsi="Calibri" w:cs="Calibri"/>
                <w:sz w:val="22"/>
                <w:szCs w:val="22"/>
              </w:rPr>
              <w:t>prijímateľmi z PRV v opatrení LEADER a oprávnenými prijímateľmi z OP RH</w:t>
            </w:r>
          </w:p>
        </w:tc>
        <w:tc>
          <w:tcPr>
            <w:tcW w:w="1134" w:type="dxa"/>
          </w:tcPr>
          <w:p w14:paraId="04176FDF" w14:textId="77777777" w:rsidR="00C0326F" w:rsidRDefault="00C0326F" w:rsidP="0010589A">
            <w:pPr>
              <w:rPr>
                <w:rFonts w:asciiTheme="minorHAnsi" w:hAnsiTheme="minorHAnsi"/>
                <w:sz w:val="22"/>
              </w:rPr>
            </w:pPr>
            <w:r w:rsidRPr="00C0326F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134" w:type="dxa"/>
          </w:tcPr>
          <w:p w14:paraId="122B5EAF" w14:textId="77777777" w:rsidR="00C0326F" w:rsidRPr="00C0326F" w:rsidRDefault="00336360" w:rsidP="00C032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06/2020</w:t>
            </w:r>
          </w:p>
          <w:p w14:paraId="24DC1A8B" w14:textId="77777777" w:rsidR="00C0326F" w:rsidRPr="00E4368A" w:rsidRDefault="00C0326F" w:rsidP="00C0326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14:paraId="2AF31E77" w14:textId="77777777" w:rsidR="00C0326F" w:rsidRPr="00E4368A" w:rsidRDefault="00C0326F" w:rsidP="0010589A">
            <w:pPr>
              <w:rPr>
                <w:rFonts w:asciiTheme="minorHAnsi" w:hAnsiTheme="minorHAnsi"/>
                <w:sz w:val="22"/>
              </w:rPr>
            </w:pPr>
            <w:r w:rsidRPr="00C0326F">
              <w:rPr>
                <w:rFonts w:asciiTheme="minorHAnsi" w:hAnsiTheme="minorHAnsi"/>
                <w:sz w:val="22"/>
              </w:rPr>
              <w:lastRenderedPageBreak/>
              <w:t xml:space="preserve">do </w:t>
            </w:r>
            <w:r w:rsidRPr="00C0326F">
              <w:rPr>
                <w:rFonts w:asciiTheme="minorHAnsi" w:hAnsiTheme="minorHAnsi"/>
                <w:sz w:val="22"/>
              </w:rPr>
              <w:lastRenderedPageBreak/>
              <w:t>vyčerpania alokácie</w:t>
            </w:r>
          </w:p>
        </w:tc>
        <w:tc>
          <w:tcPr>
            <w:tcW w:w="1676" w:type="dxa"/>
          </w:tcPr>
          <w:p w14:paraId="4BE47826" w14:textId="77777777" w:rsidR="00C0326F" w:rsidRPr="00E4368A" w:rsidRDefault="0089740C" w:rsidP="0010589A">
            <w:pPr>
              <w:rPr>
                <w:rFonts w:asciiTheme="minorHAnsi" w:hAnsiTheme="minorHAnsi"/>
                <w:sz w:val="22"/>
              </w:rPr>
            </w:pPr>
            <w:r w:rsidRPr="0089740C">
              <w:rPr>
                <w:rFonts w:asciiTheme="minorHAnsi" w:hAnsiTheme="minorHAnsi"/>
                <w:sz w:val="22"/>
              </w:rPr>
              <w:lastRenderedPageBreak/>
              <w:t>750 000</w:t>
            </w:r>
          </w:p>
        </w:tc>
      </w:tr>
    </w:tbl>
    <w:p w14:paraId="7A9E3835" w14:textId="77777777"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881AA8">
      <w:headerReference w:type="default" r:id="rId8"/>
      <w:footerReference w:type="default" r:id="rId9"/>
      <w:pgSz w:w="16839" w:h="11907" w:orient="landscape" w:code="9"/>
      <w:pgMar w:top="1417" w:right="1417" w:bottom="1417" w:left="1417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4D705" w14:textId="77777777" w:rsidR="00E82945" w:rsidRDefault="00E82945" w:rsidP="00C057E2">
      <w:pPr>
        <w:spacing w:after="0" w:line="240" w:lineRule="auto"/>
      </w:pPr>
      <w:r>
        <w:separator/>
      </w:r>
    </w:p>
  </w:endnote>
  <w:endnote w:type="continuationSeparator" w:id="0">
    <w:p w14:paraId="5715A1ED" w14:textId="77777777" w:rsidR="00E82945" w:rsidRDefault="00E82945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FB50" w14:textId="77777777" w:rsidR="006B7927" w:rsidRDefault="006B7927" w:rsidP="006B7927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2E5432" wp14:editId="0A60AF93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1785552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D9OKoq4QAAAA0B&#10;AAAPAAAAZHJzL2Rvd25yZXYueG1sTI/BbsIwDIbvk/YOkSftBsloGaw0RQiGdkHTBnsA02Rttcap&#10;mgDd28+c2MWS/du//y9fDq4VZ9uHxpOGp7ECYan0pqFKw9dhO5qDCBHJYOvJavi1AZbF/V2OmfEX&#10;+rTnfawEm1DIUEMdY5dJGcraOgxj31li7dv3DiO3fSVNjxc2d62cKPUsHTbEH2rs7Lq25c/+5DRg&#10;eP3Y1CulcLdL0vkaafuevGn9+DBsFlxWCxDRDvF2AVcGzg8FBzv6E5kgWg2jGS9qmKSMdZVT9ZKA&#10;OPJkOgVZ5PI/RfEHAAD//wMAUEsBAi0AFAAGAAgAAAAhALaDOJL+AAAA4QEAABMAAAAAAAAAAAAA&#10;AAAAAAAAAFtDb250ZW50X1R5cGVzXS54bWxQSwECLQAUAAYACAAAACEAOP0h/9YAAACUAQAACwAA&#10;AAAAAAAAAAAAAAAvAQAAX3JlbHMvLnJlbHNQSwECLQAUAAYACAAAACEAr91QnckBAADNAwAADgAA&#10;AAAAAAAAAAAAAAAuAgAAZHJzL2Uyb0RvYy54bWxQSwECLQAUAAYACAAAACEA/TiqKuEAAAANAQAA&#10;DwAAAAAAAAAAAAAAAAAjBAAAZHJzL2Rvd25yZXYueG1sUEsFBgAAAAAEAAQA8wAAADEFAAAAAA==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677D12C9" w14:textId="77777777" w:rsidR="006B7927" w:rsidRDefault="006B7927" w:rsidP="006B7927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3C50BA" wp14:editId="36F1BD7F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3861">
          <w:rPr>
            <w:noProof/>
          </w:rPr>
          <w:t>2</w:t>
        </w:r>
        <w:r>
          <w:fldChar w:fldCharType="end"/>
        </w:r>
      </w:sdtContent>
    </w:sdt>
  </w:p>
  <w:p w14:paraId="4446AA59" w14:textId="77777777" w:rsidR="006B7927" w:rsidRDefault="006B7927" w:rsidP="006B7927">
    <w:pPr>
      <w:pStyle w:val="Footer"/>
    </w:pPr>
  </w:p>
  <w:p w14:paraId="6601DF70" w14:textId="77777777" w:rsidR="006B7927" w:rsidRDefault="006B79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021B2" w14:textId="77777777" w:rsidR="00E82945" w:rsidRDefault="00E82945" w:rsidP="00C057E2">
      <w:pPr>
        <w:spacing w:after="0" w:line="240" w:lineRule="auto"/>
      </w:pPr>
      <w:r>
        <w:separator/>
      </w:r>
    </w:p>
  </w:footnote>
  <w:footnote w:type="continuationSeparator" w:id="0">
    <w:p w14:paraId="5B3B1ED8" w14:textId="77777777" w:rsidR="00E82945" w:rsidRDefault="00E82945" w:rsidP="00C057E2">
      <w:pPr>
        <w:spacing w:after="0" w:line="240" w:lineRule="auto"/>
      </w:pPr>
      <w:r>
        <w:continuationSeparator/>
      </w:r>
    </w:p>
  </w:footnote>
  <w:footnote w:id="1">
    <w:p w14:paraId="72FF8760" w14:textId="77777777"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4FF970B3" w14:textId="77777777"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14:paraId="2F656290" w14:textId="77777777"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5F82F87D" w14:textId="77777777"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3E83CCDF" w14:textId="77777777"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61574B58" w14:textId="77777777"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6CF261FB" w14:textId="77777777" w:rsidR="003E7163" w:rsidRDefault="003E7163" w:rsidP="00E4368A">
      <w:pPr>
        <w:pStyle w:val="FootnoteText"/>
        <w:ind w:left="284" w:hanging="284"/>
        <w:jc w:val="both"/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31B1E" w14:textId="77777777" w:rsidR="00413B16" w:rsidRPr="00425177" w:rsidRDefault="00425177" w:rsidP="00413B16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71552" behindDoc="0" locked="0" layoutInCell="1" allowOverlap="1" wp14:anchorId="4B2703D8" wp14:editId="32CB463E">
          <wp:simplePos x="0" y="0"/>
          <wp:positionH relativeFrom="column">
            <wp:posOffset>3810</wp:posOffset>
          </wp:positionH>
          <wp:positionV relativeFrom="paragraph">
            <wp:posOffset>-111988</wp:posOffset>
          </wp:positionV>
          <wp:extent cx="1220400" cy="4464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bez-300x1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69504" behindDoc="1" locked="0" layoutInCell="1" allowOverlap="1" wp14:anchorId="3B528B05" wp14:editId="68AC1821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68480" behindDoc="1" locked="0" layoutInCell="1" allowOverlap="1" wp14:anchorId="2D26979C" wp14:editId="3C930B8C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70528" behindDoc="1" locked="0" layoutInCell="1" allowOverlap="1" wp14:anchorId="702EC576" wp14:editId="4D5A2445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B424F7" w14:textId="77777777" w:rsidR="0019444C" w:rsidRDefault="0019444C" w:rsidP="004E0C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A4E"/>
    <w:multiLevelType w:val="hybridMultilevel"/>
    <w:tmpl w:val="E6DC0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A0C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850"/>
    <w:multiLevelType w:val="hybridMultilevel"/>
    <w:tmpl w:val="0EC26878"/>
    <w:lvl w:ilvl="0" w:tplc="B56225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3E8"/>
    <w:multiLevelType w:val="hybridMultilevel"/>
    <w:tmpl w:val="9C7272B6"/>
    <w:lvl w:ilvl="0" w:tplc="760044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4DE"/>
    <w:multiLevelType w:val="hybridMultilevel"/>
    <w:tmpl w:val="97AAD9E0"/>
    <w:lvl w:ilvl="0" w:tplc="916E9E7E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2408E9"/>
    <w:multiLevelType w:val="hybridMultilevel"/>
    <w:tmpl w:val="F67CB9F4"/>
    <w:lvl w:ilvl="0" w:tplc="916E9E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1F70EC"/>
    <w:rsid w:val="00217CEC"/>
    <w:rsid w:val="0022003D"/>
    <w:rsid w:val="00242051"/>
    <w:rsid w:val="00295FD9"/>
    <w:rsid w:val="002B6375"/>
    <w:rsid w:val="002E6DD1"/>
    <w:rsid w:val="00311C83"/>
    <w:rsid w:val="00336360"/>
    <w:rsid w:val="003377A7"/>
    <w:rsid w:val="003632C4"/>
    <w:rsid w:val="003832FC"/>
    <w:rsid w:val="003B5A45"/>
    <w:rsid w:val="003C7C46"/>
    <w:rsid w:val="003E6833"/>
    <w:rsid w:val="003E7163"/>
    <w:rsid w:val="00413B16"/>
    <w:rsid w:val="00425177"/>
    <w:rsid w:val="00454F56"/>
    <w:rsid w:val="004E0C17"/>
    <w:rsid w:val="004E4086"/>
    <w:rsid w:val="0050129E"/>
    <w:rsid w:val="005154E6"/>
    <w:rsid w:val="005B05ED"/>
    <w:rsid w:val="006300A5"/>
    <w:rsid w:val="006414AA"/>
    <w:rsid w:val="0069646F"/>
    <w:rsid w:val="006B7927"/>
    <w:rsid w:val="006F1BA0"/>
    <w:rsid w:val="0070774B"/>
    <w:rsid w:val="007612C2"/>
    <w:rsid w:val="0079366E"/>
    <w:rsid w:val="007F08EA"/>
    <w:rsid w:val="00803072"/>
    <w:rsid w:val="008334F9"/>
    <w:rsid w:val="00836AC8"/>
    <w:rsid w:val="008617A3"/>
    <w:rsid w:val="00881AA8"/>
    <w:rsid w:val="00887E59"/>
    <w:rsid w:val="0089740C"/>
    <w:rsid w:val="008D0C3E"/>
    <w:rsid w:val="008E0389"/>
    <w:rsid w:val="009023BC"/>
    <w:rsid w:val="00981528"/>
    <w:rsid w:val="00981818"/>
    <w:rsid w:val="00992EDD"/>
    <w:rsid w:val="00993C5A"/>
    <w:rsid w:val="009A05A4"/>
    <w:rsid w:val="009C58D5"/>
    <w:rsid w:val="009C7008"/>
    <w:rsid w:val="009E3861"/>
    <w:rsid w:val="00A053B1"/>
    <w:rsid w:val="00A17DAB"/>
    <w:rsid w:val="00A9035D"/>
    <w:rsid w:val="00AC6266"/>
    <w:rsid w:val="00B41A8E"/>
    <w:rsid w:val="00B67CCB"/>
    <w:rsid w:val="00BA5823"/>
    <w:rsid w:val="00BE75A4"/>
    <w:rsid w:val="00BF1E73"/>
    <w:rsid w:val="00C0326F"/>
    <w:rsid w:val="00C057E2"/>
    <w:rsid w:val="00C35B10"/>
    <w:rsid w:val="00C43EE3"/>
    <w:rsid w:val="00CB4492"/>
    <w:rsid w:val="00D04DA3"/>
    <w:rsid w:val="00D61E17"/>
    <w:rsid w:val="00D62C3C"/>
    <w:rsid w:val="00D86CAD"/>
    <w:rsid w:val="00D873FA"/>
    <w:rsid w:val="00DD5A01"/>
    <w:rsid w:val="00E4368A"/>
    <w:rsid w:val="00E67094"/>
    <w:rsid w:val="00E82945"/>
    <w:rsid w:val="00E85D90"/>
    <w:rsid w:val="00E866FD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6E6B6"/>
  <w15:docId w15:val="{3F15A922-3192-4C4D-A12D-5E657ABD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057E2"/>
    <w:rPr>
      <w:vertAlign w:val="superscript"/>
    </w:rPr>
  </w:style>
  <w:style w:type="table" w:styleId="TableGrid">
    <w:name w:val="Table Grid"/>
    <w:basedOn w:val="TableNormal"/>
    <w:uiPriority w:val="59"/>
    <w:rsid w:val="00C0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4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B4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44C"/>
    <w:rPr>
      <w:color w:val="808080"/>
    </w:rPr>
  </w:style>
  <w:style w:type="paragraph" w:styleId="Revision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032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B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70A1-EBAE-A440-AD4A-BA37E5F8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6</cp:revision>
  <cp:lastPrinted>2019-10-17T12:38:00Z</cp:lastPrinted>
  <dcterms:created xsi:type="dcterms:W3CDTF">2019-10-17T12:46:00Z</dcterms:created>
  <dcterms:modified xsi:type="dcterms:W3CDTF">2020-04-23T12:50:00Z</dcterms:modified>
</cp:coreProperties>
</file>