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6A743B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In</w:t>
      </w:r>
      <w:r w:rsidR="009C7008" w:rsidRPr="00E4368A">
        <w:rPr>
          <w:rFonts w:asciiTheme="minorHAnsi" w:hAnsiTheme="minorHAnsi"/>
          <w:b/>
          <w:i/>
          <w:sz w:val="22"/>
        </w:rPr>
        <w:t xml:space="preserve">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="009C7008" w:rsidRPr="00E4368A">
        <w:rPr>
          <w:rFonts w:asciiTheme="minorHAnsi" w:hAnsiTheme="minorHAnsi"/>
          <w:b/>
          <w:i/>
          <w:sz w:val="22"/>
        </w:rPr>
        <w:t>príspevok</w:t>
      </w:r>
      <w:r w:rsidR="009C7008"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="003D7508">
        <w:rPr>
          <w:rFonts w:asciiTheme="minorHAnsi" w:hAnsiTheme="minorHAnsi"/>
          <w:b/>
          <w:i/>
          <w:sz w:val="22"/>
        </w:rPr>
        <w:t xml:space="preserve"> 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3D7508">
        <w:rPr>
          <w:rFonts w:asciiTheme="minorHAnsi" w:hAnsiTheme="minorHAnsi"/>
          <w:b/>
          <w:i/>
          <w:sz w:val="22"/>
        </w:rPr>
        <w:t xml:space="preserve"> 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855045">
        <w:rPr>
          <w:rFonts w:asciiTheme="minorHAnsi" w:hAnsiTheme="minorHAnsi"/>
          <w:i/>
          <w:sz w:val="22"/>
        </w:rPr>
        <w:t xml:space="preserve">Integrovaný a inovatívny rozvoj územia MAS RUDOHORIE, </w:t>
      </w:r>
      <w:proofErr w:type="spellStart"/>
      <w:r w:rsidR="00855045">
        <w:rPr>
          <w:rFonts w:asciiTheme="minorHAnsi" w:hAnsiTheme="minorHAnsi"/>
          <w:i/>
          <w:sz w:val="22"/>
        </w:rPr>
        <w:t>o.z</w:t>
      </w:r>
      <w:proofErr w:type="spellEnd"/>
      <w:r w:rsidR="00855045">
        <w:rPr>
          <w:rFonts w:asciiTheme="minorHAnsi" w:hAnsiTheme="minorHAnsi"/>
          <w:i/>
          <w:sz w:val="22"/>
        </w:rPr>
        <w:t>.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855045">
        <w:rPr>
          <w:rFonts w:asciiTheme="minorHAnsi" w:hAnsiTheme="minorHAnsi"/>
          <w:i/>
          <w:sz w:val="22"/>
        </w:rPr>
        <w:t xml:space="preserve">MAS RUDOHORIE, </w:t>
      </w:r>
      <w:proofErr w:type="spellStart"/>
      <w:r w:rsidR="00855045">
        <w:rPr>
          <w:rFonts w:asciiTheme="minorHAnsi" w:hAnsiTheme="minorHAnsi"/>
          <w:i/>
          <w:sz w:val="22"/>
        </w:rPr>
        <w:t>o.z</w:t>
      </w:r>
      <w:proofErr w:type="spellEnd"/>
      <w:r w:rsidR="00855045">
        <w:rPr>
          <w:rFonts w:asciiTheme="minorHAnsi" w:hAnsiTheme="minorHAnsi"/>
          <w:i/>
          <w:sz w:val="22"/>
        </w:rPr>
        <w:t>.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6C4EE8">
        <w:rPr>
          <w:rFonts w:asciiTheme="minorHAnsi" w:hAnsiTheme="minorHAnsi"/>
          <w:sz w:val="22"/>
        </w:rPr>
        <w:t>30.09</w:t>
      </w:r>
      <w:r w:rsidR="00384025">
        <w:rPr>
          <w:rFonts w:asciiTheme="minorHAnsi" w:hAnsiTheme="minorHAnsi"/>
          <w:sz w:val="22"/>
        </w:rPr>
        <w:t>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197281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474" w:type="dxa"/>
        <w:jc w:val="center"/>
        <w:tblInd w:w="-1023" w:type="dxa"/>
        <w:tblLayout w:type="fixed"/>
        <w:tblLook w:val="04A0" w:firstRow="1" w:lastRow="0" w:firstColumn="1" w:lastColumn="0" w:noHBand="0" w:noVBand="1"/>
      </w:tblPr>
      <w:tblGrid>
        <w:gridCol w:w="3081"/>
        <w:gridCol w:w="2041"/>
        <w:gridCol w:w="2108"/>
        <w:gridCol w:w="1152"/>
        <w:gridCol w:w="1542"/>
        <w:gridCol w:w="1542"/>
        <w:gridCol w:w="2008"/>
      </w:tblGrid>
      <w:tr w:rsidR="003E7163" w:rsidRPr="00E4368A" w:rsidTr="006A743B">
        <w:trPr>
          <w:trHeight w:val="754"/>
          <w:jc w:val="center"/>
        </w:trPr>
        <w:tc>
          <w:tcPr>
            <w:tcW w:w="308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4"/>
            </w:r>
          </w:p>
        </w:tc>
        <w:tc>
          <w:tcPr>
            <w:tcW w:w="204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MAS</w:t>
            </w:r>
            <w:r>
              <w:rPr>
                <w:rStyle w:val="Odkaznapoznmkupodiarou"/>
                <w:rFonts w:asciiTheme="minorHAnsi" w:hAnsiTheme="minorHAnsi"/>
              </w:rPr>
              <w:footnoteReference w:id="5"/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Oprávnení žiadatelia</w:t>
            </w:r>
          </w:p>
        </w:tc>
        <w:tc>
          <w:tcPr>
            <w:tcW w:w="115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Indikatívna výška finančných prostriedkov určených na výzvu</w:t>
            </w:r>
          </w:p>
        </w:tc>
      </w:tr>
      <w:tr w:rsidR="006A743B" w:rsidRPr="00E4368A" w:rsidTr="006A743B">
        <w:trPr>
          <w:trHeight w:val="252"/>
          <w:jc w:val="center"/>
        </w:trPr>
        <w:tc>
          <w:tcPr>
            <w:tcW w:w="3081" w:type="dxa"/>
          </w:tcPr>
          <w:p w:rsidR="006A743B" w:rsidRPr="00E1635D" w:rsidRDefault="006A743B" w:rsidP="0038052C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041" w:type="dxa"/>
          </w:tcPr>
          <w:p w:rsidR="006A743B" w:rsidRPr="00E1635D" w:rsidRDefault="006A743B" w:rsidP="00BE44C3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B2 - Zvyšovanie bezpečnosti a dostupnosti </w:t>
            </w:r>
          </w:p>
        </w:tc>
        <w:tc>
          <w:tcPr>
            <w:tcW w:w="2108" w:type="dxa"/>
          </w:tcPr>
          <w:p w:rsidR="006A743B" w:rsidRPr="00E1635D" w:rsidRDefault="006A743B" w:rsidP="00711E44">
            <w:pPr>
              <w:ind w:left="34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Mestá/samostatné mestské časti a obce na území MAS</w:t>
            </w:r>
          </w:p>
        </w:tc>
        <w:tc>
          <w:tcPr>
            <w:tcW w:w="1152" w:type="dxa"/>
            <w:vAlign w:val="center"/>
          </w:tcPr>
          <w:p w:rsidR="006A743B" w:rsidRPr="00E1635D" w:rsidRDefault="006A743B" w:rsidP="007005F5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6A743B" w:rsidRPr="00E1635D" w:rsidRDefault="00067140" w:rsidP="00EB00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</w:t>
            </w:r>
            <w:r w:rsidR="00EB0013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542" w:type="dxa"/>
            <w:vAlign w:val="center"/>
          </w:tcPr>
          <w:p w:rsidR="006A743B" w:rsidRPr="00E1635D" w:rsidRDefault="006A743B" w:rsidP="007005F5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6A743B" w:rsidRPr="00E1635D" w:rsidRDefault="006A743B" w:rsidP="007005F5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56 326,80 Eur</w:t>
            </w:r>
          </w:p>
        </w:tc>
      </w:tr>
      <w:tr w:rsidR="006A743B" w:rsidRPr="00E4368A" w:rsidTr="006A743B">
        <w:trPr>
          <w:trHeight w:val="252"/>
          <w:jc w:val="center"/>
        </w:trPr>
        <w:tc>
          <w:tcPr>
            <w:tcW w:w="3081" w:type="dxa"/>
          </w:tcPr>
          <w:p w:rsidR="006A743B" w:rsidRPr="00E1635D" w:rsidRDefault="006A743B" w:rsidP="0038052C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</w:rPr>
              <w:lastRenderedPageBreak/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041" w:type="dxa"/>
          </w:tcPr>
          <w:p w:rsidR="006A743B" w:rsidRPr="00E1635D" w:rsidRDefault="006A743B" w:rsidP="007D08A9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B3 nákup vozidiel spoločnej dopravy osôb </w:t>
            </w:r>
          </w:p>
        </w:tc>
        <w:tc>
          <w:tcPr>
            <w:tcW w:w="2108" w:type="dxa"/>
          </w:tcPr>
          <w:p w:rsidR="00711E44" w:rsidRPr="00E1635D" w:rsidRDefault="00711E44" w:rsidP="00711E44">
            <w:pPr>
              <w:pStyle w:val="Odsekzoznamu"/>
              <w:numPr>
                <w:ilvl w:val="0"/>
                <w:numId w:val="9"/>
              </w:numPr>
              <w:ind w:left="34" w:hanging="827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 xml:space="preserve">- </w:t>
            </w:r>
            <w:r w:rsidR="006A743B" w:rsidRPr="00E1635D">
              <w:rPr>
                <w:rFonts w:asciiTheme="minorHAnsi" w:hAnsiTheme="minorHAnsi"/>
                <w:sz w:val="22"/>
              </w:rPr>
              <w:t xml:space="preserve">Združenia </w:t>
            </w:r>
            <w:r w:rsidRPr="00E1635D">
              <w:rPr>
                <w:rFonts w:asciiTheme="minorHAnsi" w:hAnsiTheme="minorHAnsi"/>
                <w:sz w:val="22"/>
              </w:rPr>
              <w:t xml:space="preserve">miest    </w:t>
            </w:r>
          </w:p>
          <w:p w:rsidR="006A743B" w:rsidRPr="00E1635D" w:rsidRDefault="00711E44" w:rsidP="00711E44">
            <w:pPr>
              <w:pStyle w:val="Odsekzoznamu"/>
              <w:numPr>
                <w:ilvl w:val="0"/>
                <w:numId w:val="9"/>
              </w:numPr>
              <w:ind w:left="34" w:hanging="827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 xml:space="preserve">   </w:t>
            </w:r>
            <w:r w:rsidR="006A743B" w:rsidRPr="00E1635D">
              <w:rPr>
                <w:rFonts w:asciiTheme="minorHAnsi" w:hAnsiTheme="minorHAnsi"/>
                <w:sz w:val="22"/>
              </w:rPr>
              <w:t>a obcí,</w:t>
            </w:r>
          </w:p>
          <w:p w:rsidR="006A743B" w:rsidRPr="00E1635D" w:rsidRDefault="006A743B" w:rsidP="00711E44">
            <w:pPr>
              <w:pStyle w:val="Odsekzoznamu"/>
              <w:numPr>
                <w:ilvl w:val="0"/>
                <w:numId w:val="9"/>
              </w:numPr>
              <w:ind w:left="175" w:hanging="141"/>
              <w:rPr>
                <w:rFonts w:asciiTheme="minorHAnsi" w:hAnsiTheme="minorHAnsi"/>
                <w:sz w:val="22"/>
              </w:rPr>
            </w:pPr>
            <w:proofErr w:type="spellStart"/>
            <w:r w:rsidRPr="00E1635D"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 w:rsidRPr="00E1635D"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6A743B" w:rsidRPr="00E1635D" w:rsidRDefault="006A743B" w:rsidP="00711E44">
            <w:pPr>
              <w:pStyle w:val="Odsekzoznamu"/>
              <w:numPr>
                <w:ilvl w:val="0"/>
                <w:numId w:val="9"/>
              </w:numPr>
              <w:ind w:left="175" w:hanging="141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Občianske združenia,</w:t>
            </w:r>
          </w:p>
          <w:p w:rsidR="006A743B" w:rsidRPr="00E1635D" w:rsidRDefault="006A743B" w:rsidP="00711E44">
            <w:pPr>
              <w:pStyle w:val="Odsekzoznamu"/>
              <w:numPr>
                <w:ilvl w:val="0"/>
                <w:numId w:val="9"/>
              </w:numPr>
              <w:ind w:left="175" w:hanging="141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Neziskové organizácie na území MAS</w:t>
            </w:r>
          </w:p>
        </w:tc>
        <w:tc>
          <w:tcPr>
            <w:tcW w:w="1152" w:type="dxa"/>
            <w:vAlign w:val="center"/>
          </w:tcPr>
          <w:p w:rsidR="006A743B" w:rsidRPr="00E1635D" w:rsidRDefault="006A743B" w:rsidP="007005F5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6A743B" w:rsidRPr="00E1635D" w:rsidRDefault="00FB7F5A" w:rsidP="00EB00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</w:t>
            </w:r>
            <w:r w:rsidR="00EB0013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542" w:type="dxa"/>
            <w:vAlign w:val="center"/>
          </w:tcPr>
          <w:p w:rsidR="006A743B" w:rsidRPr="00E1635D" w:rsidRDefault="006A743B" w:rsidP="007005F5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6A743B" w:rsidRPr="00E1635D" w:rsidRDefault="006A743B" w:rsidP="007005F5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357 420,37 Eur</w:t>
            </w:r>
          </w:p>
        </w:tc>
      </w:tr>
      <w:tr w:rsidR="006A743B" w:rsidRPr="00E4368A" w:rsidTr="00E1635D">
        <w:trPr>
          <w:trHeight w:val="1403"/>
          <w:jc w:val="center"/>
        </w:trPr>
        <w:tc>
          <w:tcPr>
            <w:tcW w:w="3081" w:type="dxa"/>
          </w:tcPr>
          <w:p w:rsidR="006A743B" w:rsidRPr="00E1635D" w:rsidRDefault="006A743B" w:rsidP="0051025E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041" w:type="dxa"/>
          </w:tcPr>
          <w:p w:rsidR="006A743B" w:rsidRPr="00E1635D" w:rsidRDefault="006A743B" w:rsidP="0051025E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  <w:szCs w:val="22"/>
              </w:rPr>
              <w:t>D1 Učebne ZŠ</w:t>
            </w:r>
          </w:p>
          <w:p w:rsidR="006A743B" w:rsidRPr="00E1635D" w:rsidRDefault="006A743B" w:rsidP="00FB7F5A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108" w:type="dxa"/>
          </w:tcPr>
          <w:p w:rsidR="006A743B" w:rsidRPr="00E1635D" w:rsidRDefault="006A743B" w:rsidP="006A743B">
            <w:pPr>
              <w:pStyle w:val="Default"/>
              <w:ind w:left="16"/>
              <w:rPr>
                <w:rFonts w:ascii="Calibri" w:hAnsi="Calibri" w:cs="Calibri"/>
                <w:sz w:val="22"/>
                <w:szCs w:val="22"/>
              </w:rPr>
            </w:pPr>
            <w:r w:rsidRPr="00E1635D">
              <w:rPr>
                <w:rFonts w:ascii="Calibri" w:hAnsi="Calibri" w:cs="Calibri"/>
                <w:sz w:val="22"/>
                <w:szCs w:val="22"/>
              </w:rPr>
              <w:t>Mestá/samostatné mestské časti a obce na území MAS</w:t>
            </w:r>
          </w:p>
        </w:tc>
        <w:tc>
          <w:tcPr>
            <w:tcW w:w="1152" w:type="dxa"/>
            <w:vAlign w:val="center"/>
          </w:tcPr>
          <w:p w:rsidR="006A743B" w:rsidRPr="00E1635D" w:rsidRDefault="006A743B" w:rsidP="007005F5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6A743B" w:rsidRPr="00E1635D" w:rsidRDefault="00EB0013" w:rsidP="00C052D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</w:t>
            </w:r>
            <w:r w:rsidR="00F96FC5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542" w:type="dxa"/>
            <w:vAlign w:val="center"/>
          </w:tcPr>
          <w:p w:rsidR="006A743B" w:rsidRPr="00E1635D" w:rsidRDefault="006A743B" w:rsidP="00154642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6A743B" w:rsidRPr="00E1635D" w:rsidRDefault="00FB7F5A" w:rsidP="0015464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10 000,- </w:t>
            </w:r>
            <w:r w:rsidR="006A743B" w:rsidRPr="00E1635D">
              <w:rPr>
                <w:rFonts w:asciiTheme="minorHAnsi" w:hAnsiTheme="minorHAnsi"/>
                <w:sz w:val="22"/>
              </w:rPr>
              <w:t>Eur</w:t>
            </w:r>
          </w:p>
        </w:tc>
      </w:tr>
      <w:tr w:rsidR="00FB7F5A" w:rsidRPr="00E4368A" w:rsidTr="00E1635D">
        <w:trPr>
          <w:trHeight w:val="1403"/>
          <w:jc w:val="center"/>
        </w:trPr>
        <w:tc>
          <w:tcPr>
            <w:tcW w:w="3081" w:type="dxa"/>
          </w:tcPr>
          <w:p w:rsidR="00FB7F5A" w:rsidRPr="00E1635D" w:rsidRDefault="00FB7F5A" w:rsidP="0051025E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041" w:type="dxa"/>
          </w:tcPr>
          <w:p w:rsidR="00FB7F5A" w:rsidRPr="00E1635D" w:rsidRDefault="00FB7F5A" w:rsidP="0051025E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  <w:szCs w:val="22"/>
              </w:rPr>
              <w:t>D2 Skvalitnenie a rozšírenie kapacít predškolských zariadení</w:t>
            </w:r>
          </w:p>
        </w:tc>
        <w:tc>
          <w:tcPr>
            <w:tcW w:w="2108" w:type="dxa"/>
          </w:tcPr>
          <w:p w:rsidR="00FB7F5A" w:rsidRPr="00E1635D" w:rsidRDefault="00FB7F5A" w:rsidP="00952049">
            <w:pPr>
              <w:pStyle w:val="Default"/>
              <w:ind w:left="16"/>
              <w:rPr>
                <w:rFonts w:ascii="Calibri" w:hAnsi="Calibri" w:cs="Calibri"/>
                <w:sz w:val="22"/>
                <w:szCs w:val="22"/>
              </w:rPr>
            </w:pPr>
            <w:r w:rsidRPr="00E1635D">
              <w:rPr>
                <w:rFonts w:ascii="Calibri" w:hAnsi="Calibri" w:cs="Calibri"/>
                <w:sz w:val="22"/>
                <w:szCs w:val="22"/>
              </w:rPr>
              <w:t>Mestá/samostatné mestské časti a obce na území MAS</w:t>
            </w:r>
          </w:p>
        </w:tc>
        <w:tc>
          <w:tcPr>
            <w:tcW w:w="1152" w:type="dxa"/>
            <w:vAlign w:val="center"/>
          </w:tcPr>
          <w:p w:rsidR="00FB7F5A" w:rsidRPr="00E1635D" w:rsidRDefault="00FB7F5A" w:rsidP="00952049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FB7F5A" w:rsidRPr="00E1635D" w:rsidRDefault="00FB7F5A" w:rsidP="0095204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</w:t>
            </w:r>
            <w:r w:rsidR="00F96FC5">
              <w:rPr>
                <w:rFonts w:asciiTheme="minorHAnsi" w:hAnsiTheme="minorHAnsi"/>
                <w:sz w:val="22"/>
              </w:rPr>
              <w:t>/2020</w:t>
            </w:r>
          </w:p>
        </w:tc>
        <w:tc>
          <w:tcPr>
            <w:tcW w:w="1542" w:type="dxa"/>
            <w:vAlign w:val="center"/>
          </w:tcPr>
          <w:p w:rsidR="00FB7F5A" w:rsidRPr="00E1635D" w:rsidRDefault="00FB7F5A" w:rsidP="00952049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FB7F5A" w:rsidRPr="00E1635D" w:rsidRDefault="00FB7F5A" w:rsidP="0015464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26 470,12 Eur</w:t>
            </w:r>
          </w:p>
        </w:tc>
      </w:tr>
      <w:tr w:rsidR="00FB7F5A" w:rsidRPr="00E4368A" w:rsidTr="00711E44">
        <w:trPr>
          <w:trHeight w:val="2695"/>
          <w:jc w:val="center"/>
        </w:trPr>
        <w:tc>
          <w:tcPr>
            <w:tcW w:w="3081" w:type="dxa"/>
          </w:tcPr>
          <w:p w:rsidR="00FB7F5A" w:rsidRPr="00E1635D" w:rsidRDefault="00FB7F5A" w:rsidP="00567256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</w:rPr>
              <w:t>5.1.2 - Zlepšenie udržateľných vzťahov medzi vidieckymi rozvojovými centrami a ich zázemím vo verejných službách a vo verejných infraštruktúrach</w:t>
            </w:r>
          </w:p>
        </w:tc>
        <w:tc>
          <w:tcPr>
            <w:tcW w:w="2041" w:type="dxa"/>
          </w:tcPr>
          <w:p w:rsidR="00FB7F5A" w:rsidRPr="00E1635D" w:rsidRDefault="00FB7F5A" w:rsidP="00C24203">
            <w:pPr>
              <w:pStyle w:val="Default"/>
              <w:spacing w:after="15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1635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C1 </w:t>
            </w:r>
            <w:proofErr w:type="spellStart"/>
            <w:r w:rsidRPr="00E1635D">
              <w:rPr>
                <w:rFonts w:asciiTheme="minorHAnsi" w:hAnsiTheme="minorHAnsi" w:cstheme="minorHAnsi"/>
                <w:iCs/>
                <w:sz w:val="22"/>
                <w:szCs w:val="22"/>
              </w:rPr>
              <w:t>Komunitné</w:t>
            </w:r>
            <w:proofErr w:type="spellEnd"/>
            <w:r w:rsidRPr="00E1635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sociálne služby </w:t>
            </w:r>
          </w:p>
        </w:tc>
        <w:tc>
          <w:tcPr>
            <w:tcW w:w="2108" w:type="dxa"/>
          </w:tcPr>
          <w:p w:rsidR="00FB7F5A" w:rsidRPr="00E1635D" w:rsidRDefault="00FB7F5A" w:rsidP="00C2420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E1635D">
              <w:rPr>
                <w:rFonts w:ascii="Calibri" w:hAnsi="Calibri" w:cs="Calibri"/>
                <w:sz w:val="22"/>
                <w:szCs w:val="22"/>
              </w:rPr>
              <w:t>Združenia miest a obcí,</w:t>
            </w:r>
          </w:p>
          <w:p w:rsidR="00FB7F5A" w:rsidRPr="00E1635D" w:rsidRDefault="00FB7F5A" w:rsidP="00C2420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E1635D">
              <w:rPr>
                <w:rFonts w:ascii="Calibri" w:hAnsi="Calibri" w:cs="Calibri"/>
                <w:sz w:val="22"/>
                <w:szCs w:val="22"/>
              </w:rPr>
              <w:t>Občianske združenia</w:t>
            </w:r>
          </w:p>
          <w:p w:rsidR="00FB7F5A" w:rsidRPr="00E1635D" w:rsidRDefault="00FB7F5A" w:rsidP="00C2420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E1635D">
              <w:rPr>
                <w:rFonts w:ascii="Calibri" w:hAnsi="Calibri" w:cs="Calibri"/>
                <w:sz w:val="22"/>
                <w:szCs w:val="22"/>
              </w:rPr>
              <w:t>Neziskové organizácie</w:t>
            </w:r>
          </w:p>
          <w:p w:rsidR="00FB7F5A" w:rsidRPr="00E1635D" w:rsidRDefault="00FB7F5A" w:rsidP="00C2420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E1635D">
              <w:rPr>
                <w:rFonts w:ascii="Calibri" w:hAnsi="Calibri" w:cs="Calibri"/>
                <w:sz w:val="22"/>
                <w:szCs w:val="22"/>
              </w:rPr>
              <w:t>Cirkevné organizácie na území MAS</w:t>
            </w:r>
          </w:p>
        </w:tc>
        <w:tc>
          <w:tcPr>
            <w:tcW w:w="1152" w:type="dxa"/>
            <w:vAlign w:val="center"/>
          </w:tcPr>
          <w:p w:rsidR="00FB7F5A" w:rsidRPr="00E1635D" w:rsidRDefault="00FB7F5A" w:rsidP="00154642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FB7F5A" w:rsidRPr="00E1635D" w:rsidRDefault="00FB7F5A" w:rsidP="00C052D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</w:t>
            </w:r>
            <w:r w:rsidR="00F96FC5">
              <w:rPr>
                <w:rFonts w:asciiTheme="minorHAnsi" w:hAnsiTheme="minorHAnsi"/>
                <w:sz w:val="22"/>
              </w:rPr>
              <w:t>/2020</w:t>
            </w: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:rsidR="00FB7F5A" w:rsidRPr="00E1635D" w:rsidRDefault="00FB7F5A" w:rsidP="00154642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FB7F5A" w:rsidRPr="00E1635D" w:rsidRDefault="00FB7F5A" w:rsidP="00154642">
            <w:pPr>
              <w:jc w:val="center"/>
              <w:rPr>
                <w:rFonts w:asciiTheme="minorHAnsi" w:hAnsiTheme="minorHAnsi"/>
                <w:sz w:val="22"/>
              </w:rPr>
            </w:pPr>
            <w:r w:rsidRPr="00E1635D">
              <w:rPr>
                <w:rFonts w:asciiTheme="minorHAnsi" w:hAnsiTheme="minorHAnsi"/>
                <w:sz w:val="22"/>
              </w:rPr>
              <w:t>33 094,48 Eur</w:t>
            </w:r>
          </w:p>
        </w:tc>
      </w:tr>
    </w:tbl>
    <w:p w:rsidR="009C7008" w:rsidRPr="00E4368A" w:rsidRDefault="009C7008" w:rsidP="000A1E5D">
      <w:pPr>
        <w:rPr>
          <w:rFonts w:asciiTheme="minorHAnsi" w:hAnsiTheme="minorHAnsi"/>
          <w:i/>
          <w:sz w:val="22"/>
        </w:rPr>
      </w:pPr>
    </w:p>
    <w:sectPr w:rsidR="009C7008" w:rsidRPr="00E4368A" w:rsidSect="000A1E5D">
      <w:headerReference w:type="default" r:id="rId9"/>
      <w:footerReference w:type="default" r:id="rId10"/>
      <w:pgSz w:w="16839" w:h="11907" w:orient="landscape" w:code="9"/>
      <w:pgMar w:top="1417" w:right="1417" w:bottom="1417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2E" w:rsidRDefault="00D06F2E" w:rsidP="00C057E2">
      <w:pPr>
        <w:spacing w:after="0" w:line="240" w:lineRule="auto"/>
      </w:pPr>
      <w:r>
        <w:separator/>
      </w:r>
    </w:p>
  </w:endnote>
  <w:endnote w:type="continuationSeparator" w:id="0">
    <w:p w:rsidR="00D06F2E" w:rsidRDefault="00D06F2E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27" w:rsidRDefault="00711E44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5"/>
              <wp:effectExtent l="57150" t="38100" r="57150" b="85725"/>
              <wp:wrapNone/>
              <wp:docPr id="5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9535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19050" t="0" r="0" b="0"/>
          <wp:wrapTight wrapText="bothSides">
            <wp:wrapPolygon edited="0">
              <wp:start x="-584" y="0"/>
              <wp:lineTo x="-584" y="20851"/>
              <wp:lineTo x="21600" y="20851"/>
              <wp:lineTo x="21600" y="0"/>
              <wp:lineTo x="-584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65442E">
          <w:fldChar w:fldCharType="begin"/>
        </w:r>
        <w:r>
          <w:instrText>PAGE   \* MERGEFORMAT</w:instrText>
        </w:r>
        <w:r w:rsidR="0065442E">
          <w:fldChar w:fldCharType="separate"/>
        </w:r>
        <w:r w:rsidR="00F96FC5">
          <w:rPr>
            <w:noProof/>
          </w:rPr>
          <w:t>1</w:t>
        </w:r>
        <w:r w:rsidR="0065442E"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2E" w:rsidRDefault="00D06F2E" w:rsidP="00C057E2">
      <w:pPr>
        <w:spacing w:after="0" w:line="240" w:lineRule="auto"/>
      </w:pPr>
      <w:r>
        <w:separator/>
      </w:r>
    </w:p>
  </w:footnote>
  <w:footnote w:type="continuationSeparator" w:id="0">
    <w:p w:rsidR="00D06F2E" w:rsidRDefault="00D06F2E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4C" w:rsidRDefault="004E0C17" w:rsidP="002C1159">
    <w:pPr>
      <w:pStyle w:val="Hlavika"/>
      <w:tabs>
        <w:tab w:val="clear" w:pos="4536"/>
        <w:tab w:val="clear" w:pos="9072"/>
        <w:tab w:val="left" w:pos="1362"/>
      </w:tabs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6704" behindDoc="1" locked="0" layoutInCell="1" allowOverlap="1" wp14:anchorId="5C8E02FD" wp14:editId="4F158BD6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1" locked="0" layoutInCell="1" allowOverlap="1" wp14:anchorId="08A2681D" wp14:editId="5980CC11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8752" behindDoc="1" locked="0" layoutInCell="1" allowOverlap="1" wp14:anchorId="3D219679" wp14:editId="4C9661D2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1159">
      <w:rPr>
        <w:rFonts w:ascii="Arial Narrow" w:hAnsi="Arial Narrow"/>
        <w:sz w:val="20"/>
      </w:rPr>
      <w:tab/>
    </w:r>
    <w:r w:rsidR="002C1159">
      <w:rPr>
        <w:b/>
        <w:noProof/>
        <w:szCs w:val="24"/>
      </w:rPr>
      <w:drawing>
        <wp:inline distT="0" distB="0" distL="0" distR="0" wp14:anchorId="28CB6D55" wp14:editId="1F2E1D96">
          <wp:extent cx="860425" cy="3784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8F"/>
    <w:multiLevelType w:val="hybridMultilevel"/>
    <w:tmpl w:val="06D45C54"/>
    <w:lvl w:ilvl="0" w:tplc="173CB01E">
      <w:numFmt w:val="bullet"/>
      <w:lvlText w:val="-"/>
      <w:lvlJc w:val="left"/>
      <w:pPr>
        <w:ind w:left="37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05BF10A6"/>
    <w:multiLevelType w:val="hybridMultilevel"/>
    <w:tmpl w:val="72AA8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7BF"/>
    <w:multiLevelType w:val="hybridMultilevel"/>
    <w:tmpl w:val="D78A4818"/>
    <w:lvl w:ilvl="0" w:tplc="B44A03E6">
      <w:start w:val="33"/>
      <w:numFmt w:val="bullet"/>
      <w:lvlText w:val="-"/>
      <w:lvlJc w:val="left"/>
      <w:pPr>
        <w:ind w:left="37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">
    <w:nsid w:val="32441A0F"/>
    <w:multiLevelType w:val="hybridMultilevel"/>
    <w:tmpl w:val="141E0A9E"/>
    <w:lvl w:ilvl="0" w:tplc="CD108E2E">
      <w:start w:val="5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87C40"/>
    <w:multiLevelType w:val="hybridMultilevel"/>
    <w:tmpl w:val="B232D1B2"/>
    <w:lvl w:ilvl="0" w:tplc="1F5208BE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46287"/>
    <w:multiLevelType w:val="hybridMultilevel"/>
    <w:tmpl w:val="BC688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D477B"/>
    <w:multiLevelType w:val="hybridMultilevel"/>
    <w:tmpl w:val="08143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16EF5"/>
    <w:multiLevelType w:val="hybridMultilevel"/>
    <w:tmpl w:val="1E028ABA"/>
    <w:lvl w:ilvl="0" w:tplc="041B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6713048B"/>
    <w:multiLevelType w:val="hybridMultilevel"/>
    <w:tmpl w:val="EF8A2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E1F2E"/>
    <w:multiLevelType w:val="hybridMultilevel"/>
    <w:tmpl w:val="997E1684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CC51985"/>
    <w:multiLevelType w:val="hybridMultilevel"/>
    <w:tmpl w:val="D7FC755E"/>
    <w:lvl w:ilvl="0" w:tplc="7BB660E0">
      <w:start w:val="5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C304B"/>
    <w:multiLevelType w:val="hybridMultilevel"/>
    <w:tmpl w:val="09207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F6DD6"/>
    <w:multiLevelType w:val="hybridMultilevel"/>
    <w:tmpl w:val="D5D28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3"/>
    <w:rsid w:val="000343E2"/>
    <w:rsid w:val="00067140"/>
    <w:rsid w:val="00095F84"/>
    <w:rsid w:val="000A1E5D"/>
    <w:rsid w:val="000B0C58"/>
    <w:rsid w:val="000E7996"/>
    <w:rsid w:val="0010589A"/>
    <w:rsid w:val="00117D56"/>
    <w:rsid w:val="00187F2F"/>
    <w:rsid w:val="0019444C"/>
    <w:rsid w:val="00197281"/>
    <w:rsid w:val="001B20FC"/>
    <w:rsid w:val="001D2BAB"/>
    <w:rsid w:val="00217CEC"/>
    <w:rsid w:val="00242051"/>
    <w:rsid w:val="00290F02"/>
    <w:rsid w:val="00295FD9"/>
    <w:rsid w:val="002A0877"/>
    <w:rsid w:val="002C1159"/>
    <w:rsid w:val="002E02FA"/>
    <w:rsid w:val="002E6DD1"/>
    <w:rsid w:val="00311C83"/>
    <w:rsid w:val="003377A7"/>
    <w:rsid w:val="003632C4"/>
    <w:rsid w:val="0038052C"/>
    <w:rsid w:val="00384025"/>
    <w:rsid w:val="003C7C46"/>
    <w:rsid w:val="003D7508"/>
    <w:rsid w:val="003E6833"/>
    <w:rsid w:val="003E7163"/>
    <w:rsid w:val="003F58FE"/>
    <w:rsid w:val="00413B16"/>
    <w:rsid w:val="00454F56"/>
    <w:rsid w:val="004A4454"/>
    <w:rsid w:val="004E0C17"/>
    <w:rsid w:val="004E4086"/>
    <w:rsid w:val="004F14C3"/>
    <w:rsid w:val="0050129E"/>
    <w:rsid w:val="0051025E"/>
    <w:rsid w:val="005154E6"/>
    <w:rsid w:val="00541A9B"/>
    <w:rsid w:val="00567256"/>
    <w:rsid w:val="006300A5"/>
    <w:rsid w:val="0065442E"/>
    <w:rsid w:val="0069646F"/>
    <w:rsid w:val="006A743B"/>
    <w:rsid w:val="006B7927"/>
    <w:rsid w:val="006C4EE8"/>
    <w:rsid w:val="006F1BA0"/>
    <w:rsid w:val="007005F5"/>
    <w:rsid w:val="00703517"/>
    <w:rsid w:val="0070774B"/>
    <w:rsid w:val="00711E44"/>
    <w:rsid w:val="0079366E"/>
    <w:rsid w:val="007D08A9"/>
    <w:rsid w:val="007F08EA"/>
    <w:rsid w:val="008334F9"/>
    <w:rsid w:val="00836AC8"/>
    <w:rsid w:val="00855045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0F2E"/>
    <w:rsid w:val="00B41A8E"/>
    <w:rsid w:val="00B67CCB"/>
    <w:rsid w:val="00B71126"/>
    <w:rsid w:val="00BA5823"/>
    <w:rsid w:val="00BE44C3"/>
    <w:rsid w:val="00BE75A4"/>
    <w:rsid w:val="00BF1E73"/>
    <w:rsid w:val="00C052DA"/>
    <w:rsid w:val="00C057E2"/>
    <w:rsid w:val="00C15469"/>
    <w:rsid w:val="00C24203"/>
    <w:rsid w:val="00C35B10"/>
    <w:rsid w:val="00C43EE3"/>
    <w:rsid w:val="00C80451"/>
    <w:rsid w:val="00C87366"/>
    <w:rsid w:val="00CB4492"/>
    <w:rsid w:val="00CD44D3"/>
    <w:rsid w:val="00D04DA3"/>
    <w:rsid w:val="00D06F2E"/>
    <w:rsid w:val="00D44A22"/>
    <w:rsid w:val="00D61E17"/>
    <w:rsid w:val="00D62C3C"/>
    <w:rsid w:val="00D873FA"/>
    <w:rsid w:val="00E1635D"/>
    <w:rsid w:val="00E4368A"/>
    <w:rsid w:val="00E85D90"/>
    <w:rsid w:val="00E866FD"/>
    <w:rsid w:val="00EB0013"/>
    <w:rsid w:val="00EB0C73"/>
    <w:rsid w:val="00F26A4E"/>
    <w:rsid w:val="00F45D88"/>
    <w:rsid w:val="00F96FC5"/>
    <w:rsid w:val="00FB1EA7"/>
    <w:rsid w:val="00FB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B40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40F2E"/>
    <w:pPr>
      <w:ind w:left="720"/>
      <w:contextualSpacing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102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cs-CZ"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1025E"/>
    <w:rPr>
      <w:rFonts w:ascii="Arial" w:eastAsia="Times New Roman" w:hAnsi="Arial" w:cs="Times New Roman"/>
      <w:vanish/>
      <w:sz w:val="16"/>
      <w:szCs w:val="16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0A1E5D"/>
    <w:rPr>
      <w:rFonts w:ascii="Times New Roman" w:eastAsiaTheme="minorEastAsia" w:hAnsi="Times New Roman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B40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40F2E"/>
    <w:pPr>
      <w:ind w:left="720"/>
      <w:contextualSpacing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102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cs-CZ"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1025E"/>
    <w:rPr>
      <w:rFonts w:ascii="Arial" w:eastAsia="Times New Roman" w:hAnsi="Arial" w:cs="Times New Roman"/>
      <w:vanish/>
      <w:sz w:val="16"/>
      <w:szCs w:val="16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0A1E5D"/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9E87-D46A-4706-AC8E-07DF390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Rudohorie1</cp:lastModifiedBy>
  <cp:revision>7</cp:revision>
  <cp:lastPrinted>2019-09-24T13:53:00Z</cp:lastPrinted>
  <dcterms:created xsi:type="dcterms:W3CDTF">2019-07-29T10:49:00Z</dcterms:created>
  <dcterms:modified xsi:type="dcterms:W3CDTF">2019-10-02T08:25:00Z</dcterms:modified>
</cp:coreProperties>
</file>