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bookmarkStart w:id="0" w:name="_GoBack"/>
      <w:bookmarkEnd w:id="0"/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451801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451801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451801" w:rsidRPr="00451801">
        <w:rPr>
          <w:rFonts w:asciiTheme="minorHAnsi" w:hAnsiTheme="minorHAnsi"/>
          <w:i/>
          <w:sz w:val="22"/>
        </w:rPr>
        <w:t>STRATÉGIA MIESTNEHO ROZVOJA VEDENÉHO KOMUNITOU MAS SLANSKÉ VRCHY – TOPĽA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451801" w:rsidRPr="00451801">
        <w:rPr>
          <w:rFonts w:asciiTheme="minorHAnsi" w:hAnsiTheme="minorHAnsi"/>
          <w:i/>
          <w:sz w:val="22"/>
        </w:rPr>
        <w:t>Miestna akčná skupina Slanské vrchy – Topľa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451801" w:rsidRPr="00627D78">
        <w:rPr>
          <w:rFonts w:asciiTheme="minorHAnsi" w:hAnsiTheme="minorHAnsi"/>
          <w:i/>
          <w:iCs/>
          <w:sz w:val="22"/>
        </w:rPr>
        <w:t>07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451801">
        <w:rPr>
          <w:rFonts w:asciiTheme="minorHAnsi" w:hAnsiTheme="minorHAnsi"/>
          <w:i/>
          <w:sz w:val="22"/>
        </w:rPr>
        <w:t>10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451801">
        <w:rPr>
          <w:rFonts w:asciiTheme="minorHAnsi" w:hAnsiTheme="minorHAnsi"/>
          <w:i/>
          <w:sz w:val="22"/>
        </w:rPr>
        <w:t>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451801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109"/>
        <w:gridCol w:w="1048"/>
        <w:gridCol w:w="1542"/>
        <w:gridCol w:w="1946"/>
        <w:gridCol w:w="1604"/>
      </w:tblGrid>
      <w:tr w:rsidR="003E7163" w:rsidRPr="00E4368A" w:rsidTr="00734EB4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109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04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946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60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734EB4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6A5AE9" w:rsidP="00E4368A">
            <w:pPr>
              <w:rPr>
                <w:rFonts w:asciiTheme="minorHAnsi" w:hAnsiTheme="minorHAnsi"/>
                <w:sz w:val="22"/>
              </w:rPr>
            </w:pPr>
            <w:r w:rsidRPr="006A5AE9">
              <w:rPr>
                <w:rFonts w:asciiTheme="minorHAnsi" w:hAnsiTheme="minorHAnsi"/>
                <w:sz w:val="22"/>
              </w:rPr>
              <w:t xml:space="preserve"> 5.1.1 Zvýšenie zamestnanosti na miestnej úrovni podporou podnikania a </w:t>
            </w:r>
            <w:r w:rsidRPr="006A5AE9">
              <w:rPr>
                <w:rFonts w:asciiTheme="minorHAnsi" w:hAnsiTheme="minorHAnsi"/>
                <w:sz w:val="22"/>
              </w:rPr>
              <w:lastRenderedPageBreak/>
              <w:t>inovácií</w:t>
            </w:r>
          </w:p>
        </w:tc>
        <w:tc>
          <w:tcPr>
            <w:tcW w:w="2144" w:type="dxa"/>
          </w:tcPr>
          <w:p w:rsidR="003E7163" w:rsidRPr="00E4368A" w:rsidRDefault="00AE7FBE" w:rsidP="00E4368A">
            <w:pPr>
              <w:rPr>
                <w:rFonts w:asciiTheme="minorHAnsi" w:hAnsiTheme="minorHAnsi"/>
                <w:sz w:val="22"/>
              </w:rPr>
            </w:pPr>
            <w:r w:rsidRPr="00AE7FBE">
              <w:rPr>
                <w:rFonts w:asciiTheme="minorHAnsi" w:hAnsiTheme="minorHAnsi"/>
                <w:sz w:val="22"/>
              </w:rPr>
              <w:lastRenderedPageBreak/>
              <w:t>A1 Podpora podnikania a inovácií</w:t>
            </w:r>
          </w:p>
        </w:tc>
        <w:tc>
          <w:tcPr>
            <w:tcW w:w="2109" w:type="dxa"/>
            <w:vAlign w:val="center"/>
          </w:tcPr>
          <w:p w:rsidR="00AE7FBE" w:rsidRPr="00AE7FBE" w:rsidRDefault="00AE7FBE" w:rsidP="00AE7FBE">
            <w:pPr>
              <w:jc w:val="center"/>
              <w:rPr>
                <w:rFonts w:asciiTheme="minorHAnsi" w:hAnsiTheme="minorHAnsi"/>
                <w:sz w:val="22"/>
              </w:rPr>
            </w:pPr>
            <w:r w:rsidRPr="00AE7FBE">
              <w:rPr>
                <w:rFonts w:asciiTheme="minorHAnsi" w:hAnsiTheme="minorHAnsi"/>
                <w:sz w:val="22"/>
              </w:rPr>
              <w:t xml:space="preserve">- samostatne zárobkovo činné osoby, okrem tých, ktoré sú oprávnenými </w:t>
            </w:r>
            <w:r w:rsidRPr="00AE7FBE">
              <w:rPr>
                <w:rFonts w:asciiTheme="minorHAnsi" w:hAnsiTheme="minorHAnsi"/>
                <w:sz w:val="22"/>
              </w:rPr>
              <w:lastRenderedPageBreak/>
              <w:t xml:space="preserve">prijímateľmi z PRV v opatrení LEADER a oprávnenými prijímateľmi z OP RH </w:t>
            </w:r>
          </w:p>
          <w:p w:rsidR="003E7163" w:rsidRPr="00E4368A" w:rsidRDefault="00AE7FBE" w:rsidP="00AE7FBE">
            <w:pPr>
              <w:jc w:val="center"/>
              <w:rPr>
                <w:rFonts w:asciiTheme="minorHAnsi" w:hAnsiTheme="minorHAnsi"/>
                <w:sz w:val="22"/>
              </w:rPr>
            </w:pPr>
            <w:r w:rsidRPr="00AE7FBE">
              <w:rPr>
                <w:rFonts w:asciiTheme="minorHAnsi" w:hAnsiTheme="minorHAnsi"/>
                <w:sz w:val="22"/>
              </w:rPr>
              <w:t xml:space="preserve">- </w:t>
            </w:r>
            <w:proofErr w:type="spellStart"/>
            <w:r w:rsidRPr="00AE7FBE">
              <w:rPr>
                <w:rFonts w:asciiTheme="minorHAnsi" w:hAnsiTheme="minorHAnsi"/>
                <w:sz w:val="22"/>
              </w:rPr>
              <w:t>mikro</w:t>
            </w:r>
            <w:proofErr w:type="spellEnd"/>
            <w:r w:rsidRPr="00AE7FBE">
              <w:rPr>
                <w:rFonts w:asciiTheme="minorHAnsi" w:hAnsiTheme="minorHAnsi"/>
                <w:sz w:val="22"/>
              </w:rPr>
              <w:t xml:space="preserve"> a malé podniky do 49 zamestnancov, okrem tých, ktoré sú oprávnenými prijímateľmi z PRV v opatrení LEADER a oprávnenými prijímateľmi z OP RH</w:t>
            </w:r>
          </w:p>
        </w:tc>
        <w:tc>
          <w:tcPr>
            <w:tcW w:w="1048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6A5AE9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</w:t>
            </w:r>
            <w:r w:rsidR="003E7163" w:rsidRPr="00217CEC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946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604" w:type="dxa"/>
            <w:vAlign w:val="center"/>
          </w:tcPr>
          <w:p w:rsidR="003E7163" w:rsidRPr="00E4368A" w:rsidRDefault="00AE7FBE" w:rsidP="00AE7FBE">
            <w:pPr>
              <w:jc w:val="center"/>
              <w:rPr>
                <w:rFonts w:asciiTheme="minorHAnsi" w:hAnsiTheme="minorHAnsi"/>
                <w:sz w:val="22"/>
              </w:rPr>
            </w:pPr>
            <w:r w:rsidRPr="00AE7FBE">
              <w:rPr>
                <w:rFonts w:asciiTheme="minorHAnsi" w:hAnsiTheme="minorHAnsi"/>
                <w:sz w:val="22"/>
              </w:rPr>
              <w:t>624 000</w:t>
            </w:r>
          </w:p>
        </w:tc>
      </w:tr>
      <w:tr w:rsidR="00AE7FBE" w:rsidRPr="00E4368A" w:rsidTr="00734EB4">
        <w:trPr>
          <w:trHeight w:val="252"/>
          <w:jc w:val="center"/>
        </w:trPr>
        <w:tc>
          <w:tcPr>
            <w:tcW w:w="2058" w:type="dxa"/>
          </w:tcPr>
          <w:p w:rsidR="00AE7FBE" w:rsidRPr="00E4368A" w:rsidRDefault="00AE7FBE" w:rsidP="00AE7FBE">
            <w:pPr>
              <w:rPr>
                <w:rFonts w:asciiTheme="minorHAnsi" w:hAnsiTheme="minorHAnsi"/>
                <w:sz w:val="22"/>
              </w:rPr>
            </w:pPr>
            <w:r w:rsidRPr="00AE7FBE">
              <w:rPr>
                <w:rFonts w:asciiTheme="minorHAnsi" w:hAnsiTheme="minorHAnsi"/>
                <w:sz w:val="22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AE7FBE" w:rsidRPr="00E4368A" w:rsidRDefault="00A64867" w:rsidP="00AE7FBE">
            <w:pPr>
              <w:rPr>
                <w:rFonts w:asciiTheme="minorHAnsi" w:hAnsiTheme="minorHAnsi"/>
                <w:sz w:val="22"/>
              </w:rPr>
            </w:pPr>
            <w:r w:rsidRPr="00A64867">
              <w:rPr>
                <w:rFonts w:asciiTheme="minorHAnsi" w:hAnsiTheme="minorHAnsi"/>
                <w:sz w:val="22"/>
              </w:rPr>
              <w:t>D2 Skvalitnenie a rozšírenie kapacít predškolských zariadení</w:t>
            </w:r>
          </w:p>
        </w:tc>
        <w:tc>
          <w:tcPr>
            <w:tcW w:w="2109" w:type="dxa"/>
          </w:tcPr>
          <w:p w:rsidR="00AE7FBE" w:rsidRPr="00AE7FBE" w:rsidRDefault="00AE7FBE" w:rsidP="00AE7FBE">
            <w:pPr>
              <w:rPr>
                <w:rFonts w:asciiTheme="minorHAnsi" w:hAnsiTheme="minorHAnsi"/>
                <w:sz w:val="22"/>
              </w:rPr>
            </w:pPr>
            <w:r w:rsidRPr="00AE7FBE">
              <w:rPr>
                <w:rFonts w:asciiTheme="minorHAnsi" w:hAnsiTheme="minorHAnsi"/>
                <w:sz w:val="22"/>
              </w:rPr>
              <w:t>Obce / mestá (</w:t>
            </w:r>
            <w:proofErr w:type="spellStart"/>
            <w:r w:rsidRPr="00AE7FBE">
              <w:rPr>
                <w:rFonts w:asciiTheme="minorHAnsi" w:hAnsiTheme="minorHAnsi"/>
                <w:sz w:val="22"/>
              </w:rPr>
              <w:t>zriadovatelia</w:t>
            </w:r>
            <w:proofErr w:type="spellEnd"/>
            <w:r w:rsidRPr="00AE7FBE">
              <w:rPr>
                <w:rFonts w:asciiTheme="minorHAnsi" w:hAnsiTheme="minorHAnsi"/>
                <w:sz w:val="22"/>
              </w:rPr>
              <w:t xml:space="preserve"> / zakladatelia škôl) na území MAS</w:t>
            </w:r>
          </w:p>
          <w:p w:rsidR="00AE7FBE" w:rsidRPr="00E4368A" w:rsidRDefault="00AE7FBE" w:rsidP="00AE7FB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48" w:type="dxa"/>
          </w:tcPr>
          <w:p w:rsidR="00AE7FBE" w:rsidRPr="00AE7FBE" w:rsidRDefault="00AE7FBE" w:rsidP="00AE7F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E7FBE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542" w:type="dxa"/>
          </w:tcPr>
          <w:p w:rsidR="00AE7FBE" w:rsidRPr="00AE7FBE" w:rsidRDefault="00AE7FBE" w:rsidP="00AE7F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E7FBE">
              <w:rPr>
                <w:rFonts w:asciiTheme="minorHAnsi" w:hAnsiTheme="minorHAnsi" w:cstheme="minorHAnsi"/>
                <w:sz w:val="22"/>
              </w:rPr>
              <w:t>12/2020</w:t>
            </w:r>
          </w:p>
        </w:tc>
        <w:tc>
          <w:tcPr>
            <w:tcW w:w="1946" w:type="dxa"/>
          </w:tcPr>
          <w:p w:rsidR="00AE7FBE" w:rsidRPr="00AE7FBE" w:rsidRDefault="00AE7FBE" w:rsidP="00AE7F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E7FBE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604" w:type="dxa"/>
          </w:tcPr>
          <w:p w:rsidR="00AE7FBE" w:rsidRPr="00E4368A" w:rsidRDefault="00AE7FBE" w:rsidP="00AE7FBE">
            <w:pPr>
              <w:jc w:val="center"/>
              <w:rPr>
                <w:rFonts w:asciiTheme="minorHAnsi" w:hAnsiTheme="minorHAnsi"/>
                <w:sz w:val="22"/>
              </w:rPr>
            </w:pPr>
            <w:r w:rsidRPr="00AE7FBE">
              <w:rPr>
                <w:rFonts w:asciiTheme="minorHAnsi" w:hAnsiTheme="minorHAnsi"/>
                <w:sz w:val="22"/>
              </w:rPr>
              <w:t>186 000</w:t>
            </w:r>
          </w:p>
        </w:tc>
      </w:tr>
    </w:tbl>
    <w:p w:rsidR="009C7008" w:rsidRDefault="009C7008" w:rsidP="00E4368A">
      <w:pPr>
        <w:rPr>
          <w:rFonts w:asciiTheme="minorHAnsi" w:hAnsiTheme="minorHAnsi"/>
          <w:i/>
          <w:sz w:val="22"/>
        </w:rPr>
      </w:pPr>
    </w:p>
    <w:p w:rsidR="00734EB4" w:rsidRDefault="00734EB4" w:rsidP="00E4368A">
      <w:pPr>
        <w:rPr>
          <w:rFonts w:asciiTheme="minorHAnsi" w:hAnsiTheme="minorHAnsi"/>
          <w:i/>
          <w:sz w:val="22"/>
        </w:rPr>
      </w:pPr>
    </w:p>
    <w:sectPr w:rsidR="00734EB4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18" w:rsidRDefault="00981818" w:rsidP="00C057E2">
      <w:pPr>
        <w:spacing w:after="0" w:line="240" w:lineRule="auto"/>
      </w:pPr>
      <w:r>
        <w:separator/>
      </w:r>
    </w:p>
  </w:endnote>
  <w:end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C9338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18" w:rsidRDefault="00981818" w:rsidP="00C057E2">
      <w:pPr>
        <w:spacing w:after="0" w:line="240" w:lineRule="auto"/>
      </w:pPr>
      <w:r>
        <w:separator/>
      </w:r>
    </w:p>
  </w:footnote>
  <w:foot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4E0C1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EF1C8F" wp14:editId="4C275478">
              <wp:simplePos x="0" y="0"/>
              <wp:positionH relativeFrom="column">
                <wp:posOffset>71755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B16" w:rsidRPr="00CC6608" w:rsidRDefault="006A5AE9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4670" cy="335280"/>
                                <wp:effectExtent l="0" t="0" r="0" b="7620"/>
                                <wp:docPr id="7" name="Obrázo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67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C6608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13B16" w:rsidRPr="00CC6608">
                            <w:rPr>
                              <w:color w:val="000000" w:themeColor="text1"/>
                            </w:rPr>
                            <w:t>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EF1C8F" id="Zaoblený obdĺžnik 15" o:spid="_x0000_s1026" style="position:absolute;margin-left:5.65pt;margin-top:-7.65pt;width:78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Bbzvjt0AAAAJ&#10;AQAADwAAAAAAAAAAAAAAAAAOBQAAZHJzL2Rvd25yZXYueG1sUEsFBgAAAAAEAAQA8wAAABgGAAAA&#10;AA==&#10;" filled="f" strokecolor="black [3213]" strokeweight=".25pt">
              <v:textbox>
                <w:txbxContent>
                  <w:p w:rsidR="00413B16" w:rsidRPr="00CC6608" w:rsidRDefault="006A5AE9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34670" cy="335280"/>
                          <wp:effectExtent l="0" t="0" r="0" b="7620"/>
                          <wp:docPr id="7" name="Obrázo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7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C6608">
                      <w:rPr>
                        <w:color w:val="000000" w:themeColor="text1"/>
                      </w:rPr>
                      <w:t xml:space="preserve"> </w:t>
                    </w:r>
                    <w:r w:rsidR="00413B16" w:rsidRPr="00CC6608">
                      <w:rPr>
                        <w:color w:val="000000" w:themeColor="text1"/>
                      </w:rPr>
                      <w:t>o MAS</w:t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7CEC"/>
    <w:rsid w:val="00242051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51801"/>
    <w:rsid w:val="00454F56"/>
    <w:rsid w:val="004E0C17"/>
    <w:rsid w:val="004E4086"/>
    <w:rsid w:val="0050129E"/>
    <w:rsid w:val="005154E6"/>
    <w:rsid w:val="00627D78"/>
    <w:rsid w:val="006300A5"/>
    <w:rsid w:val="0069646F"/>
    <w:rsid w:val="006A5AE9"/>
    <w:rsid w:val="006B7927"/>
    <w:rsid w:val="006F1BA0"/>
    <w:rsid w:val="0070774B"/>
    <w:rsid w:val="00734EB4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64867"/>
    <w:rsid w:val="00A9035D"/>
    <w:rsid w:val="00AC6266"/>
    <w:rsid w:val="00AE7FBE"/>
    <w:rsid w:val="00B41A8E"/>
    <w:rsid w:val="00B67CCB"/>
    <w:rsid w:val="00BA5823"/>
    <w:rsid w:val="00BE75A4"/>
    <w:rsid w:val="00BF1E73"/>
    <w:rsid w:val="00BF6A1E"/>
    <w:rsid w:val="00C057E2"/>
    <w:rsid w:val="00C35B10"/>
    <w:rsid w:val="00C43EE3"/>
    <w:rsid w:val="00CB4492"/>
    <w:rsid w:val="00D04DA3"/>
    <w:rsid w:val="00D61E17"/>
    <w:rsid w:val="00D62C3C"/>
    <w:rsid w:val="00D873FA"/>
    <w:rsid w:val="00E4368A"/>
    <w:rsid w:val="00E85D90"/>
    <w:rsid w:val="00E866FD"/>
    <w:rsid w:val="00F261A1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246F9E-A941-45B7-815E-63C977E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DB10-3D29-4AB9-A19B-B1D1EFF0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Manazer Financny</dc:creator>
  <cp:keywords/>
  <dc:description/>
  <cp:lastModifiedBy>Manazer Financny</cp:lastModifiedBy>
  <cp:revision>3</cp:revision>
  <cp:lastPrinted>2019-10-07T12:02:00Z</cp:lastPrinted>
  <dcterms:created xsi:type="dcterms:W3CDTF">2019-10-08T13:44:00Z</dcterms:created>
  <dcterms:modified xsi:type="dcterms:W3CDTF">2019-10-14T08:07:00Z</dcterms:modified>
</cp:coreProperties>
</file>