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5389" w14:textId="77777777" w:rsidR="00F363E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3904B2CB" w14:textId="77777777" w:rsidR="00F363E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044BF1B0" w14:textId="77777777" w:rsidR="00F363EA" w:rsidRPr="00E4368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>Indikatívny harmonogram výziev na predkladanie žiadostí o 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70839B8A" w14:textId="5A5ABC23" w:rsidR="00F363E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január </w:t>
      </w:r>
      <w:r w:rsidR="00890C9A">
        <w:rPr>
          <w:rFonts w:asciiTheme="minorHAnsi" w:hAnsiTheme="minorHAnsi"/>
          <w:b/>
          <w:i/>
          <w:sz w:val="22"/>
        </w:rPr>
        <w:t>20</w:t>
      </w:r>
      <w:r w:rsidR="002F6737">
        <w:rPr>
          <w:rFonts w:asciiTheme="minorHAnsi" w:hAnsiTheme="minorHAnsi"/>
          <w:b/>
          <w:i/>
          <w:sz w:val="22"/>
        </w:rPr>
        <w:t>20</w:t>
      </w:r>
      <w:r w:rsidR="00890C9A">
        <w:rPr>
          <w:rFonts w:asciiTheme="minorHAnsi" w:hAnsiTheme="minorHAnsi"/>
          <w:b/>
          <w:i/>
          <w:sz w:val="22"/>
        </w:rPr>
        <w:t xml:space="preserve"> </w:t>
      </w:r>
      <w:r w:rsidRPr="00E4368A">
        <w:rPr>
          <w:rFonts w:asciiTheme="minorHAnsi" w:hAnsiTheme="minorHAnsi"/>
          <w:b/>
          <w:i/>
          <w:sz w:val="22"/>
        </w:rPr>
        <w:t xml:space="preserve"> až december </w:t>
      </w:r>
      <w:r w:rsidR="00890C9A">
        <w:rPr>
          <w:rFonts w:asciiTheme="minorHAnsi" w:hAnsiTheme="minorHAnsi"/>
          <w:b/>
          <w:i/>
          <w:sz w:val="22"/>
        </w:rPr>
        <w:t>20</w:t>
      </w:r>
      <w:r w:rsidR="002F6737">
        <w:rPr>
          <w:rFonts w:asciiTheme="minorHAnsi" w:hAnsiTheme="minorHAnsi"/>
          <w:b/>
          <w:i/>
          <w:sz w:val="22"/>
        </w:rPr>
        <w:t>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6B56DEEC" w14:textId="77777777" w:rsidR="00F12EA2" w:rsidRDefault="00F12EA2" w:rsidP="00F363EA">
      <w:pPr>
        <w:spacing w:after="0"/>
        <w:jc w:val="center"/>
        <w:rPr>
          <w:rFonts w:asciiTheme="minorHAnsi" w:hAnsiTheme="minorHAnsi"/>
          <w:b/>
          <w:i/>
          <w:color w:val="FF0000"/>
          <w:sz w:val="22"/>
        </w:rPr>
      </w:pPr>
    </w:p>
    <w:p w14:paraId="65F073C3" w14:textId="42315D75" w:rsidR="00F12EA2" w:rsidRPr="00F12EA2" w:rsidRDefault="00F12EA2" w:rsidP="00F363EA">
      <w:pPr>
        <w:spacing w:after="0"/>
        <w:jc w:val="center"/>
        <w:rPr>
          <w:rFonts w:asciiTheme="minorHAnsi" w:hAnsiTheme="minorHAnsi"/>
          <w:b/>
          <w:i/>
          <w:color w:val="FF0000"/>
          <w:sz w:val="22"/>
        </w:rPr>
      </w:pPr>
      <w:r w:rsidRPr="00F12EA2">
        <w:rPr>
          <w:rFonts w:asciiTheme="minorHAnsi" w:hAnsiTheme="minorHAnsi"/>
          <w:b/>
          <w:i/>
          <w:color w:val="FF0000"/>
          <w:sz w:val="22"/>
        </w:rPr>
        <w:t>Aktualizácia</w:t>
      </w:r>
      <w:r w:rsidR="00860B28">
        <w:rPr>
          <w:rFonts w:asciiTheme="minorHAnsi" w:hAnsiTheme="minorHAnsi"/>
          <w:b/>
          <w:i/>
          <w:color w:val="FF0000"/>
          <w:sz w:val="22"/>
        </w:rPr>
        <w:t xml:space="preserve"> č. 2</w:t>
      </w:r>
    </w:p>
    <w:p w14:paraId="03F2FC97" w14:textId="77777777" w:rsidR="00F363EA" w:rsidRPr="00E4368A" w:rsidRDefault="00F363EA" w:rsidP="00F363E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1BD0DF49" w14:textId="77777777" w:rsidR="00F363EA" w:rsidRPr="00E4368A" w:rsidRDefault="00F363EA" w:rsidP="001C36C5">
      <w:pPr>
        <w:tabs>
          <w:tab w:val="left" w:pos="4253"/>
          <w:tab w:val="left" w:pos="11070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Pr="00E4368A">
        <w:rPr>
          <w:rFonts w:asciiTheme="minorHAnsi" w:hAnsiTheme="minorHAnsi"/>
          <w:sz w:val="22"/>
        </w:rPr>
        <w:tab/>
        <w:t>Integrovaný regionálny operačný program</w:t>
      </w:r>
      <w:r w:rsidR="001C36C5">
        <w:rPr>
          <w:rFonts w:asciiTheme="minorHAnsi" w:hAnsiTheme="minorHAnsi"/>
          <w:sz w:val="22"/>
        </w:rPr>
        <w:tab/>
      </w:r>
    </w:p>
    <w:p w14:paraId="3712B05D" w14:textId="77777777"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6304A624" w14:textId="77777777"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4466A26C" w14:textId="77777777"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3071DFED" w14:textId="77777777"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>
        <w:rPr>
          <w:rFonts w:asciiTheme="minorHAnsi" w:hAnsiTheme="minorHAnsi"/>
          <w:sz w:val="22"/>
        </w:rPr>
        <w:tab/>
      </w:r>
      <w:r w:rsidR="00890C9A">
        <w:rPr>
          <w:rFonts w:asciiTheme="minorHAnsi" w:hAnsiTheme="minorHAnsi"/>
          <w:i/>
          <w:sz w:val="22"/>
        </w:rPr>
        <w:t xml:space="preserve">Stratégia miestneho rozvoja vedeného komunitou Miestnej akčnej skupiny CEDRON – NITRAVA </w:t>
      </w:r>
    </w:p>
    <w:p w14:paraId="1BA86702" w14:textId="77777777"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26847E63" w14:textId="77777777"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MAS:</w:t>
      </w:r>
      <w:r w:rsidRPr="00E4368A">
        <w:rPr>
          <w:rFonts w:asciiTheme="minorHAnsi" w:hAnsiTheme="minorHAnsi"/>
          <w:sz w:val="22"/>
        </w:rPr>
        <w:tab/>
      </w:r>
      <w:r w:rsidR="00890C9A">
        <w:rPr>
          <w:rFonts w:asciiTheme="minorHAnsi" w:hAnsiTheme="minorHAnsi"/>
          <w:i/>
          <w:sz w:val="22"/>
        </w:rPr>
        <w:t>Miestna akčná skupina CEDRON - NITRAVA</w:t>
      </w:r>
    </w:p>
    <w:p w14:paraId="43F15A75" w14:textId="77777777"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1D2800B7" w14:textId="261B35FD"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BD7EEB">
        <w:rPr>
          <w:rFonts w:asciiTheme="minorHAnsi" w:hAnsiTheme="minorHAnsi"/>
          <w:i/>
          <w:sz w:val="22"/>
        </w:rPr>
        <w:t>18</w:t>
      </w:r>
      <w:r w:rsidR="00F12EA2">
        <w:rPr>
          <w:rFonts w:asciiTheme="minorHAnsi" w:hAnsiTheme="minorHAnsi"/>
          <w:i/>
          <w:sz w:val="22"/>
        </w:rPr>
        <w:t>.06</w:t>
      </w:r>
      <w:r w:rsidR="002D22E7">
        <w:rPr>
          <w:rFonts w:asciiTheme="minorHAnsi" w:hAnsiTheme="minorHAnsi"/>
          <w:i/>
          <w:sz w:val="22"/>
        </w:rPr>
        <w:t>.20</w:t>
      </w:r>
      <w:r w:rsidR="004E4FB1">
        <w:rPr>
          <w:rFonts w:asciiTheme="minorHAnsi" w:hAnsiTheme="minorHAnsi"/>
          <w:i/>
          <w:sz w:val="22"/>
        </w:rPr>
        <w:t>20</w:t>
      </w:r>
    </w:p>
    <w:p w14:paraId="22B02787" w14:textId="77777777" w:rsidR="00557C9F" w:rsidRDefault="00557C9F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5AE91E9D" w14:textId="75ED6E61" w:rsidR="00F363EA" w:rsidRPr="00E4368A" w:rsidRDefault="00F363EA" w:rsidP="00F363E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Pr="00E4368A">
        <w:rPr>
          <w:rFonts w:asciiTheme="minorHAnsi" w:hAnsiTheme="minorHAnsi"/>
          <w:sz w:val="22"/>
        </w:rPr>
        <w:tab/>
      </w:r>
      <w:r w:rsidR="00A1424B">
        <w:rPr>
          <w:rFonts w:asciiTheme="minorHAnsi" w:hAnsiTheme="minorHAnsi"/>
          <w:sz w:val="22"/>
        </w:rPr>
        <w:t>1</w:t>
      </w:r>
      <w:r w:rsidR="00890C9A">
        <w:rPr>
          <w:rFonts w:asciiTheme="minorHAnsi" w:hAnsiTheme="minorHAnsi"/>
          <w:sz w:val="22"/>
        </w:rPr>
        <w:t>.</w:t>
      </w:r>
      <w:r w:rsidR="00F12EA2">
        <w:rPr>
          <w:rFonts w:asciiTheme="minorHAnsi" w:hAnsiTheme="minorHAnsi"/>
          <w:sz w:val="22"/>
        </w:rPr>
        <w:t>2</w:t>
      </w:r>
    </w:p>
    <w:p w14:paraId="3C484C32" w14:textId="77777777" w:rsidR="00F363EA" w:rsidRDefault="00F363EA" w:rsidP="00F363EA">
      <w:pPr>
        <w:spacing w:after="0"/>
        <w:rPr>
          <w:rFonts w:asciiTheme="minorHAnsi" w:hAnsiTheme="minorHAnsi"/>
          <w:sz w:val="22"/>
        </w:rPr>
      </w:pPr>
    </w:p>
    <w:p w14:paraId="3C9FE7DE" w14:textId="77777777" w:rsidR="004358BC" w:rsidRDefault="004358BC" w:rsidP="00F363EA">
      <w:pPr>
        <w:spacing w:after="0"/>
        <w:rPr>
          <w:rFonts w:asciiTheme="minorHAnsi" w:hAnsiTheme="minorHAnsi"/>
          <w:sz w:val="22"/>
        </w:rPr>
      </w:pPr>
    </w:p>
    <w:p w14:paraId="5D8EF0FC" w14:textId="77777777" w:rsidR="004358BC" w:rsidRDefault="004358BC" w:rsidP="00F363EA">
      <w:pPr>
        <w:spacing w:after="0"/>
        <w:rPr>
          <w:rFonts w:asciiTheme="minorHAnsi" w:hAnsiTheme="minorHAnsi"/>
          <w:sz w:val="22"/>
        </w:rPr>
      </w:pPr>
    </w:p>
    <w:p w14:paraId="4FBFDC5F" w14:textId="77777777" w:rsidR="004358BC" w:rsidRPr="00E4368A" w:rsidRDefault="004358BC" w:rsidP="00F363EA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F363EA" w:rsidRPr="00E4368A" w14:paraId="7A290AAB" w14:textId="77777777" w:rsidTr="00704E23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0E7606C6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60EEA0BC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14:paraId="3D993F16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3B161352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14:paraId="58F012F2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0D13A5CF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45CCAC26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57F4FF40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14:paraId="6CF12518" w14:textId="77777777" w:rsidR="00F363EA" w:rsidRPr="00E4368A" w:rsidRDefault="00F363EA" w:rsidP="00704E2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F12EA2" w:rsidRPr="00F12EA2" w14:paraId="12D4FA72" w14:textId="77777777" w:rsidTr="00867FFA">
        <w:trPr>
          <w:trHeight w:val="566"/>
          <w:jc w:val="center"/>
        </w:trPr>
        <w:tc>
          <w:tcPr>
            <w:tcW w:w="2058" w:type="dxa"/>
          </w:tcPr>
          <w:p w14:paraId="7CD2B21B" w14:textId="039DC5C0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5.1.2. Zlepšenie udržateľnosti vzťahov medzi vidieckymi rozvojovými centrami a ich zázemím vo verejných službách a vo verejných infraštruktúrach </w:t>
            </w:r>
          </w:p>
        </w:tc>
        <w:tc>
          <w:tcPr>
            <w:tcW w:w="2144" w:type="dxa"/>
          </w:tcPr>
          <w:p w14:paraId="3A07B3FD" w14:textId="31A1E7EF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B2 Zvyšovanie bezpečnosti a dostupnosti sídiel</w:t>
            </w:r>
          </w:p>
        </w:tc>
        <w:tc>
          <w:tcPr>
            <w:tcW w:w="1786" w:type="dxa"/>
          </w:tcPr>
          <w:p w14:paraId="5490C641" w14:textId="438F481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Obce, mestá do 20 000 obyvateľov. </w:t>
            </w:r>
            <w:r w:rsidR="00BD7EEB" w:rsidRPr="00BD7EEB">
              <w:rPr>
                <w:rFonts w:cs="Times New Roman"/>
                <w:szCs w:val="24"/>
              </w:rPr>
              <w:t xml:space="preserve">Občianske združenia podľa zákona č. 83/1990 Zb. o združovaní občanov. Oprávnení prijímatelia musia pôsobiť (mať trvalé, </w:t>
            </w:r>
            <w:r w:rsidR="00BD7EEB" w:rsidRPr="00BD7EEB">
              <w:rPr>
                <w:rFonts w:cs="Times New Roman"/>
                <w:szCs w:val="24"/>
              </w:rPr>
              <w:lastRenderedPageBreak/>
              <w:t>prípadne prechodné bydlisko, sídlo, alebo prevádzku) v území MAS CEDRON - NITRAVA</w:t>
            </w:r>
          </w:p>
        </w:tc>
        <w:tc>
          <w:tcPr>
            <w:tcW w:w="1371" w:type="dxa"/>
          </w:tcPr>
          <w:p w14:paraId="5112812E" w14:textId="4FFBBB56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 xml:space="preserve">Otvorená </w:t>
            </w:r>
          </w:p>
        </w:tc>
        <w:tc>
          <w:tcPr>
            <w:tcW w:w="1542" w:type="dxa"/>
          </w:tcPr>
          <w:p w14:paraId="4DF2AC2F" w14:textId="46128199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07/2020</w:t>
            </w:r>
          </w:p>
        </w:tc>
        <w:tc>
          <w:tcPr>
            <w:tcW w:w="1542" w:type="dxa"/>
          </w:tcPr>
          <w:p w14:paraId="71C4652E" w14:textId="7317D1AC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Do vyčerpania alokácie</w:t>
            </w:r>
          </w:p>
        </w:tc>
        <w:tc>
          <w:tcPr>
            <w:tcW w:w="2008" w:type="dxa"/>
          </w:tcPr>
          <w:p w14:paraId="166A9B50" w14:textId="21D2C011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183 056,34</w:t>
            </w:r>
          </w:p>
        </w:tc>
      </w:tr>
      <w:tr w:rsidR="00F12EA2" w:rsidRPr="00F12EA2" w14:paraId="230A88E7" w14:textId="77777777" w:rsidTr="00867FFA">
        <w:trPr>
          <w:trHeight w:val="566"/>
          <w:jc w:val="center"/>
        </w:trPr>
        <w:tc>
          <w:tcPr>
            <w:tcW w:w="2058" w:type="dxa"/>
          </w:tcPr>
          <w:p w14:paraId="138B3331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5.1.2. Zlepšenie udržateľnosti vzťahov medzi vidieckymi rozvojovými centrami a ich zázemím vo verejných službách a vo verejných infraštruktúrach </w:t>
            </w:r>
          </w:p>
        </w:tc>
        <w:tc>
          <w:tcPr>
            <w:tcW w:w="2144" w:type="dxa"/>
          </w:tcPr>
          <w:p w14:paraId="5E379605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B3 Nákup vozidiel spoločnej dopravy osôb</w:t>
            </w:r>
          </w:p>
        </w:tc>
        <w:tc>
          <w:tcPr>
            <w:tcW w:w="1786" w:type="dxa"/>
          </w:tcPr>
          <w:p w14:paraId="15833900" w14:textId="7EA60EB6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Obce, mestá do 20 000 obyvateľov. </w:t>
            </w:r>
            <w:r w:rsidR="00BD7EEB" w:rsidRPr="00BD7EEB">
              <w:rPr>
                <w:rFonts w:cs="Times New Roman"/>
                <w:szCs w:val="24"/>
              </w:rPr>
              <w:t xml:space="preserve">Občianske združenia podľa zákona č. 83/1990 Zb. o združovaní občanov. Oprávnení prijímatelia musia pôsobiť (mať trvalé, prípadne prechodné bydlisko, sídlo, alebo prevádzku) v </w:t>
            </w:r>
            <w:r w:rsidR="00BD7EEB" w:rsidRPr="00BD7EEB">
              <w:rPr>
                <w:rFonts w:cs="Times New Roman"/>
                <w:szCs w:val="24"/>
              </w:rPr>
              <w:lastRenderedPageBreak/>
              <w:t>území MAS CEDRON - NITRAVA</w:t>
            </w:r>
          </w:p>
        </w:tc>
        <w:tc>
          <w:tcPr>
            <w:tcW w:w="1371" w:type="dxa"/>
          </w:tcPr>
          <w:p w14:paraId="662E8027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 xml:space="preserve">Otvorená </w:t>
            </w:r>
          </w:p>
        </w:tc>
        <w:tc>
          <w:tcPr>
            <w:tcW w:w="1542" w:type="dxa"/>
          </w:tcPr>
          <w:p w14:paraId="20F73921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03/2020</w:t>
            </w:r>
          </w:p>
        </w:tc>
        <w:tc>
          <w:tcPr>
            <w:tcW w:w="1542" w:type="dxa"/>
          </w:tcPr>
          <w:p w14:paraId="47575C1D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Do vyčerpania alokácie</w:t>
            </w:r>
          </w:p>
        </w:tc>
        <w:tc>
          <w:tcPr>
            <w:tcW w:w="2008" w:type="dxa"/>
          </w:tcPr>
          <w:p w14:paraId="7D75960E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30 000,00</w:t>
            </w:r>
          </w:p>
        </w:tc>
      </w:tr>
      <w:tr w:rsidR="00F12EA2" w:rsidRPr="00F12EA2" w14:paraId="7B7D6D71" w14:textId="77777777" w:rsidTr="00704E23">
        <w:trPr>
          <w:trHeight w:val="566"/>
          <w:jc w:val="center"/>
        </w:trPr>
        <w:tc>
          <w:tcPr>
            <w:tcW w:w="2058" w:type="dxa"/>
            <w:vAlign w:val="center"/>
          </w:tcPr>
          <w:p w14:paraId="6632DC75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5.1.2. Zlepšenie udržateľnosti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14:paraId="48406CD7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C1 Komunitné služby</w:t>
            </w:r>
          </w:p>
        </w:tc>
        <w:tc>
          <w:tcPr>
            <w:tcW w:w="1786" w:type="dxa"/>
            <w:vAlign w:val="center"/>
          </w:tcPr>
          <w:p w14:paraId="6A9C4301" w14:textId="77777777" w:rsidR="00F12EA2" w:rsidRPr="00F12EA2" w:rsidRDefault="00F12EA2" w:rsidP="00F12EA2">
            <w:pPr>
              <w:jc w:val="both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Obce, mestá do 20 000 obyvateľov. Občianske združenia podľa zákona č. 83/1990 Zb. o združovaní občanov. Oprávnení prijímatelia musia pôsobiť (mať trvalé, prípadne prechodné bydlisko, sídlo, alebo prevádzku) v území MAS CEDRON - NITRAVA</w:t>
            </w:r>
          </w:p>
        </w:tc>
        <w:tc>
          <w:tcPr>
            <w:tcW w:w="1371" w:type="dxa"/>
            <w:vAlign w:val="center"/>
          </w:tcPr>
          <w:p w14:paraId="07C36179" w14:textId="77777777" w:rsidR="00F12EA2" w:rsidRPr="00F12EA2" w:rsidRDefault="00F12EA2" w:rsidP="00F12EA2">
            <w:pPr>
              <w:jc w:val="center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Otvorená </w:t>
            </w:r>
          </w:p>
        </w:tc>
        <w:tc>
          <w:tcPr>
            <w:tcW w:w="1542" w:type="dxa"/>
            <w:vAlign w:val="center"/>
          </w:tcPr>
          <w:p w14:paraId="6D7F05D8" w14:textId="77777777" w:rsidR="00F12EA2" w:rsidRPr="00F12EA2" w:rsidRDefault="00F12EA2" w:rsidP="00F12EA2">
            <w:pPr>
              <w:jc w:val="center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06/2020</w:t>
            </w:r>
          </w:p>
        </w:tc>
        <w:tc>
          <w:tcPr>
            <w:tcW w:w="1542" w:type="dxa"/>
            <w:vAlign w:val="center"/>
          </w:tcPr>
          <w:p w14:paraId="3D1013B9" w14:textId="77777777" w:rsidR="00F12EA2" w:rsidRPr="00F12EA2" w:rsidRDefault="00F12EA2" w:rsidP="00F12EA2">
            <w:pPr>
              <w:jc w:val="center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14:paraId="2CD17B8C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10 000,00</w:t>
            </w:r>
          </w:p>
        </w:tc>
      </w:tr>
      <w:tr w:rsidR="00F12EA2" w:rsidRPr="00F12EA2" w14:paraId="2FEF1667" w14:textId="77777777" w:rsidTr="00704E23">
        <w:trPr>
          <w:trHeight w:val="566"/>
          <w:jc w:val="center"/>
        </w:trPr>
        <w:tc>
          <w:tcPr>
            <w:tcW w:w="2058" w:type="dxa"/>
            <w:vAlign w:val="center"/>
          </w:tcPr>
          <w:p w14:paraId="15DC821D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5.1.2. Zlepšenie udržateľnosti </w:t>
            </w:r>
            <w:r w:rsidRPr="00F12EA2">
              <w:rPr>
                <w:rFonts w:cs="Times New Roman"/>
                <w:szCs w:val="24"/>
              </w:rPr>
              <w:lastRenderedPageBreak/>
              <w:t>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14:paraId="477841F7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 xml:space="preserve">C2 Terénne a ambulantné </w:t>
            </w:r>
            <w:r w:rsidRPr="00F12EA2">
              <w:rPr>
                <w:rFonts w:cs="Times New Roman"/>
                <w:szCs w:val="24"/>
              </w:rPr>
              <w:lastRenderedPageBreak/>
              <w:t>služby</w:t>
            </w:r>
          </w:p>
        </w:tc>
        <w:tc>
          <w:tcPr>
            <w:tcW w:w="1786" w:type="dxa"/>
            <w:vAlign w:val="center"/>
          </w:tcPr>
          <w:p w14:paraId="6B8779BE" w14:textId="77777777" w:rsidR="00F12EA2" w:rsidRPr="00F12EA2" w:rsidRDefault="00F12EA2" w:rsidP="00F12EA2">
            <w:pPr>
              <w:jc w:val="both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 xml:space="preserve">Obce, mestá do 20 000 </w:t>
            </w:r>
            <w:r w:rsidRPr="00F12EA2">
              <w:rPr>
                <w:rFonts w:cs="Times New Roman"/>
                <w:szCs w:val="24"/>
              </w:rPr>
              <w:lastRenderedPageBreak/>
              <w:t>obyvateľov. Občianske združenia podľa zákona č. 83/1990 Zb. o združovaní občanov. Oprávnení prijímatelia musia pôsobiť (mať trvalé, prípadne prechodné bydlisko, sídlo, alebo prevádzku) v území MAS CEDRON - NITRAVA</w:t>
            </w:r>
          </w:p>
        </w:tc>
        <w:tc>
          <w:tcPr>
            <w:tcW w:w="1371" w:type="dxa"/>
            <w:vAlign w:val="center"/>
          </w:tcPr>
          <w:p w14:paraId="47566622" w14:textId="77777777" w:rsidR="00F12EA2" w:rsidRPr="00F12EA2" w:rsidRDefault="00F12EA2" w:rsidP="00F12EA2">
            <w:pPr>
              <w:jc w:val="center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 xml:space="preserve">Otvorená </w:t>
            </w:r>
          </w:p>
        </w:tc>
        <w:tc>
          <w:tcPr>
            <w:tcW w:w="1542" w:type="dxa"/>
            <w:vAlign w:val="center"/>
          </w:tcPr>
          <w:p w14:paraId="589906C8" w14:textId="77777777" w:rsidR="00F12EA2" w:rsidRPr="00F12EA2" w:rsidRDefault="00F12EA2" w:rsidP="00F12EA2">
            <w:pPr>
              <w:jc w:val="center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06/2020</w:t>
            </w:r>
          </w:p>
        </w:tc>
        <w:tc>
          <w:tcPr>
            <w:tcW w:w="1542" w:type="dxa"/>
            <w:vAlign w:val="center"/>
          </w:tcPr>
          <w:p w14:paraId="01A61E19" w14:textId="77777777" w:rsidR="00F12EA2" w:rsidRPr="00F12EA2" w:rsidRDefault="00F12EA2" w:rsidP="00F12EA2">
            <w:pPr>
              <w:jc w:val="center"/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Do vyčerpania </w:t>
            </w:r>
            <w:r w:rsidRPr="00F12EA2">
              <w:rPr>
                <w:rFonts w:cs="Times New Roman"/>
                <w:szCs w:val="24"/>
              </w:rPr>
              <w:lastRenderedPageBreak/>
              <w:t>alokácie</w:t>
            </w:r>
          </w:p>
        </w:tc>
        <w:tc>
          <w:tcPr>
            <w:tcW w:w="2008" w:type="dxa"/>
            <w:vAlign w:val="center"/>
          </w:tcPr>
          <w:p w14:paraId="5CDD46B9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>10 000,00</w:t>
            </w:r>
          </w:p>
        </w:tc>
      </w:tr>
      <w:tr w:rsidR="00F12EA2" w:rsidRPr="00F12EA2" w14:paraId="4CCF2E5F" w14:textId="77777777" w:rsidTr="00704E23">
        <w:trPr>
          <w:trHeight w:val="252"/>
          <w:jc w:val="center"/>
        </w:trPr>
        <w:tc>
          <w:tcPr>
            <w:tcW w:w="2058" w:type="dxa"/>
          </w:tcPr>
          <w:p w14:paraId="023B41A4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5.1.2. Zlepšenie udržateľnosti vzťahov medzi vidieckymi rozvojovými centrami a ich zázemím vo </w:t>
            </w:r>
            <w:r w:rsidRPr="00F12EA2">
              <w:rPr>
                <w:rFonts w:cs="Times New Roman"/>
                <w:szCs w:val="24"/>
              </w:rPr>
              <w:lastRenderedPageBreak/>
              <w:t xml:space="preserve">verejných službách a vo verejných infraštruktúrach </w:t>
            </w:r>
          </w:p>
        </w:tc>
        <w:tc>
          <w:tcPr>
            <w:tcW w:w="2144" w:type="dxa"/>
          </w:tcPr>
          <w:p w14:paraId="3651EA59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>D1 Učebne základných škôl</w:t>
            </w:r>
          </w:p>
        </w:tc>
        <w:tc>
          <w:tcPr>
            <w:tcW w:w="1786" w:type="dxa"/>
          </w:tcPr>
          <w:p w14:paraId="7F9833E5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Obce, mestá do 20 000 obyvateľov. Občianske združenia podľa zákona č. 83/1990 Zb. o </w:t>
            </w:r>
            <w:r w:rsidRPr="00F12EA2">
              <w:rPr>
                <w:rFonts w:cs="Times New Roman"/>
                <w:szCs w:val="24"/>
              </w:rPr>
              <w:lastRenderedPageBreak/>
              <w:t>združovaní občanov. Oprávnení prijímatelia musia pôsobiť (mať trvalé, prípadne prechodné bydlisko, sídlo, alebo prevádzku) v území MAS CEDRON - NITRAVA</w:t>
            </w:r>
          </w:p>
        </w:tc>
        <w:tc>
          <w:tcPr>
            <w:tcW w:w="1371" w:type="dxa"/>
          </w:tcPr>
          <w:p w14:paraId="0D0BC7B0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 xml:space="preserve">Otvorená </w:t>
            </w:r>
          </w:p>
        </w:tc>
        <w:tc>
          <w:tcPr>
            <w:tcW w:w="1542" w:type="dxa"/>
          </w:tcPr>
          <w:p w14:paraId="17F86935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 06/2020</w:t>
            </w:r>
          </w:p>
        </w:tc>
        <w:tc>
          <w:tcPr>
            <w:tcW w:w="1542" w:type="dxa"/>
          </w:tcPr>
          <w:p w14:paraId="2FE8C78F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Do vyčerpania alokácie</w:t>
            </w:r>
          </w:p>
        </w:tc>
        <w:tc>
          <w:tcPr>
            <w:tcW w:w="2008" w:type="dxa"/>
          </w:tcPr>
          <w:p w14:paraId="103C805C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7C1500DE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20 000,00</w:t>
            </w:r>
          </w:p>
        </w:tc>
      </w:tr>
      <w:tr w:rsidR="00F12EA2" w:rsidRPr="00F12EA2" w14:paraId="5610879F" w14:textId="77777777" w:rsidTr="00704E23">
        <w:trPr>
          <w:trHeight w:val="252"/>
          <w:jc w:val="center"/>
        </w:trPr>
        <w:tc>
          <w:tcPr>
            <w:tcW w:w="2058" w:type="dxa"/>
          </w:tcPr>
          <w:p w14:paraId="4332D7BD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5.1.2. Zlepšenie udržateľnosti vzťahov medzi vidieckymi rozvojovými centrami a ich zázemím vo verejných službách a vo verejných infraštruktúrach </w:t>
            </w:r>
          </w:p>
        </w:tc>
        <w:tc>
          <w:tcPr>
            <w:tcW w:w="2144" w:type="dxa"/>
          </w:tcPr>
          <w:p w14:paraId="108B56B6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D2 Skvalitnenie a rozšírenie kapacít predškolských zariadení </w:t>
            </w:r>
          </w:p>
        </w:tc>
        <w:tc>
          <w:tcPr>
            <w:tcW w:w="1786" w:type="dxa"/>
          </w:tcPr>
          <w:p w14:paraId="4C8A50EB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Obce, mestá do 20 000 obyvateľov. Občianske združenia podľa zákona č. 83/1990 Zb. o združovaní občanov. Oprávnení prijímatelia musia pôsobiť </w:t>
            </w:r>
            <w:r w:rsidRPr="00F12EA2">
              <w:rPr>
                <w:rFonts w:cs="Times New Roman"/>
                <w:szCs w:val="24"/>
              </w:rPr>
              <w:lastRenderedPageBreak/>
              <w:t>(mať trvalé, prípadne prechodné bydlisko, sídlo, alebo prevádzku) v území MAS CEDRON - NITRAVA</w:t>
            </w:r>
          </w:p>
        </w:tc>
        <w:tc>
          <w:tcPr>
            <w:tcW w:w="1371" w:type="dxa"/>
          </w:tcPr>
          <w:p w14:paraId="714F282D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lastRenderedPageBreak/>
              <w:t xml:space="preserve">Otvorená </w:t>
            </w:r>
          </w:p>
        </w:tc>
        <w:tc>
          <w:tcPr>
            <w:tcW w:w="1542" w:type="dxa"/>
          </w:tcPr>
          <w:p w14:paraId="04C53A44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 xml:space="preserve"> 06/2020</w:t>
            </w:r>
          </w:p>
          <w:p w14:paraId="1D58F62E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78E91461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20BFCCFE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7927FA92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0DC4AC20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4D0C0F7B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62BAC2F0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31D5688D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6318AA42" w14:textId="77777777" w:rsidR="00F12EA2" w:rsidRPr="00F12EA2" w:rsidRDefault="00F12EA2" w:rsidP="00F12E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2" w:type="dxa"/>
          </w:tcPr>
          <w:p w14:paraId="4448994B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Do vyčerpania alokácie</w:t>
            </w:r>
          </w:p>
        </w:tc>
        <w:tc>
          <w:tcPr>
            <w:tcW w:w="2008" w:type="dxa"/>
          </w:tcPr>
          <w:p w14:paraId="302D9AA1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</w:p>
          <w:p w14:paraId="6091D7CC" w14:textId="77777777" w:rsidR="00F12EA2" w:rsidRPr="00F12EA2" w:rsidRDefault="00F12EA2" w:rsidP="00F12EA2">
            <w:pPr>
              <w:rPr>
                <w:rFonts w:cs="Times New Roman"/>
                <w:szCs w:val="24"/>
              </w:rPr>
            </w:pPr>
            <w:r w:rsidRPr="00F12EA2">
              <w:rPr>
                <w:rFonts w:cs="Times New Roman"/>
                <w:szCs w:val="24"/>
              </w:rPr>
              <w:t>20 000,00</w:t>
            </w:r>
          </w:p>
        </w:tc>
      </w:tr>
    </w:tbl>
    <w:p w14:paraId="532FC8C9" w14:textId="77777777" w:rsidR="00F363EA" w:rsidRPr="00F12EA2" w:rsidRDefault="00F363EA" w:rsidP="00F363EA">
      <w:pPr>
        <w:rPr>
          <w:rFonts w:cs="Times New Roman"/>
          <w:i/>
          <w:szCs w:val="24"/>
        </w:rPr>
      </w:pPr>
    </w:p>
    <w:p w14:paraId="6B36A1AE" w14:textId="77777777" w:rsidR="009C7008" w:rsidRPr="00F12EA2" w:rsidRDefault="001C36C5">
      <w:pPr>
        <w:rPr>
          <w:rFonts w:cs="Times New Roman"/>
          <w:b/>
          <w:i/>
          <w:szCs w:val="24"/>
        </w:rPr>
      </w:pPr>
      <w:r w:rsidRPr="00F12EA2">
        <w:rPr>
          <w:rFonts w:cs="Times New Roman"/>
          <w:b/>
          <w:i/>
          <w:szCs w:val="24"/>
        </w:rPr>
        <w:t>Ing. Marek Oremus</w:t>
      </w:r>
    </w:p>
    <w:p w14:paraId="29E5882C" w14:textId="77777777" w:rsidR="001C36C5" w:rsidRPr="00F12EA2" w:rsidRDefault="001C36C5">
      <w:pPr>
        <w:rPr>
          <w:rFonts w:cs="Times New Roman"/>
          <w:b/>
          <w:i/>
          <w:szCs w:val="24"/>
        </w:rPr>
      </w:pPr>
      <w:r w:rsidRPr="00F12EA2">
        <w:rPr>
          <w:rFonts w:cs="Times New Roman"/>
          <w:b/>
          <w:i/>
          <w:szCs w:val="24"/>
        </w:rPr>
        <w:t>Predseda MAS CEDRON - NITRAVA</w:t>
      </w:r>
    </w:p>
    <w:p w14:paraId="65A5D27A" w14:textId="77777777" w:rsidR="00F363EA" w:rsidRDefault="00F363EA">
      <w:pPr>
        <w:rPr>
          <w:rFonts w:asciiTheme="minorHAnsi" w:hAnsiTheme="minorHAnsi"/>
          <w:b/>
          <w:i/>
          <w:sz w:val="22"/>
        </w:rPr>
      </w:pPr>
    </w:p>
    <w:p w14:paraId="25889200" w14:textId="77777777" w:rsidR="00F363EA" w:rsidRPr="00F363EA" w:rsidRDefault="00F363EA" w:rsidP="00F363EA">
      <w:pPr>
        <w:rPr>
          <w:rFonts w:asciiTheme="minorHAnsi" w:hAnsiTheme="minorHAnsi"/>
          <w:sz w:val="22"/>
        </w:rPr>
      </w:pPr>
    </w:p>
    <w:p w14:paraId="0355D143" w14:textId="77777777" w:rsidR="00F363EA" w:rsidRPr="00F363EA" w:rsidRDefault="00F363EA" w:rsidP="00F363EA">
      <w:pPr>
        <w:rPr>
          <w:rFonts w:asciiTheme="minorHAnsi" w:hAnsiTheme="minorHAnsi"/>
          <w:sz w:val="22"/>
        </w:rPr>
      </w:pPr>
    </w:p>
    <w:p w14:paraId="0E49A0DA" w14:textId="77777777" w:rsidR="00F363EA" w:rsidRPr="00F363EA" w:rsidRDefault="00F363EA" w:rsidP="00F363EA">
      <w:pPr>
        <w:rPr>
          <w:rFonts w:asciiTheme="minorHAnsi" w:hAnsiTheme="minorHAnsi"/>
          <w:sz w:val="22"/>
        </w:rPr>
      </w:pPr>
    </w:p>
    <w:p w14:paraId="39AC96CC" w14:textId="77777777" w:rsidR="00F363EA" w:rsidRPr="00F363EA" w:rsidRDefault="00F363EA" w:rsidP="00F363EA">
      <w:pPr>
        <w:rPr>
          <w:rFonts w:asciiTheme="minorHAnsi" w:hAnsiTheme="minorHAnsi"/>
          <w:sz w:val="22"/>
        </w:rPr>
      </w:pPr>
    </w:p>
    <w:p w14:paraId="2D21F484" w14:textId="77777777" w:rsidR="00F363EA" w:rsidRPr="00F363EA" w:rsidRDefault="00F363EA" w:rsidP="00F363EA">
      <w:pPr>
        <w:rPr>
          <w:rFonts w:asciiTheme="minorHAnsi" w:hAnsiTheme="minorHAnsi"/>
          <w:sz w:val="22"/>
        </w:rPr>
      </w:pPr>
    </w:p>
    <w:p w14:paraId="0AAE2EB8" w14:textId="77777777" w:rsidR="00F363EA" w:rsidRPr="00F363EA" w:rsidRDefault="00F363EA" w:rsidP="00F363EA">
      <w:pPr>
        <w:rPr>
          <w:rFonts w:asciiTheme="minorHAnsi" w:hAnsiTheme="minorHAnsi"/>
          <w:sz w:val="22"/>
        </w:rPr>
      </w:pPr>
    </w:p>
    <w:sectPr w:rsidR="00F363EA" w:rsidRPr="00F363EA" w:rsidSect="009A6D9E">
      <w:headerReference w:type="default" r:id="rId7"/>
      <w:footerReference w:type="default" r:id="rId8"/>
      <w:pgSz w:w="16839" w:h="11907" w:orient="landscape" w:code="9"/>
      <w:pgMar w:top="1417" w:right="1417" w:bottom="1985" w:left="1417" w:header="708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420D" w14:textId="77777777" w:rsidR="006206F3" w:rsidRDefault="006206F3" w:rsidP="00C057E2">
      <w:pPr>
        <w:spacing w:after="0" w:line="240" w:lineRule="auto"/>
      </w:pPr>
      <w:r>
        <w:separator/>
      </w:r>
    </w:p>
  </w:endnote>
  <w:endnote w:type="continuationSeparator" w:id="0">
    <w:p w14:paraId="1A14AD05" w14:textId="77777777" w:rsidR="006206F3" w:rsidRDefault="006206F3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1DEA" w14:textId="77777777" w:rsidR="006B7927" w:rsidRDefault="004358BC" w:rsidP="004358BC">
    <w:pPr>
      <w:pStyle w:val="Pta"/>
    </w:pPr>
    <w:r>
      <w:rPr>
        <w:noProof/>
      </w:rPr>
      <w:drawing>
        <wp:inline distT="0" distB="0" distL="0" distR="0" wp14:anchorId="10809072" wp14:editId="2F32287A">
          <wp:extent cx="9059545" cy="128270"/>
          <wp:effectExtent l="0" t="0" r="0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54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47999A" wp14:editId="7FDC7525">
          <wp:extent cx="707390" cy="51181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7927">
      <w:t xml:space="preserve"> </w:t>
    </w:r>
  </w:p>
  <w:p w14:paraId="6D208DFF" w14:textId="77777777" w:rsidR="006B7927" w:rsidRDefault="006B7927" w:rsidP="006B7927">
    <w:pPr>
      <w:pStyle w:val="Pta"/>
      <w:jc w:val="right"/>
    </w:pP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14:paraId="14F4505F" w14:textId="77777777" w:rsidR="006B7927" w:rsidRDefault="006B7927" w:rsidP="006B7927">
    <w:pPr>
      <w:pStyle w:val="Pta"/>
    </w:pPr>
  </w:p>
  <w:p w14:paraId="7BBC132A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C6D0D" w14:textId="77777777" w:rsidR="006206F3" w:rsidRDefault="006206F3" w:rsidP="00C057E2">
      <w:pPr>
        <w:spacing w:after="0" w:line="240" w:lineRule="auto"/>
      </w:pPr>
      <w:r>
        <w:separator/>
      </w:r>
    </w:p>
  </w:footnote>
  <w:footnote w:type="continuationSeparator" w:id="0">
    <w:p w14:paraId="07805628" w14:textId="77777777" w:rsidR="006206F3" w:rsidRDefault="006206F3" w:rsidP="00C057E2">
      <w:pPr>
        <w:spacing w:after="0" w:line="240" w:lineRule="auto"/>
      </w:pPr>
      <w:r>
        <w:continuationSeparator/>
      </w:r>
    </w:p>
  </w:footnote>
  <w:footnote w:id="1">
    <w:p w14:paraId="4787023B" w14:textId="77777777"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14:paraId="216D5997" w14:textId="77777777"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14:paraId="7B12CC9F" w14:textId="77777777"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1B40D6A4" w14:textId="77777777"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21771431" w14:textId="77777777"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704E61A2" w14:textId="77777777" w:rsidR="00F363EA" w:rsidRPr="00E4368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0A0468C9" w14:textId="77777777" w:rsidR="00F363EA" w:rsidRDefault="00F363EA" w:rsidP="00F363E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  <w:p w14:paraId="66348DE8" w14:textId="77777777" w:rsidR="004358BC" w:rsidRDefault="004358BC" w:rsidP="00F363EA">
      <w:pPr>
        <w:pStyle w:val="Textpoznmkypodiarou"/>
        <w:ind w:left="284" w:hanging="28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8636" w14:textId="77777777" w:rsidR="00413B16" w:rsidRPr="001F013A" w:rsidRDefault="00413B16" w:rsidP="00413B16">
    <w:pPr>
      <w:pStyle w:val="Hlavika"/>
      <w:rPr>
        <w:rFonts w:ascii="Arial Narrow" w:hAnsi="Arial Narrow"/>
        <w:sz w:val="20"/>
      </w:rPr>
    </w:pPr>
  </w:p>
  <w:p w14:paraId="440F74F9" w14:textId="77777777" w:rsidR="00413B16" w:rsidRDefault="004358BC" w:rsidP="00413B16">
    <w:pPr>
      <w:pStyle w:val="Hlavika"/>
    </w:pPr>
    <w:r w:rsidRPr="004358BC">
      <w:rPr>
        <w:noProof/>
      </w:rPr>
      <w:drawing>
        <wp:inline distT="0" distB="0" distL="0" distR="0" wp14:anchorId="46B3D744" wp14:editId="7C56296F">
          <wp:extent cx="8893175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74681" w14:textId="77777777"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1C36C5"/>
    <w:rsid w:val="001D7DF0"/>
    <w:rsid w:val="00217CEC"/>
    <w:rsid w:val="00242051"/>
    <w:rsid w:val="00295FD9"/>
    <w:rsid w:val="0029675A"/>
    <w:rsid w:val="002D22E7"/>
    <w:rsid w:val="002D40E3"/>
    <w:rsid w:val="002E6DD1"/>
    <w:rsid w:val="002F6737"/>
    <w:rsid w:val="00311C83"/>
    <w:rsid w:val="003377A7"/>
    <w:rsid w:val="003632C4"/>
    <w:rsid w:val="003C7C46"/>
    <w:rsid w:val="003E6833"/>
    <w:rsid w:val="003E7163"/>
    <w:rsid w:val="00413B16"/>
    <w:rsid w:val="004358BC"/>
    <w:rsid w:val="00454F56"/>
    <w:rsid w:val="004E0C17"/>
    <w:rsid w:val="004E4086"/>
    <w:rsid w:val="004E4FB1"/>
    <w:rsid w:val="0050129E"/>
    <w:rsid w:val="005154E6"/>
    <w:rsid w:val="00557C9F"/>
    <w:rsid w:val="0058292D"/>
    <w:rsid w:val="006206F3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60B28"/>
    <w:rsid w:val="00890C9A"/>
    <w:rsid w:val="008D0C3E"/>
    <w:rsid w:val="008E0389"/>
    <w:rsid w:val="009023BC"/>
    <w:rsid w:val="00981528"/>
    <w:rsid w:val="00981818"/>
    <w:rsid w:val="00992EDD"/>
    <w:rsid w:val="00993C5A"/>
    <w:rsid w:val="009A6D9E"/>
    <w:rsid w:val="009C58D5"/>
    <w:rsid w:val="009C7008"/>
    <w:rsid w:val="00A1424B"/>
    <w:rsid w:val="00A17DAB"/>
    <w:rsid w:val="00A9035D"/>
    <w:rsid w:val="00AA12FF"/>
    <w:rsid w:val="00AC6266"/>
    <w:rsid w:val="00B26127"/>
    <w:rsid w:val="00B41A8E"/>
    <w:rsid w:val="00B67CCB"/>
    <w:rsid w:val="00BA5823"/>
    <w:rsid w:val="00BD3647"/>
    <w:rsid w:val="00BD7EEB"/>
    <w:rsid w:val="00BE75A4"/>
    <w:rsid w:val="00BF1E73"/>
    <w:rsid w:val="00BF3BE1"/>
    <w:rsid w:val="00C00271"/>
    <w:rsid w:val="00C057E2"/>
    <w:rsid w:val="00C35B10"/>
    <w:rsid w:val="00C43EE3"/>
    <w:rsid w:val="00CB4492"/>
    <w:rsid w:val="00D04DA3"/>
    <w:rsid w:val="00D61E17"/>
    <w:rsid w:val="00D62C3C"/>
    <w:rsid w:val="00D873FA"/>
    <w:rsid w:val="00DF485E"/>
    <w:rsid w:val="00E4368A"/>
    <w:rsid w:val="00E85D90"/>
    <w:rsid w:val="00E866FD"/>
    <w:rsid w:val="00E94704"/>
    <w:rsid w:val="00EE72D3"/>
    <w:rsid w:val="00F12EA2"/>
    <w:rsid w:val="00F363EA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FD605"/>
  <w15:docId w15:val="{F72FDF55-7217-4E9E-8928-B9508F4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5663-73B1-4832-92B4-DC46E94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Kozakova</dc:creator>
  <cp:keywords/>
  <dc:description/>
  <cp:lastModifiedBy>Daniela Kozakova</cp:lastModifiedBy>
  <cp:revision>36</cp:revision>
  <cp:lastPrinted>2020-02-03T12:58:00Z</cp:lastPrinted>
  <dcterms:created xsi:type="dcterms:W3CDTF">2017-10-22T15:44:00Z</dcterms:created>
  <dcterms:modified xsi:type="dcterms:W3CDTF">2020-06-19T06:33:00Z</dcterms:modified>
</cp:coreProperties>
</file>