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FCD1" w14:textId="77777777" w:rsidR="00413B16" w:rsidRDefault="00413B16" w:rsidP="00413B16">
      <w:pPr>
        <w:spacing w:after="0" w:line="240" w:lineRule="auto"/>
        <w:rPr>
          <w:rFonts w:eastAsia="Times New Roman" w:cs="Times New Roman"/>
          <w:b/>
          <w:sz w:val="28"/>
          <w:szCs w:val="20"/>
        </w:rPr>
      </w:pPr>
    </w:p>
    <w:p w14:paraId="78BE9140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41D72E59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C600E1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C600E1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14:paraId="7719EDF6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38CAEA35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5B87C633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02CB6F4B" w14:textId="77777777" w:rsidR="0010589A" w:rsidRPr="00E4368A" w:rsidRDefault="0010589A" w:rsidP="00CD2CC0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CD2CC0" w:rsidRPr="00CD2CC0">
        <w:rPr>
          <w:rFonts w:asciiTheme="minorHAnsi" w:hAnsiTheme="minorHAnsi"/>
          <w:i/>
          <w:sz w:val="22"/>
        </w:rPr>
        <w:t>INTEGROVANÁ STRATÉGIA ROZVOJA ÚZEMIA</w:t>
      </w:r>
      <w:r w:rsidR="00CD2CC0">
        <w:rPr>
          <w:rFonts w:asciiTheme="minorHAnsi" w:hAnsiTheme="minorHAnsi"/>
          <w:i/>
          <w:sz w:val="22"/>
        </w:rPr>
        <w:t xml:space="preserve"> </w:t>
      </w:r>
      <w:r w:rsidR="00CD2CC0" w:rsidRPr="00CD2CC0">
        <w:rPr>
          <w:rFonts w:asciiTheme="minorHAnsi" w:hAnsiTheme="minorHAnsi"/>
          <w:i/>
          <w:sz w:val="22"/>
        </w:rPr>
        <w:t>MIESTNEJ AKČNEJ SKUPINY CEROVINA</w:t>
      </w:r>
    </w:p>
    <w:p w14:paraId="51793EC7" w14:textId="77777777"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CD2CC0" w:rsidRPr="00CD2CC0">
        <w:rPr>
          <w:rFonts w:asciiTheme="minorHAnsi" w:hAnsiTheme="minorHAnsi"/>
          <w:i/>
          <w:sz w:val="22"/>
        </w:rPr>
        <w:t>Miestna akčná skupina Cerovina, občianske združenie</w:t>
      </w:r>
    </w:p>
    <w:p w14:paraId="336A2A6B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CD2CC0">
        <w:rPr>
          <w:rFonts w:asciiTheme="minorHAnsi" w:hAnsiTheme="minorHAnsi"/>
          <w:sz w:val="22"/>
        </w:rPr>
        <w:t>1</w:t>
      </w:r>
      <w:r w:rsidR="00931D54">
        <w:rPr>
          <w:rFonts w:asciiTheme="minorHAnsi" w:hAnsiTheme="minorHAnsi"/>
          <w:sz w:val="22"/>
        </w:rPr>
        <w:t>3</w:t>
      </w:r>
      <w:r w:rsidR="00CD2CC0">
        <w:rPr>
          <w:rFonts w:asciiTheme="minorHAnsi" w:hAnsiTheme="minorHAnsi"/>
          <w:sz w:val="22"/>
        </w:rPr>
        <w:t>.8.</w:t>
      </w:r>
      <w:r w:rsidR="00CD2CC0">
        <w:rPr>
          <w:rFonts w:asciiTheme="minorHAnsi" w:hAnsiTheme="minorHAnsi"/>
          <w:i/>
          <w:sz w:val="22"/>
        </w:rPr>
        <w:t>2020</w:t>
      </w:r>
    </w:p>
    <w:p w14:paraId="0AEA185A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CD2CC0">
        <w:rPr>
          <w:rFonts w:asciiTheme="minorHAnsi" w:hAnsiTheme="minorHAnsi"/>
          <w:sz w:val="22"/>
        </w:rPr>
        <w:t>1</w:t>
      </w:r>
    </w:p>
    <w:p w14:paraId="51B4E121" w14:textId="77777777"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60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3969"/>
        <w:gridCol w:w="992"/>
        <w:gridCol w:w="1276"/>
        <w:gridCol w:w="1287"/>
        <w:gridCol w:w="1829"/>
      </w:tblGrid>
      <w:tr w:rsidR="00A308DC" w:rsidRPr="00E4368A" w14:paraId="5084B4BB" w14:textId="77777777" w:rsidTr="00FF1CB1">
        <w:trPr>
          <w:trHeight w:val="754"/>
          <w:jc w:val="center"/>
        </w:trPr>
        <w:tc>
          <w:tcPr>
            <w:tcW w:w="2830" w:type="dxa"/>
            <w:shd w:val="clear" w:color="auto" w:fill="95B3D7" w:themeFill="accent1" w:themeFillTint="99"/>
            <w:vAlign w:val="center"/>
          </w:tcPr>
          <w:p w14:paraId="232D7DD1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14:paraId="234071B3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7A56B165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14:paraId="6AE079EF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3969" w:type="dxa"/>
            <w:shd w:val="clear" w:color="auto" w:fill="95B3D7" w:themeFill="accent1" w:themeFillTint="99"/>
            <w:vAlign w:val="center"/>
          </w:tcPr>
          <w:p w14:paraId="40B2A49C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2061C5F9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14:paraId="61F49801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287" w:type="dxa"/>
            <w:shd w:val="clear" w:color="auto" w:fill="95B3D7" w:themeFill="accent1" w:themeFillTint="99"/>
            <w:vAlign w:val="center"/>
          </w:tcPr>
          <w:p w14:paraId="7F784131" w14:textId="77777777"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829" w:type="dxa"/>
            <w:shd w:val="clear" w:color="auto" w:fill="95B3D7" w:themeFill="accent1" w:themeFillTint="99"/>
            <w:vAlign w:val="center"/>
          </w:tcPr>
          <w:p w14:paraId="4369E50B" w14:textId="77777777" w:rsidR="003E7163" w:rsidRPr="00E4368A" w:rsidRDefault="003E7163" w:rsidP="00E51A5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14:paraId="133417DB" w14:textId="77777777" w:rsidTr="00FF1CB1">
        <w:trPr>
          <w:trHeight w:val="252"/>
          <w:jc w:val="center"/>
        </w:trPr>
        <w:tc>
          <w:tcPr>
            <w:tcW w:w="2830" w:type="dxa"/>
          </w:tcPr>
          <w:p w14:paraId="0E164CB1" w14:textId="77777777" w:rsidR="003E7163" w:rsidRPr="00E51A53" w:rsidRDefault="00405F20" w:rsidP="0010589A">
            <w:pPr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5.1.2 Zlepšenie udržateľných vzťahov medzi vidieckymi rozvojovými centrami a ich zázemím vo verejných službách a vo verejných infraštruktúrach</w:t>
            </w:r>
          </w:p>
        </w:tc>
        <w:tc>
          <w:tcPr>
            <w:tcW w:w="1418" w:type="dxa"/>
          </w:tcPr>
          <w:p w14:paraId="0888E537" w14:textId="77777777" w:rsidR="003E7163" w:rsidRPr="00E51A53" w:rsidRDefault="00C600E1" w:rsidP="00E51A53">
            <w:pPr>
              <w:pStyle w:val="Default"/>
              <w:rPr>
                <w:sz w:val="18"/>
                <w:szCs w:val="18"/>
              </w:rPr>
            </w:pPr>
            <w:r w:rsidRPr="00E51A53">
              <w:rPr>
                <w:sz w:val="18"/>
                <w:szCs w:val="18"/>
              </w:rPr>
              <w:t xml:space="preserve">B2 Zvyšovanie bezpečnosti a dostupnosti sídiel </w:t>
            </w:r>
          </w:p>
        </w:tc>
        <w:tc>
          <w:tcPr>
            <w:tcW w:w="3969" w:type="dxa"/>
          </w:tcPr>
          <w:p w14:paraId="06CE2A54" w14:textId="77777777" w:rsidR="00C600E1" w:rsidRPr="00E51A53" w:rsidRDefault="00C600E1" w:rsidP="00C600E1">
            <w:pPr>
              <w:pStyle w:val="Default"/>
              <w:rPr>
                <w:sz w:val="18"/>
                <w:szCs w:val="18"/>
              </w:rPr>
            </w:pPr>
            <w:r w:rsidRPr="00E51A53">
              <w:rPr>
                <w:sz w:val="18"/>
                <w:szCs w:val="18"/>
              </w:rPr>
              <w:t xml:space="preserve">– obce </w:t>
            </w:r>
          </w:p>
          <w:p w14:paraId="2E3A8699" w14:textId="77777777" w:rsidR="00C600E1" w:rsidRPr="00E51A53" w:rsidRDefault="00C600E1" w:rsidP="00C600E1">
            <w:pPr>
              <w:pStyle w:val="Default"/>
              <w:rPr>
                <w:sz w:val="18"/>
                <w:szCs w:val="18"/>
              </w:rPr>
            </w:pPr>
            <w:r w:rsidRPr="00E51A53">
              <w:rPr>
                <w:sz w:val="18"/>
                <w:szCs w:val="18"/>
              </w:rPr>
              <w:t xml:space="preserve">– združenia miest a obcí </w:t>
            </w:r>
          </w:p>
          <w:p w14:paraId="164A6A42" w14:textId="77777777" w:rsidR="00C600E1" w:rsidRPr="00E51A53" w:rsidRDefault="00C600E1" w:rsidP="00C600E1">
            <w:pPr>
              <w:pStyle w:val="Default"/>
              <w:rPr>
                <w:sz w:val="18"/>
                <w:szCs w:val="18"/>
              </w:rPr>
            </w:pPr>
            <w:r w:rsidRPr="00E51A53">
              <w:rPr>
                <w:sz w:val="18"/>
                <w:szCs w:val="18"/>
              </w:rPr>
              <w:t xml:space="preserve">– </w:t>
            </w:r>
            <w:proofErr w:type="spellStart"/>
            <w:r w:rsidRPr="00E51A53">
              <w:rPr>
                <w:sz w:val="18"/>
                <w:szCs w:val="18"/>
              </w:rPr>
              <w:t>mikroregionálne</w:t>
            </w:r>
            <w:proofErr w:type="spellEnd"/>
            <w:r w:rsidRPr="00E51A53">
              <w:rPr>
                <w:sz w:val="18"/>
                <w:szCs w:val="18"/>
              </w:rPr>
              <w:t xml:space="preserve"> združenia </w:t>
            </w:r>
          </w:p>
          <w:p w14:paraId="3FDB352D" w14:textId="77777777" w:rsidR="00C600E1" w:rsidRPr="00E51A53" w:rsidRDefault="00C600E1" w:rsidP="00C600E1">
            <w:pPr>
              <w:pStyle w:val="Default"/>
              <w:rPr>
                <w:sz w:val="18"/>
                <w:szCs w:val="18"/>
              </w:rPr>
            </w:pPr>
            <w:r w:rsidRPr="00E51A53">
              <w:rPr>
                <w:sz w:val="18"/>
                <w:szCs w:val="18"/>
              </w:rPr>
              <w:t xml:space="preserve">– občianske združenia </w:t>
            </w:r>
          </w:p>
          <w:p w14:paraId="5793D8F6" w14:textId="77777777" w:rsidR="00C600E1" w:rsidRPr="00E51A53" w:rsidRDefault="00C600E1" w:rsidP="00C600E1">
            <w:pPr>
              <w:pStyle w:val="Default"/>
              <w:rPr>
                <w:sz w:val="18"/>
                <w:szCs w:val="18"/>
              </w:rPr>
            </w:pPr>
            <w:r w:rsidRPr="00E51A53">
              <w:rPr>
                <w:sz w:val="18"/>
                <w:szCs w:val="18"/>
              </w:rPr>
              <w:t xml:space="preserve">– neziskové organizácie </w:t>
            </w:r>
          </w:p>
          <w:p w14:paraId="5DF7387F" w14:textId="77777777" w:rsidR="003E7163" w:rsidRPr="00E51A53" w:rsidRDefault="00C600E1" w:rsidP="00C600E1">
            <w:pPr>
              <w:pStyle w:val="Default"/>
              <w:rPr>
                <w:sz w:val="18"/>
                <w:szCs w:val="18"/>
              </w:rPr>
            </w:pPr>
            <w:r w:rsidRPr="00E51A53">
              <w:rPr>
                <w:sz w:val="18"/>
                <w:szCs w:val="18"/>
              </w:rPr>
              <w:t xml:space="preserve">– cirkevné organizácie </w:t>
            </w:r>
          </w:p>
        </w:tc>
        <w:tc>
          <w:tcPr>
            <w:tcW w:w="992" w:type="dxa"/>
            <w:vAlign w:val="center"/>
          </w:tcPr>
          <w:p w14:paraId="703F45E3" w14:textId="77777777" w:rsidR="003E7163" w:rsidRPr="00E51A53" w:rsidRDefault="00C600E1" w:rsidP="00C600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otvorená</w:t>
            </w:r>
          </w:p>
        </w:tc>
        <w:tc>
          <w:tcPr>
            <w:tcW w:w="1276" w:type="dxa"/>
            <w:vAlign w:val="center"/>
          </w:tcPr>
          <w:p w14:paraId="466908EE" w14:textId="77777777" w:rsidR="003E7163" w:rsidRPr="00E51A53" w:rsidRDefault="00E51A53" w:rsidP="00E51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10</w:t>
            </w:r>
            <w:r w:rsidR="002F3A59" w:rsidRPr="00E51A53">
              <w:rPr>
                <w:rFonts w:asciiTheme="minorHAnsi" w:hAnsiTheme="minorHAnsi"/>
                <w:sz w:val="20"/>
                <w:szCs w:val="20"/>
              </w:rPr>
              <w:t>/2020</w:t>
            </w:r>
          </w:p>
        </w:tc>
        <w:tc>
          <w:tcPr>
            <w:tcW w:w="1287" w:type="dxa"/>
            <w:vAlign w:val="center"/>
          </w:tcPr>
          <w:p w14:paraId="468868DA" w14:textId="77777777" w:rsidR="003E7163" w:rsidRPr="00E51A53" w:rsidRDefault="00C600E1" w:rsidP="00C600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829" w:type="dxa"/>
            <w:vAlign w:val="center"/>
          </w:tcPr>
          <w:p w14:paraId="7A2B5D97" w14:textId="77777777" w:rsidR="00C600E1" w:rsidRPr="00E51A53" w:rsidRDefault="00C600E1" w:rsidP="00E51A53">
            <w:pPr>
              <w:pStyle w:val="Default"/>
              <w:jc w:val="center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246</w:t>
            </w:r>
            <w:r w:rsidR="002F3A59" w:rsidRPr="00E51A53">
              <w:rPr>
                <w:sz w:val="20"/>
                <w:szCs w:val="20"/>
              </w:rPr>
              <w:t> </w:t>
            </w:r>
            <w:r w:rsidRPr="00E51A53">
              <w:rPr>
                <w:sz w:val="20"/>
                <w:szCs w:val="20"/>
              </w:rPr>
              <w:t>000</w:t>
            </w:r>
            <w:r w:rsidR="002F3A59" w:rsidRPr="00E51A53">
              <w:rPr>
                <w:sz w:val="20"/>
                <w:szCs w:val="20"/>
              </w:rPr>
              <w:t>,- €</w:t>
            </w:r>
          </w:p>
          <w:p w14:paraId="6CB2675C" w14:textId="77777777" w:rsidR="003E7163" w:rsidRPr="00E51A53" w:rsidRDefault="003E7163" w:rsidP="00E51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A59" w:rsidRPr="00E4368A" w14:paraId="40671E0B" w14:textId="77777777" w:rsidTr="00FF1CB1">
        <w:trPr>
          <w:trHeight w:val="252"/>
          <w:jc w:val="center"/>
        </w:trPr>
        <w:tc>
          <w:tcPr>
            <w:tcW w:w="2830" w:type="dxa"/>
          </w:tcPr>
          <w:p w14:paraId="5083E188" w14:textId="77777777" w:rsidR="002F3A59" w:rsidRPr="00E51A53" w:rsidRDefault="00E51A53" w:rsidP="0010589A">
            <w:pPr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lastRenderedPageBreak/>
              <w:t>5.1.2 Zlepšenie udržateľných vzťahov medzi vidieckymi rozvojovými centrami a ich zázemím vo verejných službách a vo verejných infraštruktúrach</w:t>
            </w:r>
          </w:p>
        </w:tc>
        <w:tc>
          <w:tcPr>
            <w:tcW w:w="1418" w:type="dxa"/>
          </w:tcPr>
          <w:p w14:paraId="6E70085A" w14:textId="77777777" w:rsidR="002F3A59" w:rsidRPr="00E51A53" w:rsidRDefault="003477F3" w:rsidP="00C600E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C1 Komunitné sociálne služby</w:t>
            </w:r>
          </w:p>
        </w:tc>
        <w:tc>
          <w:tcPr>
            <w:tcW w:w="3969" w:type="dxa"/>
          </w:tcPr>
          <w:p w14:paraId="5AFD5EC1" w14:textId="77777777" w:rsidR="00E51A53" w:rsidRPr="00E51A53" w:rsidRDefault="00E51A53" w:rsidP="00E51A53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obce</w:t>
            </w:r>
          </w:p>
          <w:p w14:paraId="4528E7E8" w14:textId="77777777" w:rsidR="00E51A53" w:rsidRPr="00E51A53" w:rsidRDefault="00E51A53" w:rsidP="00E51A53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združenia miest a obcí</w:t>
            </w:r>
          </w:p>
          <w:p w14:paraId="4D55884C" w14:textId="77777777" w:rsidR="00E51A53" w:rsidRPr="00E51A53" w:rsidRDefault="00E51A53" w:rsidP="00E51A53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</w:r>
            <w:proofErr w:type="spellStart"/>
            <w:r w:rsidRPr="00E51A53">
              <w:rPr>
                <w:sz w:val="20"/>
                <w:szCs w:val="20"/>
              </w:rPr>
              <w:t>mikroregionálne</w:t>
            </w:r>
            <w:proofErr w:type="spellEnd"/>
            <w:r w:rsidRPr="00E51A53">
              <w:rPr>
                <w:sz w:val="20"/>
                <w:szCs w:val="20"/>
              </w:rPr>
              <w:t xml:space="preserve"> združenia</w:t>
            </w:r>
          </w:p>
          <w:p w14:paraId="655A9D5B" w14:textId="77777777" w:rsidR="00E51A53" w:rsidRPr="00E51A53" w:rsidRDefault="00E51A53" w:rsidP="00E51A53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občianske združenia</w:t>
            </w:r>
          </w:p>
          <w:p w14:paraId="60538C6A" w14:textId="77777777" w:rsidR="00E51A53" w:rsidRPr="00E51A53" w:rsidRDefault="00E51A53" w:rsidP="00E51A53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neziskové organizácie</w:t>
            </w:r>
          </w:p>
          <w:p w14:paraId="003EAEFB" w14:textId="77777777" w:rsidR="002F3A59" w:rsidRPr="00E51A53" w:rsidRDefault="00E51A53" w:rsidP="00E51A53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cirkevné organizácie</w:t>
            </w:r>
          </w:p>
        </w:tc>
        <w:tc>
          <w:tcPr>
            <w:tcW w:w="992" w:type="dxa"/>
            <w:vAlign w:val="center"/>
          </w:tcPr>
          <w:p w14:paraId="7FCB78F2" w14:textId="77777777" w:rsidR="002F3A59" w:rsidRPr="00E51A53" w:rsidRDefault="009F35B3" w:rsidP="00C600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otvorená</w:t>
            </w:r>
          </w:p>
        </w:tc>
        <w:tc>
          <w:tcPr>
            <w:tcW w:w="1276" w:type="dxa"/>
            <w:vAlign w:val="center"/>
          </w:tcPr>
          <w:p w14:paraId="3BEBCABC" w14:textId="587E31C6" w:rsidR="002F3A59" w:rsidRPr="00E51A53" w:rsidRDefault="009F35B3" w:rsidP="00E51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1</w:t>
            </w:r>
            <w:r w:rsidR="00FF1CB1">
              <w:rPr>
                <w:rFonts w:asciiTheme="minorHAnsi" w:hAnsiTheme="minorHAnsi"/>
                <w:sz w:val="20"/>
                <w:szCs w:val="20"/>
              </w:rPr>
              <w:t>0</w:t>
            </w:r>
            <w:r w:rsidRPr="00E51A53">
              <w:rPr>
                <w:rFonts w:asciiTheme="minorHAnsi" w:hAnsiTheme="minorHAnsi"/>
                <w:sz w:val="20"/>
                <w:szCs w:val="20"/>
              </w:rPr>
              <w:t>/2020</w:t>
            </w:r>
          </w:p>
        </w:tc>
        <w:tc>
          <w:tcPr>
            <w:tcW w:w="1287" w:type="dxa"/>
            <w:vAlign w:val="center"/>
          </w:tcPr>
          <w:p w14:paraId="5FCD6909" w14:textId="77777777" w:rsidR="002F3A59" w:rsidRPr="00E51A53" w:rsidRDefault="009F35B3" w:rsidP="00C600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829" w:type="dxa"/>
            <w:vAlign w:val="center"/>
          </w:tcPr>
          <w:p w14:paraId="664356D5" w14:textId="77777777" w:rsidR="002F3A59" w:rsidRPr="00E51A53" w:rsidRDefault="003477F3" w:rsidP="00E51A53">
            <w:pPr>
              <w:pStyle w:val="Default"/>
              <w:jc w:val="center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123</w:t>
            </w:r>
            <w:r w:rsidR="00E51A53" w:rsidRPr="00E51A53">
              <w:rPr>
                <w:sz w:val="20"/>
                <w:szCs w:val="20"/>
              </w:rPr>
              <w:t> </w:t>
            </w:r>
            <w:r w:rsidRPr="00E51A53">
              <w:rPr>
                <w:sz w:val="20"/>
                <w:szCs w:val="20"/>
              </w:rPr>
              <w:t>000</w:t>
            </w:r>
            <w:r w:rsidR="00E51A53" w:rsidRPr="00E51A53">
              <w:rPr>
                <w:sz w:val="20"/>
                <w:szCs w:val="20"/>
              </w:rPr>
              <w:t>,- €</w:t>
            </w:r>
          </w:p>
        </w:tc>
      </w:tr>
      <w:tr w:rsidR="00FF1CB1" w:rsidRPr="00E4368A" w14:paraId="5F93FE7E" w14:textId="77777777" w:rsidTr="00FF1CB1">
        <w:trPr>
          <w:trHeight w:val="252"/>
          <w:jc w:val="center"/>
        </w:trPr>
        <w:tc>
          <w:tcPr>
            <w:tcW w:w="2830" w:type="dxa"/>
          </w:tcPr>
          <w:p w14:paraId="1BDCCDDE" w14:textId="307C4D0E" w:rsidR="00FF1CB1" w:rsidRPr="00E51A53" w:rsidRDefault="00FF1CB1" w:rsidP="00FF1CB1">
            <w:pPr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5.1.2 Zlepšenie udržateľných vzťahov medzi vidieckymi rozvojovými centrami a ich zázemím vo verejných službách a vo verejných infraštruktúrach</w:t>
            </w:r>
          </w:p>
        </w:tc>
        <w:tc>
          <w:tcPr>
            <w:tcW w:w="1418" w:type="dxa"/>
          </w:tcPr>
          <w:p w14:paraId="00D28223" w14:textId="2BA4EEB3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C2. Terénne a ambulantné služby</w:t>
            </w:r>
          </w:p>
        </w:tc>
        <w:tc>
          <w:tcPr>
            <w:tcW w:w="3969" w:type="dxa"/>
          </w:tcPr>
          <w:p w14:paraId="71660FFB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obce</w:t>
            </w:r>
          </w:p>
          <w:p w14:paraId="738010E8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združenia miest a obcí</w:t>
            </w:r>
          </w:p>
          <w:p w14:paraId="131596E2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</w:r>
            <w:proofErr w:type="spellStart"/>
            <w:r w:rsidRPr="00E51A53">
              <w:rPr>
                <w:sz w:val="20"/>
                <w:szCs w:val="20"/>
              </w:rPr>
              <w:t>mikroregionálne</w:t>
            </w:r>
            <w:proofErr w:type="spellEnd"/>
            <w:r w:rsidRPr="00E51A53">
              <w:rPr>
                <w:sz w:val="20"/>
                <w:szCs w:val="20"/>
              </w:rPr>
              <w:t xml:space="preserve"> združenia</w:t>
            </w:r>
          </w:p>
          <w:p w14:paraId="3E4A26A8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občianske združenia</w:t>
            </w:r>
          </w:p>
          <w:p w14:paraId="3DB9CA9B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neziskové organizácie</w:t>
            </w:r>
          </w:p>
          <w:p w14:paraId="26D72CF1" w14:textId="1B9E726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cirkevné organizácie</w:t>
            </w:r>
          </w:p>
        </w:tc>
        <w:tc>
          <w:tcPr>
            <w:tcW w:w="992" w:type="dxa"/>
            <w:vAlign w:val="center"/>
          </w:tcPr>
          <w:p w14:paraId="27E3E42F" w14:textId="2897A7F2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otvorená</w:t>
            </w:r>
          </w:p>
        </w:tc>
        <w:tc>
          <w:tcPr>
            <w:tcW w:w="1276" w:type="dxa"/>
            <w:vAlign w:val="center"/>
          </w:tcPr>
          <w:p w14:paraId="6CB59AC1" w14:textId="7F230FA5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E51A53">
              <w:rPr>
                <w:rFonts w:asciiTheme="minorHAnsi" w:hAnsiTheme="minorHAnsi"/>
                <w:sz w:val="20"/>
                <w:szCs w:val="20"/>
              </w:rPr>
              <w:t>/2020</w:t>
            </w:r>
          </w:p>
        </w:tc>
        <w:tc>
          <w:tcPr>
            <w:tcW w:w="1287" w:type="dxa"/>
            <w:vAlign w:val="center"/>
          </w:tcPr>
          <w:p w14:paraId="0DFEBEBD" w14:textId="30FD9035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829" w:type="dxa"/>
            <w:vAlign w:val="center"/>
          </w:tcPr>
          <w:p w14:paraId="00E801A6" w14:textId="0A91FD46" w:rsidR="00FF1CB1" w:rsidRPr="00E51A53" w:rsidRDefault="00FF1CB1" w:rsidP="00FF1CB1">
            <w:pPr>
              <w:pStyle w:val="Default"/>
              <w:jc w:val="center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82 000,- €</w:t>
            </w:r>
          </w:p>
        </w:tc>
      </w:tr>
      <w:tr w:rsidR="00FF1CB1" w:rsidRPr="00E4368A" w14:paraId="7B11696F" w14:textId="77777777" w:rsidTr="00FF1CB1">
        <w:trPr>
          <w:trHeight w:val="252"/>
          <w:jc w:val="center"/>
        </w:trPr>
        <w:tc>
          <w:tcPr>
            <w:tcW w:w="2830" w:type="dxa"/>
          </w:tcPr>
          <w:p w14:paraId="7B9FF526" w14:textId="77777777" w:rsidR="00FF1CB1" w:rsidRPr="00E51A53" w:rsidRDefault="00FF1CB1" w:rsidP="00FF1C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CB481" w14:textId="77777777" w:rsidR="00FF1CB1" w:rsidRPr="00FF1CB1" w:rsidRDefault="00FF1CB1" w:rsidP="00FF1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AF5A2E3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76B921" w14:textId="77777777" w:rsidR="00FF1CB1" w:rsidRPr="000C3034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A8F895" w14:textId="77777777" w:rsidR="00FF1CB1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A5564EA" w14:textId="77777777" w:rsidR="00FF1CB1" w:rsidRPr="000E3056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290D375B" w14:textId="77777777" w:rsidR="00FF1CB1" w:rsidRPr="00FF1CB1" w:rsidRDefault="00FF1CB1" w:rsidP="00FF1C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F1CB1" w:rsidRPr="00E4368A" w14:paraId="3B83E4DC" w14:textId="77777777" w:rsidTr="00FF1CB1">
        <w:trPr>
          <w:trHeight w:val="252"/>
          <w:jc w:val="center"/>
        </w:trPr>
        <w:tc>
          <w:tcPr>
            <w:tcW w:w="2830" w:type="dxa"/>
          </w:tcPr>
          <w:p w14:paraId="0D63C83E" w14:textId="7AB0E467" w:rsidR="00FF1CB1" w:rsidRPr="00E51A53" w:rsidRDefault="00FF1CB1" w:rsidP="00FF1CB1">
            <w:pPr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5.1.2 Zlepšenie udržateľných vzťahov medzi vidieckymi rozvojovými centrami a ich zázemím vo verejných službách a vo verejných infraštruktúrach</w:t>
            </w:r>
          </w:p>
        </w:tc>
        <w:tc>
          <w:tcPr>
            <w:tcW w:w="1418" w:type="dxa"/>
          </w:tcPr>
          <w:p w14:paraId="4805B8BB" w14:textId="30E4514F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FF1CB1">
              <w:rPr>
                <w:sz w:val="20"/>
                <w:szCs w:val="20"/>
              </w:rPr>
              <w:t>D1 Učebne základných škôl</w:t>
            </w:r>
          </w:p>
        </w:tc>
        <w:tc>
          <w:tcPr>
            <w:tcW w:w="3969" w:type="dxa"/>
          </w:tcPr>
          <w:p w14:paraId="1EE195F3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obce</w:t>
            </w:r>
          </w:p>
          <w:p w14:paraId="4F424DBD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združenia miest a obcí</w:t>
            </w:r>
          </w:p>
          <w:p w14:paraId="3DAD29EC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</w:r>
            <w:proofErr w:type="spellStart"/>
            <w:r w:rsidRPr="00E51A53">
              <w:rPr>
                <w:sz w:val="20"/>
                <w:szCs w:val="20"/>
              </w:rPr>
              <w:t>mikroregionálne</w:t>
            </w:r>
            <w:proofErr w:type="spellEnd"/>
            <w:r w:rsidRPr="00E51A53">
              <w:rPr>
                <w:sz w:val="20"/>
                <w:szCs w:val="20"/>
              </w:rPr>
              <w:t xml:space="preserve"> združenia</w:t>
            </w:r>
          </w:p>
          <w:p w14:paraId="372E098B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občianske združenia</w:t>
            </w:r>
          </w:p>
          <w:p w14:paraId="7C30E5EB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neziskové organizácie</w:t>
            </w:r>
          </w:p>
          <w:p w14:paraId="1E8CBF58" w14:textId="7AF1730F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cirkevné organizácie</w:t>
            </w:r>
          </w:p>
        </w:tc>
        <w:tc>
          <w:tcPr>
            <w:tcW w:w="992" w:type="dxa"/>
          </w:tcPr>
          <w:p w14:paraId="18954B8B" w14:textId="09DC6FC6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034">
              <w:rPr>
                <w:rFonts w:asciiTheme="minorHAnsi" w:hAnsiTheme="minorHAnsi"/>
                <w:sz w:val="20"/>
                <w:szCs w:val="20"/>
              </w:rPr>
              <w:t>otvorená</w:t>
            </w:r>
          </w:p>
        </w:tc>
        <w:tc>
          <w:tcPr>
            <w:tcW w:w="1276" w:type="dxa"/>
            <w:vAlign w:val="center"/>
          </w:tcPr>
          <w:p w14:paraId="327FCC4B" w14:textId="78B109AF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11/2020</w:t>
            </w:r>
          </w:p>
        </w:tc>
        <w:tc>
          <w:tcPr>
            <w:tcW w:w="1287" w:type="dxa"/>
          </w:tcPr>
          <w:p w14:paraId="6BCD26F2" w14:textId="514AD153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056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829" w:type="dxa"/>
            <w:vAlign w:val="center"/>
          </w:tcPr>
          <w:p w14:paraId="385BF99E" w14:textId="0678CF76" w:rsidR="00FF1CB1" w:rsidRPr="00E51A53" w:rsidRDefault="00FF1CB1" w:rsidP="00FF1CB1">
            <w:pPr>
              <w:pStyle w:val="Default"/>
              <w:jc w:val="center"/>
              <w:rPr>
                <w:sz w:val="20"/>
                <w:szCs w:val="20"/>
              </w:rPr>
            </w:pPr>
            <w:r w:rsidRPr="00FF1CB1">
              <w:rPr>
                <w:sz w:val="20"/>
                <w:szCs w:val="20"/>
              </w:rPr>
              <w:t>123</w:t>
            </w:r>
            <w:r>
              <w:rPr>
                <w:sz w:val="20"/>
                <w:szCs w:val="20"/>
              </w:rPr>
              <w:t> </w:t>
            </w:r>
            <w:r w:rsidRPr="00FF1CB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 €</w:t>
            </w:r>
          </w:p>
        </w:tc>
      </w:tr>
      <w:tr w:rsidR="00FF1CB1" w:rsidRPr="00E4368A" w14:paraId="78E4C96A" w14:textId="77777777" w:rsidTr="00FF1CB1">
        <w:trPr>
          <w:trHeight w:val="252"/>
          <w:jc w:val="center"/>
        </w:trPr>
        <w:tc>
          <w:tcPr>
            <w:tcW w:w="2830" w:type="dxa"/>
          </w:tcPr>
          <w:p w14:paraId="386C7800" w14:textId="6F374DCF" w:rsidR="00FF1CB1" w:rsidRPr="00E51A53" w:rsidRDefault="00FF1CB1" w:rsidP="00FF1CB1">
            <w:pPr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5.1.2 Zlepšenie udržateľných vzťahov medzi vidieckymi rozvojovými centrami a ich zázemím vo verejných službách a vo verejných infraštruktúrach</w:t>
            </w:r>
          </w:p>
        </w:tc>
        <w:tc>
          <w:tcPr>
            <w:tcW w:w="1418" w:type="dxa"/>
          </w:tcPr>
          <w:p w14:paraId="34446B8C" w14:textId="11D0B493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FF1CB1">
              <w:rPr>
                <w:sz w:val="20"/>
                <w:szCs w:val="20"/>
              </w:rPr>
              <w:t>E1 Trhové priestory</w:t>
            </w:r>
          </w:p>
        </w:tc>
        <w:tc>
          <w:tcPr>
            <w:tcW w:w="3969" w:type="dxa"/>
          </w:tcPr>
          <w:p w14:paraId="7D4F8244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obce</w:t>
            </w:r>
          </w:p>
          <w:p w14:paraId="6E456E6D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združenia miest a obcí</w:t>
            </w:r>
          </w:p>
          <w:p w14:paraId="78AA3206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</w:r>
            <w:proofErr w:type="spellStart"/>
            <w:r w:rsidRPr="00E51A53">
              <w:rPr>
                <w:sz w:val="20"/>
                <w:szCs w:val="20"/>
              </w:rPr>
              <w:t>mikroregionálne</w:t>
            </w:r>
            <w:proofErr w:type="spellEnd"/>
            <w:r w:rsidRPr="00E51A53">
              <w:rPr>
                <w:sz w:val="20"/>
                <w:szCs w:val="20"/>
              </w:rPr>
              <w:t xml:space="preserve"> združenia</w:t>
            </w:r>
          </w:p>
          <w:p w14:paraId="344DF5B5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občianske združenia</w:t>
            </w:r>
          </w:p>
          <w:p w14:paraId="2DD7FF64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neziskové organizácie</w:t>
            </w:r>
          </w:p>
          <w:p w14:paraId="3FDEA1A4" w14:textId="526D629D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>–</w:t>
            </w:r>
            <w:r w:rsidRPr="00E51A53">
              <w:rPr>
                <w:sz w:val="20"/>
                <w:szCs w:val="20"/>
              </w:rPr>
              <w:tab/>
              <w:t>cirkevné organizácie</w:t>
            </w:r>
          </w:p>
        </w:tc>
        <w:tc>
          <w:tcPr>
            <w:tcW w:w="992" w:type="dxa"/>
          </w:tcPr>
          <w:p w14:paraId="5AEBEADE" w14:textId="68B8C61C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034">
              <w:rPr>
                <w:rFonts w:asciiTheme="minorHAnsi" w:hAnsiTheme="minorHAnsi"/>
                <w:sz w:val="20"/>
                <w:szCs w:val="20"/>
              </w:rPr>
              <w:t>otvorená</w:t>
            </w:r>
          </w:p>
        </w:tc>
        <w:tc>
          <w:tcPr>
            <w:tcW w:w="1276" w:type="dxa"/>
            <w:vAlign w:val="center"/>
          </w:tcPr>
          <w:p w14:paraId="279E1BC5" w14:textId="3F3652B3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11/2020</w:t>
            </w:r>
          </w:p>
        </w:tc>
        <w:tc>
          <w:tcPr>
            <w:tcW w:w="1287" w:type="dxa"/>
          </w:tcPr>
          <w:p w14:paraId="779C153A" w14:textId="3E4D4F45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056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829" w:type="dxa"/>
            <w:vAlign w:val="center"/>
          </w:tcPr>
          <w:p w14:paraId="39E748E8" w14:textId="5E947588" w:rsidR="00FF1CB1" w:rsidRPr="00E51A53" w:rsidRDefault="00FF1CB1" w:rsidP="00FF1CB1">
            <w:pPr>
              <w:pStyle w:val="Default"/>
              <w:jc w:val="center"/>
              <w:rPr>
                <w:sz w:val="20"/>
                <w:szCs w:val="20"/>
              </w:rPr>
            </w:pPr>
            <w:r w:rsidRPr="00FF1CB1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 </w:t>
            </w:r>
            <w:r w:rsidRPr="00FF1CB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 €</w:t>
            </w:r>
          </w:p>
        </w:tc>
      </w:tr>
      <w:tr w:rsidR="00FF1CB1" w:rsidRPr="00E4368A" w14:paraId="3D08BD4C" w14:textId="77777777" w:rsidTr="00FF1CB1">
        <w:trPr>
          <w:trHeight w:val="252"/>
          <w:jc w:val="center"/>
        </w:trPr>
        <w:tc>
          <w:tcPr>
            <w:tcW w:w="2830" w:type="dxa"/>
          </w:tcPr>
          <w:p w14:paraId="4EF85EB7" w14:textId="7FE9F6FA" w:rsidR="00FF1CB1" w:rsidRPr="00E51A53" w:rsidRDefault="00FF1CB1" w:rsidP="00FF1C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680B4" w14:textId="4350701E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538B678" w14:textId="65D8A575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BCF095" w14:textId="6B74406E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667FEA" w14:textId="0455D25F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6945EA2E" w14:textId="3DFBEA3C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3A35CD10" w14:textId="1DAE2CDD" w:rsidR="00FF1CB1" w:rsidRPr="00E51A53" w:rsidRDefault="00FF1CB1" w:rsidP="00FF1C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F1CB1" w:rsidRPr="00E4368A" w14:paraId="253E9B06" w14:textId="77777777" w:rsidTr="00FF1CB1">
        <w:trPr>
          <w:trHeight w:val="252"/>
          <w:jc w:val="center"/>
        </w:trPr>
        <w:tc>
          <w:tcPr>
            <w:tcW w:w="2830" w:type="dxa"/>
            <w:vAlign w:val="center"/>
          </w:tcPr>
          <w:p w14:paraId="1352E853" w14:textId="77777777" w:rsidR="00FF1CB1" w:rsidRPr="00E51A53" w:rsidRDefault="00FF1CB1" w:rsidP="00FF1CB1">
            <w:pPr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5.1.1 Zvýšenie zamestnanosti na miestnej úrovni podporou podnikania a inovácií</w:t>
            </w:r>
          </w:p>
        </w:tc>
        <w:tc>
          <w:tcPr>
            <w:tcW w:w="1418" w:type="dxa"/>
          </w:tcPr>
          <w:p w14:paraId="6EA77837" w14:textId="77777777" w:rsidR="00FF1CB1" w:rsidRPr="00E51A53" w:rsidRDefault="00FF1CB1" w:rsidP="00FF1CB1">
            <w:pPr>
              <w:pStyle w:val="Default"/>
              <w:rPr>
                <w:sz w:val="20"/>
                <w:szCs w:val="20"/>
              </w:rPr>
            </w:pPr>
            <w:r w:rsidRPr="00E51A53">
              <w:rPr>
                <w:sz w:val="20"/>
                <w:szCs w:val="20"/>
              </w:rPr>
              <w:t xml:space="preserve">A1 Podpora podnikania a inovácií </w:t>
            </w:r>
          </w:p>
          <w:p w14:paraId="29BBBB6F" w14:textId="77777777" w:rsidR="00FF1CB1" w:rsidRPr="00E51A53" w:rsidRDefault="00FF1CB1" w:rsidP="00FF1C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2126911" w14:textId="77777777" w:rsidR="00FF1CB1" w:rsidRPr="00E51A53" w:rsidRDefault="00FF1CB1" w:rsidP="00FF1CB1">
            <w:pPr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- samostatne zárobkovo činné osoby, okrem tých, ktoré sú oprávnenými prijímateľmi z PRV v opatrení LEADER a oprávnenými prijímateľmi z OP RH</w:t>
            </w:r>
          </w:p>
          <w:p w14:paraId="37557F8D" w14:textId="77777777" w:rsidR="00FF1CB1" w:rsidRPr="00E51A53" w:rsidRDefault="00FF1CB1" w:rsidP="00FF1CB1">
            <w:pPr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E51A53">
              <w:rPr>
                <w:rFonts w:asciiTheme="minorHAnsi" w:hAnsiTheme="minorHAnsi"/>
                <w:sz w:val="20"/>
                <w:szCs w:val="20"/>
              </w:rPr>
              <w:t>mikro</w:t>
            </w:r>
            <w:proofErr w:type="spellEnd"/>
            <w:r w:rsidRPr="00E51A53">
              <w:rPr>
                <w:rFonts w:asciiTheme="minorHAnsi" w:hAnsiTheme="minorHAnsi"/>
                <w:sz w:val="20"/>
                <w:szCs w:val="20"/>
              </w:rPr>
              <w:t xml:space="preserve"> a malé podniky s počtom do 49 zamestnancov, okrem tých, ktoré sú oprávnenými prijímateľmi z PRV v opatrení LEADER a oprávnenými prijímateľmi z OP RH</w:t>
            </w:r>
          </w:p>
        </w:tc>
        <w:tc>
          <w:tcPr>
            <w:tcW w:w="992" w:type="dxa"/>
            <w:vAlign w:val="center"/>
          </w:tcPr>
          <w:p w14:paraId="660B1DE9" w14:textId="77777777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otvorená</w:t>
            </w:r>
          </w:p>
        </w:tc>
        <w:tc>
          <w:tcPr>
            <w:tcW w:w="1276" w:type="dxa"/>
            <w:vAlign w:val="center"/>
          </w:tcPr>
          <w:p w14:paraId="53875DBE" w14:textId="77777777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12/2020</w:t>
            </w:r>
          </w:p>
        </w:tc>
        <w:tc>
          <w:tcPr>
            <w:tcW w:w="1287" w:type="dxa"/>
            <w:vAlign w:val="center"/>
          </w:tcPr>
          <w:p w14:paraId="0B2423A9" w14:textId="77777777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829" w:type="dxa"/>
            <w:vAlign w:val="center"/>
          </w:tcPr>
          <w:p w14:paraId="0478B183" w14:textId="77777777" w:rsidR="00FF1CB1" w:rsidRPr="00E51A53" w:rsidRDefault="00FF1CB1" w:rsidP="00FF1C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1A53">
              <w:rPr>
                <w:rFonts w:asciiTheme="minorHAnsi" w:hAnsiTheme="minorHAnsi"/>
                <w:sz w:val="20"/>
                <w:szCs w:val="20"/>
              </w:rPr>
              <w:t>600.000,- €</w:t>
            </w:r>
          </w:p>
        </w:tc>
      </w:tr>
    </w:tbl>
    <w:p w14:paraId="6DCE0400" w14:textId="77777777"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092A" w14:textId="77777777" w:rsidR="005420DC" w:rsidRDefault="005420DC" w:rsidP="00C057E2">
      <w:pPr>
        <w:spacing w:after="0" w:line="240" w:lineRule="auto"/>
      </w:pPr>
      <w:r>
        <w:separator/>
      </w:r>
    </w:p>
  </w:endnote>
  <w:endnote w:type="continuationSeparator" w:id="0">
    <w:p w14:paraId="0420F8BA" w14:textId="77777777" w:rsidR="005420DC" w:rsidRDefault="005420DC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7334" w14:textId="77777777"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EDDFE5" wp14:editId="50B32ABC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2C6B1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77D28CD8" w14:textId="77777777"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7B4046" wp14:editId="075D65F8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14:paraId="63723D84" w14:textId="77777777" w:rsidR="006B7927" w:rsidRDefault="006B7927" w:rsidP="006B7927">
    <w:pPr>
      <w:pStyle w:val="Pta"/>
    </w:pPr>
  </w:p>
  <w:p w14:paraId="30AEE551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0953" w14:textId="77777777" w:rsidR="005420DC" w:rsidRDefault="005420DC" w:rsidP="00C057E2">
      <w:pPr>
        <w:spacing w:after="0" w:line="240" w:lineRule="auto"/>
      </w:pPr>
      <w:r>
        <w:separator/>
      </w:r>
    </w:p>
  </w:footnote>
  <w:footnote w:type="continuationSeparator" w:id="0">
    <w:p w14:paraId="3E7FAAB3" w14:textId="77777777" w:rsidR="005420DC" w:rsidRDefault="005420DC" w:rsidP="00C057E2">
      <w:pPr>
        <w:spacing w:after="0" w:line="240" w:lineRule="auto"/>
      </w:pPr>
      <w:r>
        <w:continuationSeparator/>
      </w:r>
    </w:p>
  </w:footnote>
  <w:footnote w:id="1">
    <w:p w14:paraId="251D98D6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14:paraId="7B7D16FD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14:paraId="08E7F288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45500061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292B7330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02EECC23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vyhlasuje výlučne otvorené výzvy.</w:t>
      </w:r>
    </w:p>
  </w:footnote>
  <w:footnote w:id="7">
    <w:p w14:paraId="1E1A0A12" w14:textId="77777777"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A4F8" w14:textId="77777777" w:rsidR="0019444C" w:rsidRPr="00115DA1" w:rsidRDefault="00115DA1" w:rsidP="004E0C17">
    <w:pPr>
      <w:pStyle w:val="Hlavika"/>
      <w:rPr>
        <w:rFonts w:ascii="Arial Narrow" w:hAnsi="Arial Narrow"/>
        <w:sz w:val="20"/>
      </w:rPr>
    </w:pPr>
    <w:r w:rsidRPr="00F14B07">
      <w:rPr>
        <w:noProof/>
      </w:rPr>
      <w:drawing>
        <wp:anchor distT="0" distB="0" distL="114300" distR="114300" simplePos="0" relativeHeight="251671552" behindDoc="1" locked="0" layoutInCell="1" allowOverlap="1" wp14:anchorId="10DDB159" wp14:editId="23E95C0E">
          <wp:simplePos x="0" y="0"/>
          <wp:positionH relativeFrom="column">
            <wp:posOffset>50</wp:posOffset>
          </wp:positionH>
          <wp:positionV relativeFrom="paragraph">
            <wp:posOffset>-168910</wp:posOffset>
          </wp:positionV>
          <wp:extent cx="891540" cy="550333"/>
          <wp:effectExtent l="0" t="0" r="3810" b="2540"/>
          <wp:wrapTight wrapText="bothSides">
            <wp:wrapPolygon edited="0">
              <wp:start x="0" y="0"/>
              <wp:lineTo x="0" y="20952"/>
              <wp:lineTo x="21231" y="20952"/>
              <wp:lineTo x="21231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5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A7D4BD1" wp14:editId="43D27CBF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7D0893D5" wp14:editId="4D1C5A86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53C9A22B" wp14:editId="795F1D24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454A7"/>
    <w:rsid w:val="00095F84"/>
    <w:rsid w:val="000B0C58"/>
    <w:rsid w:val="000E7996"/>
    <w:rsid w:val="0010589A"/>
    <w:rsid w:val="00115DA1"/>
    <w:rsid w:val="00117D56"/>
    <w:rsid w:val="00187F2F"/>
    <w:rsid w:val="0019444C"/>
    <w:rsid w:val="00217CEC"/>
    <w:rsid w:val="00242051"/>
    <w:rsid w:val="00284C93"/>
    <w:rsid w:val="00295FD9"/>
    <w:rsid w:val="002E6DD1"/>
    <w:rsid w:val="002F3A59"/>
    <w:rsid w:val="00311C83"/>
    <w:rsid w:val="003377A7"/>
    <w:rsid w:val="003477F3"/>
    <w:rsid w:val="003632C4"/>
    <w:rsid w:val="003C7C46"/>
    <w:rsid w:val="003E6833"/>
    <w:rsid w:val="003E7163"/>
    <w:rsid w:val="00405F20"/>
    <w:rsid w:val="00413B16"/>
    <w:rsid w:val="004344D5"/>
    <w:rsid w:val="00454F56"/>
    <w:rsid w:val="004E0C17"/>
    <w:rsid w:val="004E4086"/>
    <w:rsid w:val="0050129E"/>
    <w:rsid w:val="005154E6"/>
    <w:rsid w:val="005420DC"/>
    <w:rsid w:val="006300A5"/>
    <w:rsid w:val="00637A8F"/>
    <w:rsid w:val="0069646F"/>
    <w:rsid w:val="006B7927"/>
    <w:rsid w:val="006F1BA0"/>
    <w:rsid w:val="0070774B"/>
    <w:rsid w:val="0079366E"/>
    <w:rsid w:val="007F08EA"/>
    <w:rsid w:val="008334F9"/>
    <w:rsid w:val="00836AC8"/>
    <w:rsid w:val="008D0C3E"/>
    <w:rsid w:val="008E0389"/>
    <w:rsid w:val="009023BC"/>
    <w:rsid w:val="00931D54"/>
    <w:rsid w:val="00981528"/>
    <w:rsid w:val="00981818"/>
    <w:rsid w:val="00992EDD"/>
    <w:rsid w:val="00993C5A"/>
    <w:rsid w:val="009C58D5"/>
    <w:rsid w:val="009C7008"/>
    <w:rsid w:val="009F35B3"/>
    <w:rsid w:val="00A17DAB"/>
    <w:rsid w:val="00A308DC"/>
    <w:rsid w:val="00A44555"/>
    <w:rsid w:val="00A9035D"/>
    <w:rsid w:val="00AC6266"/>
    <w:rsid w:val="00B41A8E"/>
    <w:rsid w:val="00B67CCB"/>
    <w:rsid w:val="00B94E1B"/>
    <w:rsid w:val="00BA5823"/>
    <w:rsid w:val="00BE75A4"/>
    <w:rsid w:val="00BF1E73"/>
    <w:rsid w:val="00C057E2"/>
    <w:rsid w:val="00C35B10"/>
    <w:rsid w:val="00C43EE3"/>
    <w:rsid w:val="00C600E1"/>
    <w:rsid w:val="00CB4492"/>
    <w:rsid w:val="00CD2CC0"/>
    <w:rsid w:val="00D04DA3"/>
    <w:rsid w:val="00D61E17"/>
    <w:rsid w:val="00D62C3C"/>
    <w:rsid w:val="00D873FA"/>
    <w:rsid w:val="00E4368A"/>
    <w:rsid w:val="00E51A53"/>
    <w:rsid w:val="00E85D90"/>
    <w:rsid w:val="00E866FD"/>
    <w:rsid w:val="00EB71A2"/>
    <w:rsid w:val="00F45D88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607B4"/>
  <w15:docId w15:val="{0F740BBE-2163-460F-88C9-C3157A1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05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6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91D5-3DF7-4883-B88D-2B425F5F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Feledyova</cp:lastModifiedBy>
  <cp:revision>8</cp:revision>
  <dcterms:created xsi:type="dcterms:W3CDTF">2020-07-30T07:45:00Z</dcterms:created>
  <dcterms:modified xsi:type="dcterms:W3CDTF">2020-08-12T09:44:00Z</dcterms:modified>
</cp:coreProperties>
</file>