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FEFE" w14:textId="77777777"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3D09FF0E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3D09FF0F" w14:textId="58BA16A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="00684CDD">
        <w:rPr>
          <w:rFonts w:asciiTheme="minorHAnsi" w:hAnsiTheme="minorHAnsi"/>
          <w:b/>
          <w:i/>
          <w:sz w:val="22"/>
        </w:rPr>
        <w:t xml:space="preserve"> 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CDD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14:paraId="3D09FF10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3D09FF11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3D09FF12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3D09FF13" w14:textId="03FA7936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2A6198" w:rsidRPr="002A6198">
        <w:rPr>
          <w:rFonts w:asciiTheme="minorHAnsi" w:hAnsiTheme="minorHAnsi"/>
          <w:i/>
          <w:sz w:val="22"/>
        </w:rPr>
        <w:t>Stratégia miestneho rozvoja vedeného komunitou CLLD Miestnej akčnej skupiny Dudváh</w:t>
      </w:r>
    </w:p>
    <w:p w14:paraId="3D09FF14" w14:textId="334DC250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EB1409">
        <w:rPr>
          <w:rFonts w:asciiTheme="minorHAnsi" w:hAnsiTheme="minorHAnsi"/>
          <w:i/>
          <w:sz w:val="22"/>
        </w:rPr>
        <w:t>Miestna akčná skupina Dudváh</w:t>
      </w:r>
    </w:p>
    <w:p w14:paraId="3D09FF15" w14:textId="1018F084" w:rsidR="009C7008" w:rsidRPr="00281CA7" w:rsidRDefault="009C7008" w:rsidP="00E4368A">
      <w:pPr>
        <w:tabs>
          <w:tab w:val="left" w:pos="4253"/>
        </w:tabs>
        <w:spacing w:after="0"/>
        <w:rPr>
          <w:rFonts w:asciiTheme="minorHAnsi" w:hAnsiTheme="minorHAnsi"/>
          <w:i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281CA7">
        <w:rPr>
          <w:rFonts w:asciiTheme="minorHAnsi" w:hAnsiTheme="minorHAnsi"/>
          <w:i/>
          <w:sz w:val="22"/>
        </w:rPr>
        <w:t>28.05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BE34FC">
        <w:rPr>
          <w:rFonts w:asciiTheme="minorHAnsi" w:hAnsiTheme="minorHAnsi"/>
          <w:i/>
          <w:sz w:val="22"/>
        </w:rPr>
        <w:t>20</w:t>
      </w:r>
      <w:r w:rsidR="00141373">
        <w:rPr>
          <w:rFonts w:asciiTheme="minorHAnsi" w:hAnsiTheme="minorHAnsi"/>
          <w:i/>
          <w:sz w:val="22"/>
        </w:rPr>
        <w:t>2</w:t>
      </w:r>
      <w:r w:rsidR="00E901DF">
        <w:rPr>
          <w:rFonts w:asciiTheme="minorHAnsi" w:hAnsiTheme="minorHAnsi"/>
          <w:i/>
          <w:sz w:val="22"/>
        </w:rPr>
        <w:t>0</w:t>
      </w:r>
    </w:p>
    <w:p w14:paraId="3D09FF16" w14:textId="5D22A408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BE34FC">
        <w:rPr>
          <w:rFonts w:asciiTheme="minorHAnsi" w:hAnsiTheme="minorHAnsi"/>
          <w:sz w:val="22"/>
        </w:rPr>
        <w:t>1</w:t>
      </w:r>
      <w:r w:rsidR="00D24170">
        <w:rPr>
          <w:rFonts w:asciiTheme="minorHAnsi" w:hAnsiTheme="minorHAnsi"/>
          <w:sz w:val="22"/>
        </w:rPr>
        <w:t>.1</w:t>
      </w:r>
    </w:p>
    <w:p w14:paraId="3D09FF17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126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461"/>
        <w:gridCol w:w="1371"/>
        <w:gridCol w:w="1542"/>
        <w:gridCol w:w="1542"/>
        <w:gridCol w:w="2008"/>
      </w:tblGrid>
      <w:tr w:rsidR="003E7163" w:rsidRPr="00E4368A" w14:paraId="3D09FF21" w14:textId="77777777" w:rsidTr="00695FC6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3D09FF1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3D09FF19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14:paraId="3D09FF1A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3D09FF1B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461" w:type="dxa"/>
            <w:shd w:val="clear" w:color="auto" w:fill="95B3D7" w:themeFill="accent1" w:themeFillTint="99"/>
            <w:vAlign w:val="center"/>
          </w:tcPr>
          <w:p w14:paraId="3D09FF1C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3D09FF1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3D09FF1E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3D09FF1F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14:paraId="3D09FF2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14:paraId="3D09FF29" w14:textId="77777777" w:rsidTr="00695FC6">
        <w:trPr>
          <w:trHeight w:val="566"/>
          <w:jc w:val="center"/>
        </w:trPr>
        <w:tc>
          <w:tcPr>
            <w:tcW w:w="2058" w:type="dxa"/>
            <w:vAlign w:val="center"/>
          </w:tcPr>
          <w:p w14:paraId="3D09FF22" w14:textId="45BCCA3B" w:rsidR="003E7163" w:rsidRPr="00E4368A" w:rsidRDefault="00774618" w:rsidP="00E4368A">
            <w:pPr>
              <w:rPr>
                <w:rFonts w:asciiTheme="minorHAnsi" w:hAnsiTheme="minorHAnsi"/>
                <w:sz w:val="22"/>
              </w:rPr>
            </w:pPr>
            <w:r w:rsidRPr="00774618">
              <w:rPr>
                <w:rFonts w:asciiTheme="minorHAnsi" w:hAnsiTheme="minorHAnsi"/>
                <w:sz w:val="22"/>
              </w:rPr>
              <w:t xml:space="preserve">5.1.1 Zvýšenie zamestnanosti na miestnej úrovni podporou </w:t>
            </w:r>
            <w:r w:rsidRPr="00774618">
              <w:rPr>
                <w:rFonts w:asciiTheme="minorHAnsi" w:hAnsiTheme="minorHAnsi"/>
                <w:sz w:val="22"/>
              </w:rPr>
              <w:lastRenderedPageBreak/>
              <w:t>podnikania a inovácií</w:t>
            </w:r>
          </w:p>
        </w:tc>
        <w:tc>
          <w:tcPr>
            <w:tcW w:w="2144" w:type="dxa"/>
          </w:tcPr>
          <w:p w14:paraId="3D09FF23" w14:textId="3FB34B49" w:rsidR="003E7163" w:rsidRPr="00E4368A" w:rsidRDefault="002B1D4F" w:rsidP="00E4368A">
            <w:pPr>
              <w:rPr>
                <w:rFonts w:asciiTheme="minorHAnsi" w:hAnsiTheme="minorHAnsi"/>
                <w:sz w:val="22"/>
              </w:rPr>
            </w:pPr>
            <w:r w:rsidRPr="002B1D4F">
              <w:rPr>
                <w:rFonts w:asciiTheme="minorHAnsi" w:hAnsiTheme="minorHAnsi"/>
                <w:sz w:val="22"/>
              </w:rPr>
              <w:lastRenderedPageBreak/>
              <w:t>A1 Podpora podnikania a inovácií</w:t>
            </w:r>
          </w:p>
        </w:tc>
        <w:tc>
          <w:tcPr>
            <w:tcW w:w="2461" w:type="dxa"/>
            <w:vAlign w:val="center"/>
          </w:tcPr>
          <w:p w14:paraId="587DDCC3" w14:textId="04847E10" w:rsidR="00695FC6" w:rsidRPr="00695FC6" w:rsidRDefault="00695FC6" w:rsidP="00695F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FC6">
              <w:rPr>
                <w:rFonts w:asciiTheme="minorHAnsi" w:hAnsiTheme="minorHAnsi"/>
                <w:sz w:val="18"/>
                <w:szCs w:val="18"/>
              </w:rPr>
              <w:t xml:space="preserve">- samostatne zárobkovo činné osoby, okrem tých, ktoré sú oprávnenými prijímateľmi z PRV v opatrení LEADER a </w:t>
            </w:r>
            <w:r w:rsidRPr="00695FC6">
              <w:rPr>
                <w:rFonts w:asciiTheme="minorHAnsi" w:hAnsiTheme="minorHAnsi"/>
                <w:sz w:val="18"/>
                <w:szCs w:val="18"/>
              </w:rPr>
              <w:lastRenderedPageBreak/>
              <w:t>oprávnenými prijímateľmi z OP RH</w:t>
            </w:r>
          </w:p>
          <w:p w14:paraId="6F8B0439" w14:textId="0BB8D2AC" w:rsidR="00695FC6" w:rsidRPr="00695FC6" w:rsidRDefault="00695FC6" w:rsidP="00695F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FC6">
              <w:rPr>
                <w:rFonts w:asciiTheme="minorHAnsi" w:hAnsiTheme="minorHAnsi"/>
                <w:sz w:val="18"/>
                <w:szCs w:val="18"/>
              </w:rPr>
              <w:t>- mikro a malé podniky s počtom do 49 zamestnancov, okrem tých, ktoré sú oprávnenými prijímateľmi z PRV v opatrení LEADER a oprávnenými prijímateľmi z OP RH</w:t>
            </w:r>
          </w:p>
          <w:p w14:paraId="432DE150" w14:textId="77777777" w:rsidR="00695FC6" w:rsidRPr="00695FC6" w:rsidRDefault="00695FC6" w:rsidP="00695F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FC6">
              <w:rPr>
                <w:rFonts w:asciiTheme="minorHAnsi" w:hAnsiTheme="minorHAnsi"/>
                <w:sz w:val="18"/>
                <w:szCs w:val="18"/>
              </w:rPr>
              <w:t>Demarkačná línia medzi opatreniami PRV a IROP</w:t>
            </w:r>
          </w:p>
          <w:p w14:paraId="3D09FF24" w14:textId="52299566" w:rsidR="003E7163" w:rsidRPr="00695FC6" w:rsidRDefault="00695FC6" w:rsidP="00695F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FC6">
              <w:rPr>
                <w:rFonts w:asciiTheme="minorHAnsi" w:hAnsiTheme="minorHAnsi"/>
                <w:sz w:val="18"/>
                <w:szCs w:val="18"/>
              </w:rPr>
              <w:t>Pri obdobných oblastiach podpory vo všeobecnosti platí, že z EPFRV sú oprávnení poľnohospodári, spracovatelia poľnohospodárskych a potravinárskych výrobkov, obhospodarovatelia lesa, v prípade investícií do nepoľnohospodárskych činností subjekty s podielom tržieb z poľnohospodárskej a lesníckej činnosti nad 30 %. Z EFRR (IROP) sú v rámci podpory podnikania potom oprávnené subjekty, ktoré nie sú oprávnené z PRV.</w:t>
            </w:r>
          </w:p>
        </w:tc>
        <w:tc>
          <w:tcPr>
            <w:tcW w:w="1371" w:type="dxa"/>
            <w:vAlign w:val="center"/>
          </w:tcPr>
          <w:p w14:paraId="3D09FF25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14:paraId="3D09FF26" w14:textId="701A63E7" w:rsidR="003E7163" w:rsidRPr="00E4368A" w:rsidRDefault="005E49AF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  <w:r w:rsidR="00044454">
              <w:rPr>
                <w:rFonts w:asciiTheme="minorHAnsi" w:hAnsiTheme="minorHAnsi"/>
                <w:sz w:val="22"/>
              </w:rPr>
              <w:t>6</w:t>
            </w:r>
            <w:r w:rsidR="003E7163" w:rsidRPr="00217CEC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>2020</w:t>
            </w:r>
          </w:p>
        </w:tc>
        <w:tc>
          <w:tcPr>
            <w:tcW w:w="1542" w:type="dxa"/>
            <w:vAlign w:val="center"/>
          </w:tcPr>
          <w:p w14:paraId="3D09FF27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14:paraId="3D09FF28" w14:textId="1DA9668C" w:rsidR="003E7163" w:rsidRPr="00E4368A" w:rsidRDefault="005D2C7D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301</w:t>
            </w:r>
            <w:r w:rsidR="00D3068C">
              <w:rPr>
                <w:rFonts w:asciiTheme="minorHAnsi" w:hAnsiTheme="minorHAnsi"/>
                <w:sz w:val="22"/>
              </w:rPr>
              <w:t> 000,00 EUR</w:t>
            </w:r>
          </w:p>
        </w:tc>
      </w:tr>
    </w:tbl>
    <w:p w14:paraId="3D09FF32" w14:textId="77777777"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85C9" w14:textId="77777777" w:rsidR="008E6F12" w:rsidRDefault="008E6F12" w:rsidP="00C057E2">
      <w:pPr>
        <w:spacing w:after="0" w:line="240" w:lineRule="auto"/>
      </w:pPr>
      <w:r>
        <w:separator/>
      </w:r>
    </w:p>
  </w:endnote>
  <w:endnote w:type="continuationSeparator" w:id="0">
    <w:p w14:paraId="4BD36875" w14:textId="77777777" w:rsidR="008E6F12" w:rsidRDefault="008E6F12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FF3C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09FF4E" wp14:editId="3D09FF4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D6384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D09FF3D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9FF50" wp14:editId="3D09FF5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14:paraId="3D09FF3E" w14:textId="77777777" w:rsidR="006B7927" w:rsidRDefault="006B7927" w:rsidP="006B7927">
    <w:pPr>
      <w:pStyle w:val="Pta"/>
    </w:pPr>
  </w:p>
  <w:p w14:paraId="3D09FF3F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E854" w14:textId="77777777" w:rsidR="008E6F12" w:rsidRDefault="008E6F12" w:rsidP="00C057E2">
      <w:pPr>
        <w:spacing w:after="0" w:line="240" w:lineRule="auto"/>
      </w:pPr>
      <w:r>
        <w:separator/>
      </w:r>
    </w:p>
  </w:footnote>
  <w:footnote w:type="continuationSeparator" w:id="0">
    <w:p w14:paraId="14189459" w14:textId="77777777" w:rsidR="008E6F12" w:rsidRDefault="008E6F12" w:rsidP="00C057E2">
      <w:pPr>
        <w:spacing w:after="0" w:line="240" w:lineRule="auto"/>
      </w:pPr>
      <w:r>
        <w:continuationSeparator/>
      </w:r>
    </w:p>
  </w:footnote>
  <w:footnote w:id="1">
    <w:p w14:paraId="3D09FF52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3D09FF53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14:paraId="3D09FF54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3D09FF55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3D09FF56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3D09FF57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3D09FF58" w14:textId="77777777"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FF39" w14:textId="2B25C70D" w:rsidR="00413B16" w:rsidRPr="001F013A" w:rsidRDefault="007E005E" w:rsidP="00413B1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3521370" wp14:editId="3155895A">
          <wp:simplePos x="0" y="0"/>
          <wp:positionH relativeFrom="column">
            <wp:posOffset>268605</wp:posOffset>
          </wp:positionH>
          <wp:positionV relativeFrom="paragraph">
            <wp:posOffset>-259080</wp:posOffset>
          </wp:positionV>
          <wp:extent cx="1085850" cy="881244"/>
          <wp:effectExtent l="0" t="0" r="0" b="0"/>
          <wp:wrapNone/>
          <wp:docPr id="4" name="Obrázok 4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402" cy="89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3D09FF46" wp14:editId="3D09FF47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3D09FF48" wp14:editId="3D09FF49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3D09FF4C" wp14:editId="55F17517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9FF3A" w14:textId="77777777" w:rsidR="00413B16" w:rsidRDefault="00413B16" w:rsidP="00413B16">
    <w:pPr>
      <w:pStyle w:val="Hlavika"/>
    </w:pPr>
  </w:p>
  <w:p w14:paraId="3D09FF3B" w14:textId="77777777"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33641"/>
    <w:multiLevelType w:val="hybridMultilevel"/>
    <w:tmpl w:val="B758527A"/>
    <w:lvl w:ilvl="0" w:tplc="546C2D0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44454"/>
    <w:rsid w:val="00095F84"/>
    <w:rsid w:val="000B0C58"/>
    <w:rsid w:val="000E7996"/>
    <w:rsid w:val="0010589A"/>
    <w:rsid w:val="00117D56"/>
    <w:rsid w:val="00141373"/>
    <w:rsid w:val="00165D1E"/>
    <w:rsid w:val="00187F2F"/>
    <w:rsid w:val="0019444C"/>
    <w:rsid w:val="00217CEC"/>
    <w:rsid w:val="00242051"/>
    <w:rsid w:val="00281CA7"/>
    <w:rsid w:val="00295FD9"/>
    <w:rsid w:val="002A6198"/>
    <w:rsid w:val="002B1D4F"/>
    <w:rsid w:val="002E6DD1"/>
    <w:rsid w:val="00311C83"/>
    <w:rsid w:val="003377A7"/>
    <w:rsid w:val="003632C4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C18C9"/>
    <w:rsid w:val="005D2C7D"/>
    <w:rsid w:val="005E49AF"/>
    <w:rsid w:val="006300A5"/>
    <w:rsid w:val="00684CDD"/>
    <w:rsid w:val="00695FC6"/>
    <w:rsid w:val="0069646F"/>
    <w:rsid w:val="006B7927"/>
    <w:rsid w:val="006F1BA0"/>
    <w:rsid w:val="0070774B"/>
    <w:rsid w:val="00774618"/>
    <w:rsid w:val="0079366E"/>
    <w:rsid w:val="007E005E"/>
    <w:rsid w:val="007F08EA"/>
    <w:rsid w:val="008334F9"/>
    <w:rsid w:val="00836AC8"/>
    <w:rsid w:val="008D0C3E"/>
    <w:rsid w:val="008E0389"/>
    <w:rsid w:val="008E6F12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34FC"/>
    <w:rsid w:val="00BE75A4"/>
    <w:rsid w:val="00BF1E73"/>
    <w:rsid w:val="00C057E2"/>
    <w:rsid w:val="00C35B10"/>
    <w:rsid w:val="00C3759E"/>
    <w:rsid w:val="00C43EE3"/>
    <w:rsid w:val="00CB4492"/>
    <w:rsid w:val="00D04DA3"/>
    <w:rsid w:val="00D24170"/>
    <w:rsid w:val="00D3068C"/>
    <w:rsid w:val="00D61E17"/>
    <w:rsid w:val="00D62C3C"/>
    <w:rsid w:val="00D713E2"/>
    <w:rsid w:val="00D873FA"/>
    <w:rsid w:val="00E4368A"/>
    <w:rsid w:val="00E85D90"/>
    <w:rsid w:val="00E866FD"/>
    <w:rsid w:val="00E901DF"/>
    <w:rsid w:val="00EB1409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9FEFE"/>
  <w15:docId w15:val="{7B2DA104-E601-475D-ACD2-DE585BF3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087B-72DF-4AD0-919C-DABA539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Varga</dc:creator>
  <cp:keywords/>
  <dc:description/>
  <cp:lastModifiedBy>Krisztina Varga</cp:lastModifiedBy>
  <cp:revision>8</cp:revision>
  <dcterms:created xsi:type="dcterms:W3CDTF">2020-07-15T10:56:00Z</dcterms:created>
  <dcterms:modified xsi:type="dcterms:W3CDTF">2020-07-16T09:16:00Z</dcterms:modified>
</cp:coreProperties>
</file>