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bookmarkStart w:id="0" w:name="_GoBack"/>
      <w:bookmarkEnd w:id="0"/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="00F37B13">
        <w:rPr>
          <w:rFonts w:asciiTheme="minorHAnsi" w:hAnsiTheme="minorHAnsi"/>
          <w:b/>
          <w:i/>
          <w:sz w:val="22"/>
        </w:rPr>
        <w:t xml:space="preserve"> 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F37B13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4B0D6D">
        <w:rPr>
          <w:rFonts w:asciiTheme="minorHAnsi" w:hAnsiTheme="minorHAnsi"/>
          <w:i/>
          <w:sz w:val="22"/>
        </w:rPr>
        <w:t>Stratégia CLLD Miestnej akčnej skupiny Strážovské vrchy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4B0D6D">
        <w:rPr>
          <w:rFonts w:asciiTheme="minorHAnsi" w:hAnsiTheme="minorHAnsi"/>
          <w:i/>
          <w:sz w:val="22"/>
        </w:rPr>
        <w:t>Miestna akčná skupina Strážovské vrchy</w:t>
      </w:r>
    </w:p>
    <w:p w:rsidR="009C7008" w:rsidRPr="00D65D1E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D65D1E" w:rsidRPr="00D65D1E">
        <w:rPr>
          <w:rFonts w:asciiTheme="minorHAnsi" w:hAnsiTheme="minorHAnsi"/>
          <w:i/>
          <w:sz w:val="22"/>
        </w:rPr>
        <w:t>04.06.2020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D65D1E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571E66" w:rsidRDefault="00413A56" w:rsidP="00E4368A">
            <w:pPr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5.1.1 Zvýšenie zamestnanosti na miestnej úrovni podporou podnikania a inovácií</w:t>
            </w:r>
          </w:p>
        </w:tc>
        <w:tc>
          <w:tcPr>
            <w:tcW w:w="2144" w:type="dxa"/>
          </w:tcPr>
          <w:p w:rsidR="00413A56" w:rsidRPr="00571E66" w:rsidRDefault="00413A56" w:rsidP="00413A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1E66">
              <w:rPr>
                <w:rFonts w:asciiTheme="minorHAnsi" w:hAnsiTheme="minorHAnsi"/>
                <w:bCs/>
                <w:sz w:val="22"/>
                <w:szCs w:val="22"/>
              </w:rPr>
              <w:t>A1 Podpora podnikania a inovácií</w:t>
            </w:r>
          </w:p>
          <w:p w:rsidR="003E7163" w:rsidRPr="00571E66" w:rsidRDefault="003E7163" w:rsidP="00E436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413A56" w:rsidRPr="00571E66" w:rsidRDefault="00413A56" w:rsidP="00413A56">
            <w:pPr>
              <w:jc w:val="both"/>
              <w:rPr>
                <w:rFonts w:asciiTheme="minorHAnsi" w:hAnsiTheme="minorHAnsi" w:cs="Times New Roman"/>
                <w:sz w:val="22"/>
              </w:rPr>
            </w:pPr>
            <w:r w:rsidRPr="00571E66">
              <w:rPr>
                <w:rFonts w:asciiTheme="minorHAnsi" w:hAnsiTheme="minorHAnsi" w:cs="Times New Roman"/>
                <w:sz w:val="22"/>
              </w:rPr>
              <w:t xml:space="preserve">-samostatne zárobkovo činné osoby, okrem tých, ktoré sú oprávnenými prijímateľmi z PRV v opatrení </w:t>
            </w:r>
            <w:r w:rsidRPr="00571E66">
              <w:rPr>
                <w:rFonts w:asciiTheme="minorHAnsi" w:hAnsiTheme="minorHAnsi" w:cs="Times New Roman"/>
                <w:sz w:val="22"/>
              </w:rPr>
              <w:lastRenderedPageBreak/>
              <w:t>LEADER a oprávnenými prijímateľmi z OP RH</w:t>
            </w:r>
          </w:p>
          <w:p w:rsidR="003E7163" w:rsidRPr="00571E66" w:rsidRDefault="00413A56" w:rsidP="00413A56">
            <w:pPr>
              <w:jc w:val="both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 w:cs="Times New Roman"/>
                <w:sz w:val="22"/>
              </w:rPr>
              <w:t>-mikro a malé podniky s počtom do 49 zamestnancov, okrem tých, ktoré sú oprávnenými prijímateľmi z PRV v opatrení LEADER a oprávnenými prijímateľmi z OP RH</w:t>
            </w:r>
          </w:p>
        </w:tc>
        <w:tc>
          <w:tcPr>
            <w:tcW w:w="1371" w:type="dxa"/>
            <w:vAlign w:val="center"/>
          </w:tcPr>
          <w:p w:rsidR="003E7163" w:rsidRPr="00571E66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3E7163" w:rsidRPr="00571E66" w:rsidRDefault="00D65D1E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07/2020</w:t>
            </w:r>
          </w:p>
        </w:tc>
        <w:tc>
          <w:tcPr>
            <w:tcW w:w="1542" w:type="dxa"/>
            <w:vAlign w:val="center"/>
          </w:tcPr>
          <w:p w:rsidR="003E7163" w:rsidRPr="00571E66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325 615,52</w:t>
            </w:r>
          </w:p>
        </w:tc>
      </w:tr>
      <w:tr w:rsidR="00571E66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571E66" w:rsidRPr="00571E66" w:rsidRDefault="00571E66" w:rsidP="00571E66">
            <w:pPr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5.1.2 Zlepšenie udržateľných vzťahov medzi vidieckymi rozvojovými centrami a ich zázemím vo verejných službách a vo verejných infraštruktúrach.</w:t>
            </w:r>
          </w:p>
        </w:tc>
        <w:tc>
          <w:tcPr>
            <w:tcW w:w="2144" w:type="dxa"/>
          </w:tcPr>
          <w:p w:rsidR="00571E66" w:rsidRPr="00571E66" w:rsidRDefault="00571E66" w:rsidP="00571E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1E66">
              <w:rPr>
                <w:rFonts w:asciiTheme="minorHAnsi" w:hAnsiTheme="minorHAnsi"/>
                <w:sz w:val="22"/>
                <w:szCs w:val="22"/>
              </w:rPr>
              <w:t xml:space="preserve">B2. Zvyšovanie bezpečnosti a dostupnosti sídiel </w:t>
            </w:r>
          </w:p>
          <w:p w:rsidR="00571E66" w:rsidRPr="00571E66" w:rsidRDefault="00571E66" w:rsidP="00571E66">
            <w:pPr>
              <w:jc w:val="both"/>
              <w:rPr>
                <w:rFonts w:asciiTheme="minorHAnsi" w:hAnsiTheme="minorHAnsi" w:cs="Times New Roman"/>
                <w:i/>
                <w:color w:val="000000" w:themeColor="text1"/>
                <w:sz w:val="22"/>
              </w:rPr>
            </w:pPr>
          </w:p>
          <w:p w:rsidR="00571E66" w:rsidRPr="00571E66" w:rsidRDefault="00571E66" w:rsidP="00571E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571E66" w:rsidRPr="00571E66" w:rsidRDefault="00571E66" w:rsidP="00571E66">
            <w:p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571E66">
              <w:rPr>
                <w:rFonts w:asciiTheme="minorHAnsi" w:eastAsia="Calibri" w:hAnsiTheme="minorHAnsi" w:cs="Times New Roman"/>
                <w:sz w:val="22"/>
              </w:rPr>
              <w:t>-     Obce</w:t>
            </w:r>
          </w:p>
          <w:p w:rsidR="00571E66" w:rsidRPr="00571E66" w:rsidRDefault="00571E66" w:rsidP="00571E66">
            <w:pPr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eastAsia="Calibri" w:hAnsiTheme="minorHAnsi" w:cs="Times New Roman"/>
                <w:sz w:val="22"/>
              </w:rPr>
              <w:t>-     Združenia miest a obcí</w:t>
            </w:r>
          </w:p>
        </w:tc>
        <w:tc>
          <w:tcPr>
            <w:tcW w:w="1371" w:type="dxa"/>
            <w:vAlign w:val="center"/>
          </w:tcPr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571E66" w:rsidRPr="00571E66" w:rsidRDefault="00D65D1E" w:rsidP="00571E6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07/2020</w:t>
            </w:r>
          </w:p>
        </w:tc>
        <w:tc>
          <w:tcPr>
            <w:tcW w:w="1542" w:type="dxa"/>
            <w:vAlign w:val="center"/>
          </w:tcPr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50 000,-</w:t>
            </w:r>
          </w:p>
        </w:tc>
      </w:tr>
      <w:tr w:rsidR="00571E66" w:rsidRPr="00E4368A" w:rsidTr="00F63046">
        <w:trPr>
          <w:trHeight w:val="252"/>
          <w:jc w:val="center"/>
        </w:trPr>
        <w:tc>
          <w:tcPr>
            <w:tcW w:w="2058" w:type="dxa"/>
          </w:tcPr>
          <w:p w:rsidR="00571E66" w:rsidRPr="00571E66" w:rsidRDefault="00571E66" w:rsidP="00571E66">
            <w:pPr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 xml:space="preserve">5.1.2 Zlepšenie udržateľných vzťahov medzi vidieckymi rozvojovými </w:t>
            </w:r>
            <w:r w:rsidRPr="00571E66">
              <w:rPr>
                <w:rFonts w:asciiTheme="minorHAnsi" w:hAnsiTheme="minorHAnsi"/>
                <w:sz w:val="22"/>
              </w:rPr>
              <w:lastRenderedPageBreak/>
              <w:t xml:space="preserve">centrami a ich zázemím vo verejných službách a vo </w:t>
            </w:r>
          </w:p>
          <w:p w:rsidR="00571E66" w:rsidRPr="00571E66" w:rsidRDefault="00571E66" w:rsidP="00571E66">
            <w:pPr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verejných infraštruktúrach.</w:t>
            </w:r>
          </w:p>
        </w:tc>
        <w:tc>
          <w:tcPr>
            <w:tcW w:w="2144" w:type="dxa"/>
          </w:tcPr>
          <w:p w:rsidR="00571E66" w:rsidRPr="00571E66" w:rsidRDefault="00571E66" w:rsidP="00571E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71E66" w:rsidRPr="00571E66" w:rsidRDefault="00571E66" w:rsidP="00571E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1E66">
              <w:rPr>
                <w:rFonts w:asciiTheme="minorHAnsi" w:hAnsiTheme="minorHAnsi"/>
                <w:sz w:val="22"/>
                <w:szCs w:val="22"/>
              </w:rPr>
              <w:t xml:space="preserve">D2. Skvalitnenie a rozšírenie kapacít predškolských zariadení </w:t>
            </w:r>
          </w:p>
          <w:p w:rsidR="00571E66" w:rsidRPr="00571E66" w:rsidRDefault="00571E66" w:rsidP="00571E6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6" w:type="dxa"/>
          </w:tcPr>
          <w:p w:rsidR="00571E66" w:rsidRPr="00571E66" w:rsidRDefault="00571E66" w:rsidP="00571E66">
            <w:pPr>
              <w:jc w:val="both"/>
              <w:rPr>
                <w:rFonts w:asciiTheme="minorHAnsi" w:eastAsia="Calibri" w:hAnsiTheme="minorHAnsi" w:cs="Times New Roman"/>
                <w:sz w:val="22"/>
              </w:rPr>
            </w:pPr>
          </w:p>
          <w:p w:rsidR="00571E66" w:rsidRPr="00571E66" w:rsidRDefault="00571E66" w:rsidP="00571E66">
            <w:p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571E66">
              <w:rPr>
                <w:rFonts w:asciiTheme="minorHAnsi" w:eastAsia="Calibri" w:hAnsiTheme="minorHAnsi" w:cs="Times New Roman"/>
                <w:sz w:val="22"/>
              </w:rPr>
              <w:t>-     Obce</w:t>
            </w:r>
          </w:p>
          <w:p w:rsidR="00571E66" w:rsidRPr="00571E66" w:rsidRDefault="00571E66" w:rsidP="00571E66">
            <w:pPr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eastAsia="Calibri" w:hAnsiTheme="minorHAnsi" w:cs="Times New Roman"/>
                <w:sz w:val="22"/>
              </w:rPr>
              <w:t>-     Združenia miest a obcí</w:t>
            </w:r>
          </w:p>
        </w:tc>
        <w:tc>
          <w:tcPr>
            <w:tcW w:w="1371" w:type="dxa"/>
            <w:vAlign w:val="center"/>
          </w:tcPr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571E66" w:rsidRPr="00571E66" w:rsidRDefault="00D65D1E" w:rsidP="00571E6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07/2020</w:t>
            </w:r>
          </w:p>
        </w:tc>
        <w:tc>
          <w:tcPr>
            <w:tcW w:w="1542" w:type="dxa"/>
            <w:vAlign w:val="center"/>
          </w:tcPr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</w:tcPr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71E66" w:rsidRPr="00571E66" w:rsidRDefault="00571E66" w:rsidP="00571E66">
            <w:pPr>
              <w:jc w:val="center"/>
              <w:rPr>
                <w:rFonts w:asciiTheme="minorHAnsi" w:hAnsiTheme="minorHAnsi"/>
                <w:sz w:val="22"/>
              </w:rPr>
            </w:pPr>
            <w:r w:rsidRPr="00571E66">
              <w:rPr>
                <w:rFonts w:asciiTheme="minorHAnsi" w:hAnsiTheme="minorHAnsi"/>
                <w:sz w:val="22"/>
              </w:rPr>
              <w:t>10 000,-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40" w:rsidRDefault="00D32F40" w:rsidP="00C057E2">
      <w:pPr>
        <w:spacing w:after="0" w:line="240" w:lineRule="auto"/>
      </w:pPr>
      <w:r>
        <w:separator/>
      </w:r>
    </w:p>
  </w:endnote>
  <w:endnote w:type="continuationSeparator" w:id="0">
    <w:p w:rsidR="00D32F40" w:rsidRDefault="00D32F40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7" w:rsidRDefault="006B7927" w:rsidP="006B7927">
    <w:pPr>
      <w:pStyle w:val="Pta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5D283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7B13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40" w:rsidRDefault="00D32F40" w:rsidP="00C057E2">
      <w:pPr>
        <w:spacing w:after="0" w:line="240" w:lineRule="auto"/>
      </w:pPr>
      <w:r>
        <w:separator/>
      </w:r>
    </w:p>
  </w:footnote>
  <w:footnote w:type="continuationSeparator" w:id="0">
    <w:p w:rsidR="00D32F40" w:rsidRDefault="00D32F40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16" w:rsidRPr="001F013A" w:rsidRDefault="004B0D6D" w:rsidP="00413B1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-363855</wp:posOffset>
          </wp:positionV>
          <wp:extent cx="1409700" cy="936744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 S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096"/>
                  <a:stretch/>
                </pic:blipFill>
                <pic:spPr bwMode="auto">
                  <a:xfrm>
                    <a:off x="0" y="0"/>
                    <a:ext cx="1409700" cy="936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57728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54656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60800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7CEC"/>
    <w:rsid w:val="00242051"/>
    <w:rsid w:val="00295FD9"/>
    <w:rsid w:val="002E6DD1"/>
    <w:rsid w:val="00311C83"/>
    <w:rsid w:val="003377A7"/>
    <w:rsid w:val="003632C4"/>
    <w:rsid w:val="003C7C46"/>
    <w:rsid w:val="003E6833"/>
    <w:rsid w:val="003E7163"/>
    <w:rsid w:val="00413A56"/>
    <w:rsid w:val="00413B16"/>
    <w:rsid w:val="00454F56"/>
    <w:rsid w:val="004B0D6D"/>
    <w:rsid w:val="004E0C17"/>
    <w:rsid w:val="004E4086"/>
    <w:rsid w:val="0050129E"/>
    <w:rsid w:val="005154E6"/>
    <w:rsid w:val="0054045C"/>
    <w:rsid w:val="00571E66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07B94"/>
    <w:rsid w:val="00A17DAB"/>
    <w:rsid w:val="00A9035D"/>
    <w:rsid w:val="00AC6266"/>
    <w:rsid w:val="00B41A8E"/>
    <w:rsid w:val="00B67CCB"/>
    <w:rsid w:val="00B74E9F"/>
    <w:rsid w:val="00BA5823"/>
    <w:rsid w:val="00BE75A4"/>
    <w:rsid w:val="00BF1E73"/>
    <w:rsid w:val="00C057E2"/>
    <w:rsid w:val="00C35B10"/>
    <w:rsid w:val="00C43EE3"/>
    <w:rsid w:val="00CB4492"/>
    <w:rsid w:val="00D04DA3"/>
    <w:rsid w:val="00D32F40"/>
    <w:rsid w:val="00D61E17"/>
    <w:rsid w:val="00D62C3C"/>
    <w:rsid w:val="00D65D1E"/>
    <w:rsid w:val="00D873FA"/>
    <w:rsid w:val="00E4368A"/>
    <w:rsid w:val="00E85D90"/>
    <w:rsid w:val="00E866FD"/>
    <w:rsid w:val="00F37B13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E3725-395C-40B7-9587-486A6D9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13A5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9A"/>
    <w:rsid w:val="00043F2B"/>
    <w:rsid w:val="00063E9A"/>
    <w:rsid w:val="00084A5A"/>
    <w:rsid w:val="000D3608"/>
    <w:rsid w:val="000E779A"/>
    <w:rsid w:val="001C7E41"/>
    <w:rsid w:val="003109A6"/>
    <w:rsid w:val="00363EFE"/>
    <w:rsid w:val="003954DE"/>
    <w:rsid w:val="003A5A61"/>
    <w:rsid w:val="004E113A"/>
    <w:rsid w:val="00581B5B"/>
    <w:rsid w:val="00617F0B"/>
    <w:rsid w:val="00660156"/>
    <w:rsid w:val="006811BD"/>
    <w:rsid w:val="006F05AD"/>
    <w:rsid w:val="00727D5B"/>
    <w:rsid w:val="009A32BA"/>
    <w:rsid w:val="00B9281C"/>
    <w:rsid w:val="00BC5EC3"/>
    <w:rsid w:val="00C37343"/>
    <w:rsid w:val="00D46A70"/>
    <w:rsid w:val="00D7485B"/>
    <w:rsid w:val="00E47B71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BC47-F914-48EA-AA84-AEF3153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2020-06-17T11:41:00Z</dcterms:created>
  <dcterms:modified xsi:type="dcterms:W3CDTF">2020-06-17T11:41:00Z</dcterms:modified>
</cp:coreProperties>
</file>