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Integrovaný regionálny operačný program</w:t>
      </w:r>
    </w:p>
    <w:p w:rsidR="00413B16" w:rsidRPr="002A752A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>2014 – 2020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2A752A">
        <w:rPr>
          <w:rFonts w:ascii="Calibri" w:hAnsi="Calibri" w:cs="Arial"/>
          <w:b/>
          <w:color w:val="1F497D"/>
          <w:sz w:val="36"/>
          <w:szCs w:val="36"/>
        </w:rPr>
        <w:t xml:space="preserve">Prioritná os </w:t>
      </w:r>
      <w:r>
        <w:rPr>
          <w:rFonts w:ascii="Calibri" w:hAnsi="Calibri" w:cs="Arial"/>
          <w:b/>
          <w:color w:val="1F497D"/>
          <w:sz w:val="36"/>
          <w:szCs w:val="36"/>
        </w:rPr>
        <w:t>5 Miestny rozvoj vedený komunitou</w:t>
      </w:r>
    </w:p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Pr="006642B9" w:rsidRDefault="005154E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Vzor Harmonogramu výziev</w:t>
      </w:r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Vzor č.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948EDF264937401B850B78A1D6B58E6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217CEC">
            <w:rPr>
              <w:rFonts w:ascii="Calibri" w:hAnsi="Calibri" w:cs="Arial"/>
              <w:b/>
              <w:color w:val="1F497D"/>
              <w:sz w:val="36"/>
              <w:szCs w:val="36"/>
            </w:rPr>
            <w:t>10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  <w:r w:rsidRPr="006642B9">
        <w:rPr>
          <w:rFonts w:ascii="Calibri" w:hAnsi="Calibri" w:cs="Arial"/>
          <w:b/>
          <w:color w:val="1F497D"/>
          <w:sz w:val="36"/>
          <w:szCs w:val="36"/>
        </w:rPr>
        <w:t xml:space="preserve">verzia </w:t>
      </w:r>
      <w:sdt>
        <w:sdtPr>
          <w:rPr>
            <w:rFonts w:ascii="Calibri" w:hAnsi="Calibri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C00230EDF92E41D7B2078735403BCF6B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D61E17">
            <w:rPr>
              <w:rFonts w:ascii="Calibri" w:hAnsi="Calibri" w:cs="Arial"/>
              <w:b/>
              <w:color w:val="1F497D"/>
              <w:sz w:val="36"/>
              <w:szCs w:val="36"/>
            </w:rPr>
            <w:t>1</w:t>
          </w:r>
        </w:sdtContent>
      </w:sdt>
    </w:p>
    <w:p w:rsidR="00413B16" w:rsidRPr="006642B9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413B16" w:rsidRDefault="00413B16" w:rsidP="00413B16">
      <w:pPr>
        <w:spacing w:before="120" w:after="120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Určené pre: Miestne akčné skupiny (MAS)</w:t>
      </w:r>
    </w:p>
    <w:p w:rsidR="00413B16" w:rsidRDefault="00413B16" w:rsidP="00413B16">
      <w:pPr>
        <w:spacing w:before="120" w:after="120"/>
        <w:ind w:left="1843" w:hanging="1843"/>
        <w:jc w:val="both"/>
        <w:rPr>
          <w:rFonts w:ascii="Calibri" w:hAnsi="Calibri" w:cs="Arial"/>
          <w:b/>
          <w:color w:val="1F497D"/>
          <w:sz w:val="36"/>
          <w:szCs w:val="36"/>
        </w:rPr>
      </w:pPr>
      <w:r>
        <w:rPr>
          <w:rFonts w:ascii="Calibri" w:hAnsi="Calibri" w:cs="Arial"/>
          <w:b/>
          <w:color w:val="1F497D"/>
          <w:sz w:val="36"/>
          <w:szCs w:val="36"/>
        </w:rPr>
        <w:t>Záväznosť:</w:t>
      </w:r>
      <w:r>
        <w:rPr>
          <w:rFonts w:ascii="Calibri" w:hAnsi="Calibri" w:cs="Arial"/>
          <w:b/>
          <w:color w:val="1F497D"/>
          <w:sz w:val="36"/>
          <w:szCs w:val="36"/>
        </w:rPr>
        <w:tab/>
      </w:r>
      <w:r w:rsidRPr="00940716">
        <w:rPr>
          <w:rFonts w:ascii="Calibri" w:hAnsi="Calibri" w:cs="Arial"/>
          <w:b/>
          <w:color w:val="1F497D"/>
          <w:sz w:val="36"/>
          <w:szCs w:val="36"/>
        </w:rPr>
        <w:t xml:space="preserve">Vzor je pre </w:t>
      </w:r>
      <w:r>
        <w:rPr>
          <w:rFonts w:ascii="Calibri" w:hAnsi="Calibri" w:cs="Arial"/>
          <w:b/>
          <w:color w:val="1F497D"/>
          <w:sz w:val="36"/>
          <w:szCs w:val="36"/>
        </w:rPr>
        <w:t>MAS záväzný.</w:t>
      </w:r>
    </w:p>
    <w:p w:rsidR="00413B16" w:rsidRDefault="00413B16" w:rsidP="00413B16">
      <w:pPr>
        <w:spacing w:after="0" w:line="240" w:lineRule="auto"/>
        <w:rPr>
          <w:rFonts w:eastAsia="Times New Roman" w:cs="Times New Roman"/>
          <w:b/>
          <w:sz w:val="28"/>
          <w:szCs w:val="20"/>
        </w:rPr>
      </w:pPr>
    </w:p>
    <w:p w:rsidR="00413B16" w:rsidRPr="002A752A" w:rsidRDefault="00413B16" w:rsidP="00413B16">
      <w:pPr>
        <w:rPr>
          <w:rFonts w:ascii="Calibri" w:eastAsia="Calibri" w:hAnsi="Calibri" w:cs="Arial"/>
          <w:b/>
          <w:smallCaps/>
          <w:sz w:val="20"/>
          <w:szCs w:val="20"/>
        </w:rPr>
      </w:pPr>
    </w:p>
    <w:p w:rsidR="00413B16" w:rsidRPr="00FC401E" w:rsidRDefault="00413B16" w:rsidP="00413B16">
      <w:pPr>
        <w:pStyle w:val="Nadpis1"/>
        <w:rPr>
          <w:rFonts w:asciiTheme="minorHAnsi" w:hAnsiTheme="minorHAnsi"/>
          <w:b/>
          <w:sz w:val="36"/>
        </w:rPr>
      </w:pPr>
      <w:bookmarkStart w:id="0" w:name="_Ref494968963"/>
      <w:r w:rsidRPr="00FC401E">
        <w:rPr>
          <w:rFonts w:asciiTheme="minorHAnsi" w:eastAsiaTheme="minorEastAsia" w:hAnsiTheme="minorHAnsi"/>
          <w:b/>
          <w:sz w:val="36"/>
        </w:rPr>
        <w:t xml:space="preserve">Dátum platnosti od:  </w:t>
      </w:r>
      <w:sdt>
        <w:sdtPr>
          <w:rPr>
            <w:rFonts w:asciiTheme="minorHAnsi" w:hAnsiTheme="minorHAnsi"/>
            <w:b/>
            <w:sz w:val="36"/>
          </w:rPr>
          <w:id w:val="1463773424"/>
          <w:placeholder>
            <w:docPart w:val="077F3E213F6140F1BE8CC8103E878869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9646F">
            <w:rPr>
              <w:rFonts w:asciiTheme="minorHAnsi" w:hAnsiTheme="minorHAnsi"/>
              <w:b/>
              <w:sz w:val="36"/>
            </w:rPr>
            <w:t>05.10.2018</w:t>
          </w:r>
        </w:sdtContent>
      </w:sdt>
      <w:bookmarkEnd w:id="0"/>
    </w:p>
    <w:p w:rsidR="00413B16" w:rsidRPr="00413B16" w:rsidRDefault="00413B16" w:rsidP="00413B16">
      <w:pPr>
        <w:spacing w:before="120" w:after="120" w:line="240" w:lineRule="auto"/>
        <w:ind w:left="3540" w:firstLine="708"/>
        <w:jc w:val="center"/>
        <w:rPr>
          <w:rFonts w:asciiTheme="minorHAnsi" w:hAnsiTheme="minorHAnsi" w:cs="Arial"/>
          <w:sz w:val="20"/>
          <w:szCs w:val="20"/>
        </w:rPr>
      </w:pPr>
    </w:p>
    <w:p w:rsidR="009C7008" w:rsidRPr="00E4368A" w:rsidRDefault="009C7008">
      <w:pPr>
        <w:rPr>
          <w:rFonts w:asciiTheme="minorHAnsi" w:hAnsiTheme="minorHAnsi"/>
          <w:b/>
          <w:i/>
          <w:sz w:val="22"/>
        </w:rPr>
        <w:sectPr w:rsidR="009C7008" w:rsidRPr="00E4368A" w:rsidSect="009C7008">
          <w:headerReference w:type="default" r:id="rId8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lastRenderedPageBreak/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,,</w:t>
      </w:r>
      <w:r w:rsidR="00BE3586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 xml:space="preserve">“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,,</w:t>
      </w:r>
      <w:r w:rsidR="00BE3586">
        <w:rPr>
          <w:rFonts w:asciiTheme="minorHAnsi" w:hAnsiTheme="minorHAnsi"/>
          <w:b/>
          <w:i/>
          <w:sz w:val="22"/>
        </w:rPr>
        <w:t>2020</w:t>
      </w:r>
      <w:r w:rsidRPr="00E4368A">
        <w:rPr>
          <w:rFonts w:asciiTheme="minorHAnsi" w:hAnsiTheme="minorHAnsi"/>
          <w:b/>
          <w:i/>
          <w:sz w:val="22"/>
        </w:rPr>
        <w:t>“)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BE3586">
        <w:rPr>
          <w:rFonts w:asciiTheme="minorHAnsi" w:hAnsiTheme="minorHAnsi"/>
          <w:i/>
          <w:sz w:val="22"/>
        </w:rPr>
        <w:t>Stratégia miestneho rozvoja vedeného komunitou Občianskeho združenia Medzi riekami</w:t>
      </w:r>
    </w:p>
    <w:p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BE3586">
        <w:rPr>
          <w:rFonts w:asciiTheme="minorHAnsi" w:hAnsiTheme="minorHAnsi"/>
          <w:i/>
          <w:sz w:val="22"/>
        </w:rPr>
        <w:t>Občianske združenie Medzi riekami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2C5950">
        <w:rPr>
          <w:rFonts w:asciiTheme="minorHAnsi" w:hAnsiTheme="minorHAnsi"/>
          <w:i/>
          <w:sz w:val="22"/>
        </w:rPr>
        <w:t>26</w:t>
      </w:r>
      <w:r w:rsidR="0027514C">
        <w:rPr>
          <w:rFonts w:asciiTheme="minorHAnsi" w:hAnsiTheme="minorHAnsi"/>
          <w:i/>
          <w:sz w:val="22"/>
        </w:rPr>
        <w:t>.1</w:t>
      </w:r>
      <w:r w:rsidR="002C5950">
        <w:rPr>
          <w:rFonts w:asciiTheme="minorHAnsi" w:hAnsiTheme="minorHAnsi"/>
          <w:i/>
          <w:sz w:val="22"/>
        </w:rPr>
        <w:t>1</w:t>
      </w:r>
      <w:r w:rsidR="0027514C">
        <w:rPr>
          <w:rFonts w:asciiTheme="minorHAnsi" w:hAnsiTheme="minorHAnsi"/>
          <w:i/>
          <w:sz w:val="22"/>
        </w:rPr>
        <w:t>.2019</w:t>
      </w:r>
    </w:p>
    <w:p w:rsidR="0010589A" w:rsidRPr="00E4368A" w:rsidRDefault="009C7008" w:rsidP="002C5950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BE3586">
        <w:rPr>
          <w:rFonts w:asciiTheme="minorHAnsi" w:hAnsiTheme="minorHAnsi"/>
          <w:sz w:val="22"/>
        </w:rPr>
        <w:t>1</w:t>
      </w:r>
    </w:p>
    <w:tbl>
      <w:tblPr>
        <w:tblStyle w:val="Mriekatabuky"/>
        <w:tblW w:w="12451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144"/>
        <w:gridCol w:w="1786"/>
        <w:gridCol w:w="1371"/>
        <w:gridCol w:w="1542"/>
        <w:gridCol w:w="1542"/>
        <w:gridCol w:w="2008"/>
      </w:tblGrid>
      <w:tr w:rsidR="003E7163" w:rsidRPr="00E4368A" w:rsidTr="0050129E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14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1786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00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3E7163" w:rsidRPr="00E4368A" w:rsidTr="0050129E">
        <w:trPr>
          <w:trHeight w:val="566"/>
          <w:jc w:val="center"/>
        </w:trPr>
        <w:tc>
          <w:tcPr>
            <w:tcW w:w="2058" w:type="dxa"/>
            <w:vAlign w:val="center"/>
          </w:tcPr>
          <w:p w:rsidR="003E7163" w:rsidRPr="00E4368A" w:rsidRDefault="008C0F41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5.1.1 Zvýšenie zamestnanosti na miestnej úrovni podporou podnikania a inovácií</w:t>
            </w:r>
          </w:p>
        </w:tc>
        <w:tc>
          <w:tcPr>
            <w:tcW w:w="2144" w:type="dxa"/>
          </w:tcPr>
          <w:p w:rsidR="003E7163" w:rsidRPr="00E4368A" w:rsidRDefault="008C0F41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A1 Podpora podnikania a inovácií</w:t>
            </w:r>
          </w:p>
        </w:tc>
        <w:tc>
          <w:tcPr>
            <w:tcW w:w="1786" w:type="dxa"/>
            <w:vAlign w:val="center"/>
          </w:tcPr>
          <w:p w:rsidR="003E7163" w:rsidRPr="00E4368A" w:rsidRDefault="008C0F41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Samostatne zárobkovo činné osoby, </w:t>
            </w:r>
            <w:proofErr w:type="spellStart"/>
            <w:r>
              <w:rPr>
                <w:rFonts w:asciiTheme="minorHAnsi" w:hAnsiTheme="minorHAnsi"/>
                <w:sz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 malé podniky v súlade s IROP pre špecifický cieľ 5.1.1</w:t>
            </w:r>
          </w:p>
        </w:tc>
        <w:tc>
          <w:tcPr>
            <w:tcW w:w="1371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:rsidR="003E7163" w:rsidRPr="00E4368A" w:rsidRDefault="008C0F41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</w:t>
            </w:r>
            <w:r w:rsidR="003E7163" w:rsidRPr="00217CEC">
              <w:rPr>
                <w:rFonts w:asciiTheme="minorHAnsi" w:hAnsiTheme="minorHAnsi"/>
                <w:sz w:val="22"/>
              </w:rPr>
              <w:t>/</w:t>
            </w:r>
            <w:r>
              <w:rPr>
                <w:rFonts w:asciiTheme="minorHAnsi" w:hAnsiTheme="minorHAnsi"/>
                <w:sz w:val="22"/>
              </w:rPr>
              <w:t>2020</w:t>
            </w:r>
          </w:p>
        </w:tc>
        <w:tc>
          <w:tcPr>
            <w:tcW w:w="1542" w:type="dxa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  <w:vAlign w:val="center"/>
          </w:tcPr>
          <w:p w:rsidR="003E7163" w:rsidRPr="00E4368A" w:rsidRDefault="00E176F0" w:rsidP="00E436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340 000</w:t>
            </w:r>
            <w:r w:rsidR="008C0F41">
              <w:rPr>
                <w:rFonts w:asciiTheme="minorHAnsi" w:hAnsiTheme="minorHAnsi"/>
                <w:sz w:val="22"/>
              </w:rPr>
              <w:t>,00 €</w:t>
            </w:r>
          </w:p>
        </w:tc>
      </w:tr>
      <w:tr w:rsidR="003E7163" w:rsidRPr="00E4368A" w:rsidTr="0050129E">
        <w:trPr>
          <w:trHeight w:val="252"/>
          <w:jc w:val="center"/>
        </w:trPr>
        <w:tc>
          <w:tcPr>
            <w:tcW w:w="2058" w:type="dxa"/>
          </w:tcPr>
          <w:p w:rsidR="003E7163" w:rsidRPr="00E4368A" w:rsidRDefault="008C0F41" w:rsidP="0010589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3E7163" w:rsidRPr="00E4368A" w:rsidRDefault="008C0F41" w:rsidP="0010589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C1 Komunitné sociálne služby</w:t>
            </w:r>
          </w:p>
        </w:tc>
        <w:tc>
          <w:tcPr>
            <w:tcW w:w="1786" w:type="dxa"/>
          </w:tcPr>
          <w:p w:rsidR="003E7163" w:rsidRPr="008C0F41" w:rsidRDefault="008C0F41" w:rsidP="008C0F41">
            <w:pPr>
              <w:rPr>
                <w:rFonts w:asciiTheme="minorHAnsi" w:hAnsiTheme="minorHAnsi"/>
                <w:sz w:val="22"/>
              </w:rPr>
            </w:pPr>
            <w:r w:rsidRPr="008C0F41">
              <w:rPr>
                <w:rFonts w:asciiTheme="minorHAnsi" w:hAnsiTheme="minorHAnsi"/>
                <w:sz w:val="22"/>
              </w:rPr>
              <w:t>Obce,</w:t>
            </w:r>
          </w:p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8C0F41"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 w:rsidRPr="008C0F41">
              <w:rPr>
                <w:rFonts w:asciiTheme="minorHAnsi" w:hAnsiTheme="minorHAnsi"/>
                <w:sz w:val="22"/>
              </w:rPr>
              <w:t xml:space="preserve"> združenia</w:t>
            </w:r>
            <w:r>
              <w:rPr>
                <w:rFonts w:asciiTheme="minorHAnsi" w:hAnsiTheme="minorHAnsi"/>
                <w:sz w:val="22"/>
              </w:rPr>
              <w:t>,</w:t>
            </w:r>
          </w:p>
          <w:p w:rsidR="008C0F41" w:rsidRP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 neziskové organizácie, cirkevné organizácie</w:t>
            </w:r>
          </w:p>
        </w:tc>
        <w:tc>
          <w:tcPr>
            <w:tcW w:w="1371" w:type="dxa"/>
          </w:tcPr>
          <w:p w:rsidR="003E7163" w:rsidRPr="00E4368A" w:rsidRDefault="008C0F41" w:rsidP="008C0F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</w:tcPr>
          <w:p w:rsidR="003E7163" w:rsidRPr="00E4368A" w:rsidRDefault="008C0F41" w:rsidP="008C0F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02/2020</w:t>
            </w:r>
          </w:p>
        </w:tc>
        <w:tc>
          <w:tcPr>
            <w:tcW w:w="1542" w:type="dxa"/>
          </w:tcPr>
          <w:p w:rsidR="003E7163" w:rsidRPr="00E4368A" w:rsidRDefault="008C0F41" w:rsidP="0010589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3E7163" w:rsidRPr="00E4368A" w:rsidRDefault="00E176F0" w:rsidP="0010589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107 500</w:t>
            </w:r>
            <w:r w:rsidR="008C0F41">
              <w:rPr>
                <w:rFonts w:asciiTheme="minorHAnsi" w:hAnsiTheme="minorHAnsi"/>
                <w:sz w:val="22"/>
              </w:rPr>
              <w:t>,00 €</w:t>
            </w:r>
          </w:p>
        </w:tc>
      </w:tr>
      <w:tr w:rsidR="008C0F41" w:rsidRPr="00E4368A" w:rsidTr="0050129E">
        <w:trPr>
          <w:trHeight w:val="252"/>
          <w:jc w:val="center"/>
        </w:trPr>
        <w:tc>
          <w:tcPr>
            <w:tcW w:w="2058" w:type="dxa"/>
          </w:tcPr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D1 Učebne základných škôl</w:t>
            </w:r>
          </w:p>
        </w:tc>
        <w:tc>
          <w:tcPr>
            <w:tcW w:w="1786" w:type="dxa"/>
          </w:tcPr>
          <w:p w:rsidR="008C0F41" w:rsidRPr="008C0F41" w:rsidRDefault="008C0F41" w:rsidP="008C0F41">
            <w:pPr>
              <w:rPr>
                <w:rFonts w:asciiTheme="minorHAnsi" w:hAnsiTheme="minorHAnsi"/>
                <w:sz w:val="22"/>
              </w:rPr>
            </w:pPr>
            <w:r w:rsidRPr="008C0F41">
              <w:rPr>
                <w:rFonts w:asciiTheme="minorHAnsi" w:hAnsiTheme="minorHAnsi"/>
                <w:sz w:val="22"/>
              </w:rPr>
              <w:t>Obce,</w:t>
            </w:r>
          </w:p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8C0F41"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 w:rsidRPr="008C0F41">
              <w:rPr>
                <w:rFonts w:asciiTheme="minorHAnsi" w:hAnsiTheme="minorHAnsi"/>
                <w:sz w:val="22"/>
              </w:rPr>
              <w:t xml:space="preserve"> združenia</w:t>
            </w:r>
            <w:r>
              <w:rPr>
                <w:rFonts w:asciiTheme="minorHAnsi" w:hAnsiTheme="minorHAnsi"/>
                <w:sz w:val="22"/>
              </w:rPr>
              <w:t>,</w:t>
            </w:r>
          </w:p>
          <w:p w:rsidR="008C0F41" w:rsidRP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 neziskové organizácie, cirkevné organizácie</w:t>
            </w:r>
          </w:p>
        </w:tc>
        <w:tc>
          <w:tcPr>
            <w:tcW w:w="1371" w:type="dxa"/>
          </w:tcPr>
          <w:p w:rsidR="008C0F41" w:rsidRPr="00E4368A" w:rsidRDefault="008C0F41" w:rsidP="008C0F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</w:tcPr>
          <w:p w:rsidR="008C0F41" w:rsidRPr="00E4368A" w:rsidRDefault="008C0F41" w:rsidP="008C0F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02/2020</w:t>
            </w:r>
          </w:p>
        </w:tc>
        <w:tc>
          <w:tcPr>
            <w:tcW w:w="1542" w:type="dxa"/>
          </w:tcPr>
          <w:p w:rsidR="008C0F41" w:rsidRPr="00E4368A" w:rsidRDefault="008C0F41" w:rsidP="008C0F41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8C0F41" w:rsidRDefault="00E176F0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105 000,00</w:t>
            </w:r>
            <w:r w:rsidR="008C0F41">
              <w:rPr>
                <w:rFonts w:asciiTheme="minorHAnsi" w:hAnsiTheme="minorHAnsi"/>
                <w:sz w:val="22"/>
              </w:rPr>
              <w:t xml:space="preserve"> €</w:t>
            </w:r>
          </w:p>
        </w:tc>
      </w:tr>
      <w:tr w:rsidR="008C0F41" w:rsidRPr="00E4368A" w:rsidTr="0050129E">
        <w:trPr>
          <w:trHeight w:val="252"/>
          <w:jc w:val="center"/>
        </w:trPr>
        <w:tc>
          <w:tcPr>
            <w:tcW w:w="2058" w:type="dxa"/>
          </w:tcPr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ŠC 5.1.2 Zlepšenie udržateľných vzťahov medzi vidieckymi rozvojovými centrami a ich zázemím vo verejných službách a vo verejných infraštruktúrach</w:t>
            </w:r>
          </w:p>
        </w:tc>
        <w:tc>
          <w:tcPr>
            <w:tcW w:w="2144" w:type="dxa"/>
          </w:tcPr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D2 Skvalitnenie a rozšírenie kapacít predškolských zariadení</w:t>
            </w:r>
          </w:p>
        </w:tc>
        <w:tc>
          <w:tcPr>
            <w:tcW w:w="1786" w:type="dxa"/>
          </w:tcPr>
          <w:p w:rsidR="008C0F41" w:rsidRPr="008C0F41" w:rsidRDefault="008C0F41" w:rsidP="008C0F41">
            <w:pPr>
              <w:rPr>
                <w:rFonts w:asciiTheme="minorHAnsi" w:hAnsiTheme="minorHAnsi"/>
                <w:sz w:val="22"/>
              </w:rPr>
            </w:pPr>
            <w:r w:rsidRPr="008C0F41">
              <w:rPr>
                <w:rFonts w:asciiTheme="minorHAnsi" w:hAnsiTheme="minorHAnsi"/>
                <w:sz w:val="22"/>
              </w:rPr>
              <w:t>Obce,</w:t>
            </w:r>
          </w:p>
          <w:p w:rsidR="008C0F41" w:rsidRDefault="008C0F41" w:rsidP="008C0F4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8C0F41">
              <w:rPr>
                <w:rFonts w:asciiTheme="minorHAnsi" w:hAnsiTheme="minorHAnsi"/>
                <w:sz w:val="22"/>
              </w:rPr>
              <w:t>Mikroregionálne</w:t>
            </w:r>
            <w:proofErr w:type="spellEnd"/>
            <w:r w:rsidRPr="008C0F41">
              <w:rPr>
                <w:rFonts w:asciiTheme="minorHAnsi" w:hAnsiTheme="minorHAnsi"/>
                <w:sz w:val="22"/>
              </w:rPr>
              <w:t xml:space="preserve"> združenia</w:t>
            </w:r>
            <w:r>
              <w:rPr>
                <w:rFonts w:asciiTheme="minorHAnsi" w:hAnsiTheme="minorHAnsi"/>
                <w:sz w:val="22"/>
              </w:rPr>
              <w:t>,</w:t>
            </w:r>
          </w:p>
          <w:p w:rsidR="008C0F41" w:rsidRPr="008C0F41" w:rsidRDefault="008C0F41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Občianske združenia, neziskové organizácie, cirkevné organizácie</w:t>
            </w:r>
          </w:p>
        </w:tc>
        <w:tc>
          <w:tcPr>
            <w:tcW w:w="1371" w:type="dxa"/>
          </w:tcPr>
          <w:p w:rsidR="008C0F41" w:rsidRPr="00E4368A" w:rsidRDefault="008C0F41" w:rsidP="008C0F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otvorená</w:t>
            </w:r>
          </w:p>
        </w:tc>
        <w:tc>
          <w:tcPr>
            <w:tcW w:w="1542" w:type="dxa"/>
          </w:tcPr>
          <w:p w:rsidR="008C0F41" w:rsidRPr="00E4368A" w:rsidRDefault="008C0F41" w:rsidP="008C0F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02/2020</w:t>
            </w:r>
          </w:p>
        </w:tc>
        <w:tc>
          <w:tcPr>
            <w:tcW w:w="1542" w:type="dxa"/>
          </w:tcPr>
          <w:p w:rsidR="008C0F41" w:rsidRPr="00E4368A" w:rsidRDefault="008C0F41" w:rsidP="008C0F41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do vyčerpania alokácie</w:t>
            </w:r>
          </w:p>
        </w:tc>
        <w:tc>
          <w:tcPr>
            <w:tcW w:w="2008" w:type="dxa"/>
          </w:tcPr>
          <w:p w:rsidR="008C0F41" w:rsidRDefault="00E176F0" w:rsidP="008C0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105 000,00</w:t>
            </w:r>
            <w:bookmarkStart w:id="1" w:name="_GoBack"/>
            <w:bookmarkEnd w:id="1"/>
            <w:r w:rsidR="008C0F41">
              <w:rPr>
                <w:rFonts w:asciiTheme="minorHAnsi" w:hAnsiTheme="minorHAnsi"/>
                <w:sz w:val="22"/>
              </w:rPr>
              <w:t xml:space="preserve"> €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9"/>
      <w:footerReference w:type="default" r:id="rId10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BA1" w:rsidRDefault="00B00BA1" w:rsidP="00C057E2">
      <w:pPr>
        <w:spacing w:after="0" w:line="240" w:lineRule="auto"/>
      </w:pPr>
      <w:r>
        <w:separator/>
      </w:r>
    </w:p>
  </w:endnote>
  <w:endnote w:type="continuationSeparator" w:id="0">
    <w:p w:rsidR="00B00BA1" w:rsidRDefault="00B00BA1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1D331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547D1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BA1" w:rsidRDefault="00B00BA1" w:rsidP="00C057E2">
      <w:pPr>
        <w:spacing w:after="0" w:line="240" w:lineRule="auto"/>
      </w:pPr>
      <w:r>
        <w:separator/>
      </w:r>
    </w:p>
  </w:footnote>
  <w:footnote w:type="continuationSeparator" w:id="0">
    <w:p w:rsidR="00B00BA1" w:rsidRDefault="00B00BA1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Default="00413B16" w:rsidP="00413B16">
    <w:pPr>
      <w:pStyle w:val="Hlavika"/>
      <w:rPr>
        <w:rFonts w:ascii="Arial Narrow" w:hAnsi="Arial Narrow"/>
        <w:sz w:val="20"/>
        <w:szCs w:val="20"/>
      </w:rPr>
    </w:pP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8A0559B" wp14:editId="5A00D9CC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DB053AE" wp14:editId="20871B9F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4C2F1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A3B5B54" wp14:editId="522BAB09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50" w:rsidRPr="002C5950" w:rsidRDefault="002C5950" w:rsidP="004E0C17">
    <w:pPr>
      <w:pStyle w:val="Hlavika"/>
      <w:rPr>
        <w:rFonts w:ascii="Arial Narrow" w:hAnsi="Arial Narrow"/>
        <w:sz w:val="20"/>
      </w:rPr>
    </w:pPr>
    <w:r>
      <w:rPr>
        <w:noProof/>
      </w:rPr>
      <w:t xml:space="preserve">    </w:t>
    </w:r>
    <w:r>
      <w:rPr>
        <w:noProof/>
      </w:rPr>
      <w:drawing>
        <wp:anchor distT="323850" distB="0" distL="114300" distR="114300" simplePos="0" relativeHeight="251671552" behindDoc="0" locked="0" layoutInCell="1" allowOverlap="0" wp14:anchorId="4F9625E1">
          <wp:simplePos x="0" y="0"/>
          <wp:positionH relativeFrom="column">
            <wp:posOffset>151765</wp:posOffset>
          </wp:positionH>
          <wp:positionV relativeFrom="paragraph">
            <wp:posOffset>0</wp:posOffset>
          </wp:positionV>
          <wp:extent cx="651600" cy="572400"/>
          <wp:effectExtent l="0" t="0" r="0" b="0"/>
          <wp:wrapTopAndBottom/>
          <wp:docPr id="15" name="Obrázok 1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F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4">
                    <a:extLst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7192645</wp:posOffset>
          </wp:positionH>
          <wp:positionV relativeFrom="paragraph">
            <wp:posOffset>-9525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4603750</wp:posOffset>
          </wp:positionH>
          <wp:positionV relativeFrom="paragraph">
            <wp:posOffset>-379095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2383790</wp:posOffset>
          </wp:positionH>
          <wp:positionV relativeFrom="paragraph">
            <wp:posOffset>52705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22552"/>
    <w:multiLevelType w:val="hybridMultilevel"/>
    <w:tmpl w:val="8872DD84"/>
    <w:lvl w:ilvl="0" w:tplc="ADD43084">
      <w:start w:val="6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704A9"/>
    <w:rsid w:val="00095F84"/>
    <w:rsid w:val="000B0C58"/>
    <w:rsid w:val="000E7996"/>
    <w:rsid w:val="0010589A"/>
    <w:rsid w:val="00117D56"/>
    <w:rsid w:val="00187F2F"/>
    <w:rsid w:val="0019444C"/>
    <w:rsid w:val="001D3311"/>
    <w:rsid w:val="00217CEC"/>
    <w:rsid w:val="00242051"/>
    <w:rsid w:val="0027514C"/>
    <w:rsid w:val="00295FD9"/>
    <w:rsid w:val="002C5950"/>
    <w:rsid w:val="002E6DD1"/>
    <w:rsid w:val="00311C83"/>
    <w:rsid w:val="003377A7"/>
    <w:rsid w:val="00342799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6178BB"/>
    <w:rsid w:val="006300A5"/>
    <w:rsid w:val="0069646F"/>
    <w:rsid w:val="006B7927"/>
    <w:rsid w:val="006F1BA0"/>
    <w:rsid w:val="0070774B"/>
    <w:rsid w:val="0079366E"/>
    <w:rsid w:val="007F08EA"/>
    <w:rsid w:val="008334F9"/>
    <w:rsid w:val="00836AC8"/>
    <w:rsid w:val="008C0F41"/>
    <w:rsid w:val="008C17E9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00BA1"/>
    <w:rsid w:val="00B41A8E"/>
    <w:rsid w:val="00B67CCB"/>
    <w:rsid w:val="00BA5823"/>
    <w:rsid w:val="00BE3586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176F0"/>
    <w:rsid w:val="00E4368A"/>
    <w:rsid w:val="00E85D90"/>
    <w:rsid w:val="00E866FD"/>
    <w:rsid w:val="00F457CB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5613"/>
  <w15:docId w15:val="{1563D656-6831-445E-91A7-C8D552B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C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DF264937401B850B78A1D6B58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307FDE-6100-4CE8-AF64-D992B62244F4}"/>
      </w:docPartPr>
      <w:docPartBody>
        <w:p w:rsidR="00581B5B" w:rsidRDefault="00617F0B" w:rsidP="00617F0B">
          <w:pPr>
            <w:pStyle w:val="948EDF264937401B850B78A1D6B58E6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C00230EDF92E41D7B2078735403BCF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F9917F-15EF-413C-9D0B-EDF794CF0E7A}"/>
      </w:docPartPr>
      <w:docPartBody>
        <w:p w:rsidR="00581B5B" w:rsidRDefault="00617F0B" w:rsidP="00617F0B">
          <w:pPr>
            <w:pStyle w:val="C00230EDF92E41D7B2078735403BCF6B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077F3E213F6140F1BE8CC8103E878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81EC85-915B-4CDC-B3A0-FDDF42D04F06}"/>
      </w:docPartPr>
      <w:docPartBody>
        <w:p w:rsidR="00581B5B" w:rsidRDefault="00617F0B" w:rsidP="00617F0B">
          <w:pPr>
            <w:pStyle w:val="077F3E213F6140F1BE8CC8103E878869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9A"/>
    <w:rsid w:val="00043F2B"/>
    <w:rsid w:val="00063E9A"/>
    <w:rsid w:val="00084A5A"/>
    <w:rsid w:val="000E779A"/>
    <w:rsid w:val="001C7E41"/>
    <w:rsid w:val="00282EDD"/>
    <w:rsid w:val="003109A6"/>
    <w:rsid w:val="003626FB"/>
    <w:rsid w:val="00363EFE"/>
    <w:rsid w:val="003954DE"/>
    <w:rsid w:val="004E113A"/>
    <w:rsid w:val="00581B5B"/>
    <w:rsid w:val="00617F0B"/>
    <w:rsid w:val="00660156"/>
    <w:rsid w:val="006811BD"/>
    <w:rsid w:val="006B0161"/>
    <w:rsid w:val="006F05AD"/>
    <w:rsid w:val="00727D5B"/>
    <w:rsid w:val="00911A58"/>
    <w:rsid w:val="009A32BA"/>
    <w:rsid w:val="00B9281C"/>
    <w:rsid w:val="00BC5EC3"/>
    <w:rsid w:val="00C041D3"/>
    <w:rsid w:val="00C37343"/>
    <w:rsid w:val="00D46A70"/>
    <w:rsid w:val="00D7485B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17F0B"/>
    <w:rPr>
      <w:color w:val="808080"/>
    </w:rPr>
  </w:style>
  <w:style w:type="paragraph" w:customStyle="1" w:styleId="BF0AEC9BFD04453B9A5F0A08C6DA13A3">
    <w:name w:val="BF0AEC9BFD04453B9A5F0A08C6DA13A3"/>
    <w:rsid w:val="00063E9A"/>
  </w:style>
  <w:style w:type="paragraph" w:customStyle="1" w:styleId="791A2D31823E43E3B292DED982678199">
    <w:name w:val="791A2D31823E43E3B292DED982678199"/>
    <w:rsid w:val="00063E9A"/>
  </w:style>
  <w:style w:type="paragraph" w:customStyle="1" w:styleId="F0DCF357A0A5442B9F99F4D9E0C70E68">
    <w:name w:val="F0DCF357A0A5442B9F99F4D9E0C70E68"/>
    <w:rsid w:val="00063E9A"/>
  </w:style>
  <w:style w:type="paragraph" w:customStyle="1" w:styleId="658702AFADEB4F3D8F120A2BE49C6F2F">
    <w:name w:val="658702AFADEB4F3D8F120A2BE49C6F2F"/>
    <w:rsid w:val="00063E9A"/>
  </w:style>
  <w:style w:type="paragraph" w:customStyle="1" w:styleId="A6735187AF024532A94A3831F4BFB77C">
    <w:name w:val="A6735187AF024532A94A3831F4BFB77C"/>
    <w:rsid w:val="00063E9A"/>
  </w:style>
  <w:style w:type="paragraph" w:customStyle="1" w:styleId="CD83447E730F4375B75A6DA91F142DB9">
    <w:name w:val="CD83447E730F4375B75A6DA91F142DB9"/>
    <w:rsid w:val="00063E9A"/>
  </w:style>
  <w:style w:type="paragraph" w:customStyle="1" w:styleId="3BB1B78F560C4DB7B15865CD16952F32">
    <w:name w:val="3BB1B78F560C4DB7B15865CD16952F32"/>
    <w:rsid w:val="00063E9A"/>
  </w:style>
  <w:style w:type="paragraph" w:customStyle="1" w:styleId="92324CFD20504C94AD4A41A938B4BF94">
    <w:name w:val="92324CFD20504C94AD4A41A938B4BF94"/>
    <w:rsid w:val="00063E9A"/>
  </w:style>
  <w:style w:type="paragraph" w:customStyle="1" w:styleId="2B6BD9DF6C3E4DA8BEAF91C8C8704B59">
    <w:name w:val="2B6BD9DF6C3E4DA8BEAF91C8C8704B59"/>
    <w:rsid w:val="00063E9A"/>
  </w:style>
  <w:style w:type="paragraph" w:customStyle="1" w:styleId="66D8920F5E2C4D81993C69E974B2DBBB">
    <w:name w:val="66D8920F5E2C4D81993C69E974B2DBBB"/>
    <w:rsid w:val="00063E9A"/>
  </w:style>
  <w:style w:type="paragraph" w:customStyle="1" w:styleId="A01C9E4728984C4C9F36FC6E867333D8">
    <w:name w:val="A01C9E4728984C4C9F36FC6E867333D8"/>
    <w:rsid w:val="00063E9A"/>
  </w:style>
  <w:style w:type="paragraph" w:customStyle="1" w:styleId="C62C4F3E78684856A3960412015D1DC5">
    <w:name w:val="C62C4F3E78684856A3960412015D1DC5"/>
    <w:rsid w:val="00063E9A"/>
  </w:style>
  <w:style w:type="paragraph" w:customStyle="1" w:styleId="D9CBF6EF537843029C7923151D8937AF">
    <w:name w:val="D9CBF6EF537843029C7923151D8937AF"/>
    <w:rsid w:val="00063E9A"/>
  </w:style>
  <w:style w:type="paragraph" w:customStyle="1" w:styleId="D5D50E7FEE8143F3824B1A0FEA85A9AB">
    <w:name w:val="D5D50E7FEE8143F3824B1A0FEA85A9AB"/>
    <w:rsid w:val="00063E9A"/>
  </w:style>
  <w:style w:type="paragraph" w:customStyle="1" w:styleId="54C9054259504CF2910BC18DC9E502EC">
    <w:name w:val="54C9054259504CF2910BC18DC9E502EC"/>
    <w:rsid w:val="00063E9A"/>
  </w:style>
  <w:style w:type="paragraph" w:customStyle="1" w:styleId="54A935ACB76248F18682533EB33766B9">
    <w:name w:val="54A935ACB76248F18682533EB33766B9"/>
    <w:rsid w:val="00BC5EC3"/>
  </w:style>
  <w:style w:type="paragraph" w:customStyle="1" w:styleId="03324A9BEC834326A4B8A7A966514F03">
    <w:name w:val="03324A9BEC834326A4B8A7A966514F03"/>
    <w:rsid w:val="00B9281C"/>
  </w:style>
  <w:style w:type="paragraph" w:customStyle="1" w:styleId="D2EDAE97E9324A569F3DCD0614B7778D">
    <w:name w:val="D2EDAE97E9324A569F3DCD0614B7778D"/>
    <w:rsid w:val="00B9281C"/>
  </w:style>
  <w:style w:type="paragraph" w:customStyle="1" w:styleId="0E68252F23204B48A0E1D57FDF81DE2C">
    <w:name w:val="0E68252F23204B48A0E1D57FDF81DE2C"/>
    <w:rsid w:val="001C7E41"/>
  </w:style>
  <w:style w:type="paragraph" w:customStyle="1" w:styleId="948EDF264937401B850B78A1D6B58E60">
    <w:name w:val="948EDF264937401B850B78A1D6B58E60"/>
    <w:rsid w:val="00617F0B"/>
    <w:pPr>
      <w:spacing w:after="160" w:line="259" w:lineRule="auto"/>
    </w:pPr>
  </w:style>
  <w:style w:type="paragraph" w:customStyle="1" w:styleId="C00230EDF92E41D7B2078735403BCF6B">
    <w:name w:val="C00230EDF92E41D7B2078735403BCF6B"/>
    <w:rsid w:val="00617F0B"/>
    <w:pPr>
      <w:spacing w:after="160" w:line="259" w:lineRule="auto"/>
    </w:pPr>
  </w:style>
  <w:style w:type="paragraph" w:customStyle="1" w:styleId="077F3E213F6140F1BE8CC8103E878869">
    <w:name w:val="077F3E213F6140F1BE8CC8103E878869"/>
    <w:rsid w:val="00617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D7A3-893C-48F2-8A02-66162318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2019-11-27T08:29:00Z</cp:lastPrinted>
  <dcterms:created xsi:type="dcterms:W3CDTF">2019-11-27T10:45:00Z</dcterms:created>
  <dcterms:modified xsi:type="dcterms:W3CDTF">2019-12-02T06:15:00Z</dcterms:modified>
</cp:coreProperties>
</file>