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A146" w14:textId="77777777" w:rsidR="007F2DB4" w:rsidRPr="00DC2E74" w:rsidRDefault="006D092C">
      <w:pPr>
        <w:jc w:val="center"/>
        <w:rPr>
          <w:b/>
          <w:smallCaps/>
          <w:sz w:val="28"/>
          <w:szCs w:val="28"/>
          <w:u w:val="single"/>
        </w:rPr>
      </w:pPr>
      <w:r w:rsidRPr="00DC2E74">
        <w:rPr>
          <w:b/>
          <w:smallCaps/>
          <w:sz w:val="28"/>
          <w:szCs w:val="28"/>
          <w:u w:val="single"/>
        </w:rPr>
        <w:t>záväzná osnova na vypracovanie regionálnej integrovanej územnej stratégie</w:t>
      </w:r>
    </w:p>
    <w:p w14:paraId="5CA3B69F" w14:textId="77777777" w:rsidR="007F2DB4" w:rsidRPr="00DC2E74" w:rsidRDefault="007F2DB4">
      <w:pPr>
        <w:spacing w:after="0" w:line="240" w:lineRule="auto"/>
        <w:jc w:val="both"/>
        <w:rPr>
          <w:sz w:val="21"/>
          <w:szCs w:val="21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7F2DB4" w:rsidRPr="00DC2E74" w14:paraId="06453A22" w14:textId="77777777">
        <w:tc>
          <w:tcPr>
            <w:tcW w:w="4253" w:type="dxa"/>
            <w:vAlign w:val="center"/>
          </w:tcPr>
          <w:p w14:paraId="0FA1E35B" w14:textId="77777777" w:rsidR="007F2DB4" w:rsidRPr="00DC2E74" w:rsidRDefault="006D092C">
            <w:pPr>
              <w:spacing w:before="60" w:after="60" w:line="240" w:lineRule="auto"/>
              <w:jc w:val="right"/>
              <w:rPr>
                <w:b/>
              </w:rPr>
            </w:pPr>
            <w:r w:rsidRPr="00DC2E74">
              <w:rPr>
                <w:b/>
              </w:rPr>
              <w:t>Názov:</w:t>
            </w:r>
          </w:p>
        </w:tc>
        <w:tc>
          <w:tcPr>
            <w:tcW w:w="4819" w:type="dxa"/>
          </w:tcPr>
          <w:p w14:paraId="509BDB9F" w14:textId="77777777" w:rsidR="007F2DB4" w:rsidRPr="00DC2E74" w:rsidRDefault="006D092C">
            <w:pPr>
              <w:spacing w:before="60" w:after="60" w:line="240" w:lineRule="auto"/>
              <w:rPr>
                <w:b/>
              </w:rPr>
            </w:pPr>
            <w:r w:rsidRPr="00DC2E74">
              <w:rPr>
                <w:b/>
              </w:rPr>
              <w:t xml:space="preserve">Regionálna integrovaná územná stratégia </w:t>
            </w:r>
            <w:r w:rsidRPr="00DC2E74">
              <w:rPr>
                <w:b/>
                <w:highlight w:val="yellow"/>
              </w:rPr>
              <w:t>...</w:t>
            </w:r>
            <w:r w:rsidRPr="00DC2E74">
              <w:rPr>
                <w:b/>
              </w:rPr>
              <w:t xml:space="preserve"> kraja </w:t>
            </w:r>
          </w:p>
        </w:tc>
      </w:tr>
      <w:tr w:rsidR="007F2DB4" w:rsidRPr="00DC2E74" w14:paraId="4AF763EB" w14:textId="77777777">
        <w:tc>
          <w:tcPr>
            <w:tcW w:w="4253" w:type="dxa"/>
          </w:tcPr>
          <w:p w14:paraId="28D3D5E3" w14:textId="77777777" w:rsidR="007F2DB4" w:rsidRPr="00DC2E74" w:rsidRDefault="006D092C">
            <w:pPr>
              <w:spacing w:before="60" w:after="60" w:line="240" w:lineRule="auto"/>
              <w:jc w:val="right"/>
              <w:rPr>
                <w:b/>
              </w:rPr>
            </w:pPr>
            <w:r w:rsidRPr="00DC2E74">
              <w:rPr>
                <w:b/>
              </w:rPr>
              <w:t>Verzia</w:t>
            </w:r>
            <w:r w:rsidRPr="00DC2E74">
              <w:rPr>
                <w:rStyle w:val="Odkaznapoznmkupodiarou"/>
                <w:b/>
              </w:rPr>
              <w:footnoteReference w:id="2"/>
            </w:r>
          </w:p>
        </w:tc>
        <w:tc>
          <w:tcPr>
            <w:tcW w:w="4819" w:type="dxa"/>
          </w:tcPr>
          <w:p w14:paraId="61C12D65" w14:textId="77777777" w:rsidR="007F2DB4" w:rsidRPr="00DC2E74" w:rsidRDefault="006D092C">
            <w:pPr>
              <w:spacing w:before="60" w:after="60" w:line="240" w:lineRule="auto"/>
              <w:rPr>
                <w:i/>
              </w:rPr>
            </w:pPr>
            <w:r w:rsidRPr="00DC2E74">
              <w:rPr>
                <w:i/>
              </w:rPr>
              <w:t>X.X</w:t>
            </w:r>
          </w:p>
        </w:tc>
      </w:tr>
      <w:tr w:rsidR="007F2DB4" w:rsidRPr="00DC2E74" w14:paraId="054C6195" w14:textId="77777777">
        <w:tc>
          <w:tcPr>
            <w:tcW w:w="4253" w:type="dxa"/>
          </w:tcPr>
          <w:p w14:paraId="0FC0FB40" w14:textId="77777777" w:rsidR="007F2DB4" w:rsidRPr="00DC2E74" w:rsidRDefault="006D092C">
            <w:pPr>
              <w:spacing w:before="60" w:after="60" w:line="240" w:lineRule="auto"/>
              <w:jc w:val="right"/>
              <w:rPr>
                <w:b/>
              </w:rPr>
            </w:pPr>
            <w:r w:rsidRPr="00DC2E74">
              <w:rPr>
                <w:b/>
              </w:rPr>
              <w:t>Dátum schválenia Radou Partnerstva pre</w:t>
            </w:r>
          </w:p>
          <w:p w14:paraId="797387A9" w14:textId="77777777" w:rsidR="007F2DB4" w:rsidRPr="00DC2E74" w:rsidRDefault="006D092C">
            <w:pPr>
              <w:spacing w:before="60" w:after="60" w:line="240" w:lineRule="auto"/>
              <w:jc w:val="right"/>
              <w:rPr>
                <w:b/>
              </w:rPr>
            </w:pPr>
            <w:r w:rsidRPr="00DC2E74">
              <w:rPr>
                <w:b/>
              </w:rPr>
              <w:t>UMR</w:t>
            </w:r>
            <w:r w:rsidRPr="00DC2E74">
              <w:rPr>
                <w:rStyle w:val="Odkaznapoznmkupodiarou"/>
                <w:b/>
              </w:rPr>
              <w:footnoteReference w:id="3"/>
            </w:r>
          </w:p>
        </w:tc>
        <w:tc>
          <w:tcPr>
            <w:tcW w:w="4819" w:type="dxa"/>
          </w:tcPr>
          <w:p w14:paraId="60284E30" w14:textId="4CC98E0E" w:rsidR="007F2DB4" w:rsidRPr="00DC2E74" w:rsidRDefault="006D092C">
            <w:pPr>
              <w:spacing w:before="60" w:after="60" w:line="240" w:lineRule="auto"/>
              <w:rPr>
                <w:i/>
              </w:rPr>
            </w:pPr>
            <w:r w:rsidRPr="00DC2E74">
              <w:rPr>
                <w:i/>
              </w:rPr>
              <w:t xml:space="preserve">DD. MM. </w:t>
            </w:r>
            <w:r w:rsidR="00302F35" w:rsidRPr="00DC2E74">
              <w:rPr>
                <w:i/>
              </w:rPr>
              <w:t>RRRR</w:t>
            </w:r>
          </w:p>
        </w:tc>
      </w:tr>
      <w:tr w:rsidR="007F2DB4" w:rsidRPr="00DC2E74" w14:paraId="2B60DACD" w14:textId="77777777">
        <w:tc>
          <w:tcPr>
            <w:tcW w:w="4253" w:type="dxa"/>
          </w:tcPr>
          <w:p w14:paraId="5E4831F2" w14:textId="77777777" w:rsidR="007F2DB4" w:rsidRPr="00DC2E74" w:rsidRDefault="006D092C">
            <w:pPr>
              <w:spacing w:before="60" w:after="60" w:line="240" w:lineRule="auto"/>
              <w:jc w:val="right"/>
              <w:rPr>
                <w:b/>
              </w:rPr>
            </w:pPr>
            <w:r w:rsidRPr="00DC2E74">
              <w:rPr>
                <w:b/>
              </w:rPr>
              <w:t>Dátum schválenia Radou Partnerstva pre RIÚS</w:t>
            </w:r>
          </w:p>
        </w:tc>
        <w:tc>
          <w:tcPr>
            <w:tcW w:w="4819" w:type="dxa"/>
          </w:tcPr>
          <w:p w14:paraId="12B10030" w14:textId="6B5B8746" w:rsidR="007F2DB4" w:rsidRPr="00DC2E74" w:rsidRDefault="006D092C">
            <w:pPr>
              <w:spacing w:before="60" w:after="60" w:line="240" w:lineRule="auto"/>
              <w:rPr>
                <w:i/>
              </w:rPr>
            </w:pPr>
            <w:r w:rsidRPr="00DC2E74">
              <w:rPr>
                <w:i/>
              </w:rPr>
              <w:t xml:space="preserve">DD. MM. </w:t>
            </w:r>
            <w:r w:rsidR="00302F35" w:rsidRPr="00DC2E74">
              <w:rPr>
                <w:i/>
              </w:rPr>
              <w:t>RRRR</w:t>
            </w:r>
          </w:p>
        </w:tc>
      </w:tr>
      <w:tr w:rsidR="007F2DB4" w:rsidRPr="00DC2E74" w14:paraId="498838CC" w14:textId="77777777">
        <w:tc>
          <w:tcPr>
            <w:tcW w:w="4253" w:type="dxa"/>
          </w:tcPr>
          <w:p w14:paraId="3DB6A824" w14:textId="77777777" w:rsidR="007F2DB4" w:rsidRPr="00DC2E74" w:rsidRDefault="006D092C">
            <w:pPr>
              <w:spacing w:before="60" w:after="60" w:line="240" w:lineRule="auto"/>
              <w:jc w:val="right"/>
              <w:rPr>
                <w:b/>
              </w:rPr>
            </w:pPr>
            <w:r w:rsidRPr="00DC2E74">
              <w:rPr>
                <w:b/>
              </w:rPr>
              <w:t>Dátum schválenia Riadiacim orgánom pre IROP</w:t>
            </w:r>
          </w:p>
        </w:tc>
        <w:tc>
          <w:tcPr>
            <w:tcW w:w="4819" w:type="dxa"/>
          </w:tcPr>
          <w:p w14:paraId="235D335D" w14:textId="3161809E" w:rsidR="007F2DB4" w:rsidRPr="00DC2E74" w:rsidRDefault="006D092C">
            <w:pPr>
              <w:spacing w:before="60" w:after="60" w:line="240" w:lineRule="auto"/>
              <w:rPr>
                <w:i/>
              </w:rPr>
            </w:pPr>
            <w:r w:rsidRPr="00DC2E74">
              <w:rPr>
                <w:i/>
              </w:rPr>
              <w:t xml:space="preserve">DD. MM. </w:t>
            </w:r>
            <w:r w:rsidR="00302F35" w:rsidRPr="00DC2E74">
              <w:rPr>
                <w:i/>
              </w:rPr>
              <w:t>RRRR</w:t>
            </w:r>
          </w:p>
        </w:tc>
      </w:tr>
      <w:tr w:rsidR="007F2DB4" w:rsidRPr="00DC2E74" w14:paraId="1FE82E3F" w14:textId="77777777">
        <w:tc>
          <w:tcPr>
            <w:tcW w:w="4253" w:type="dxa"/>
          </w:tcPr>
          <w:p w14:paraId="09F7C4ED" w14:textId="77777777" w:rsidR="007F2DB4" w:rsidRPr="00DC2E74" w:rsidRDefault="006D092C">
            <w:pPr>
              <w:spacing w:before="60" w:after="60" w:line="240" w:lineRule="auto"/>
              <w:jc w:val="right"/>
              <w:rPr>
                <w:b/>
              </w:rPr>
            </w:pPr>
            <w:r w:rsidRPr="00DC2E74">
              <w:rPr>
                <w:b/>
              </w:rPr>
              <w:t>Zodpovedný koordinátor RIÚS</w:t>
            </w:r>
          </w:p>
        </w:tc>
        <w:tc>
          <w:tcPr>
            <w:tcW w:w="4819" w:type="dxa"/>
          </w:tcPr>
          <w:p w14:paraId="014A7146" w14:textId="77777777" w:rsidR="007F2DB4" w:rsidRPr="00DC2E74" w:rsidRDefault="006D092C">
            <w:pPr>
              <w:spacing w:before="60" w:after="60" w:line="240" w:lineRule="auto"/>
              <w:rPr>
                <w:i/>
              </w:rPr>
            </w:pPr>
            <w:r w:rsidRPr="00DC2E74">
              <w:rPr>
                <w:i/>
              </w:rPr>
              <w:t>Meno a priezvisko</w:t>
            </w:r>
          </w:p>
        </w:tc>
      </w:tr>
      <w:tr w:rsidR="007F2DB4" w:rsidRPr="00DC2E74" w14:paraId="1CB772E7" w14:textId="77777777">
        <w:tc>
          <w:tcPr>
            <w:tcW w:w="4253" w:type="dxa"/>
          </w:tcPr>
          <w:p w14:paraId="2942F9FC" w14:textId="77777777" w:rsidR="007F2DB4" w:rsidRPr="00DC2E74" w:rsidRDefault="006D092C">
            <w:pPr>
              <w:spacing w:before="60" w:after="60" w:line="240" w:lineRule="auto"/>
              <w:jc w:val="right"/>
              <w:rPr>
                <w:b/>
              </w:rPr>
            </w:pPr>
            <w:r w:rsidRPr="00DC2E74">
              <w:rPr>
                <w:b/>
              </w:rPr>
              <w:t>Zodpovedný koordinátor stratégie UMR</w:t>
            </w:r>
          </w:p>
        </w:tc>
        <w:tc>
          <w:tcPr>
            <w:tcW w:w="4819" w:type="dxa"/>
          </w:tcPr>
          <w:p w14:paraId="097D0863" w14:textId="77777777" w:rsidR="007F2DB4" w:rsidRPr="00DC2E74" w:rsidRDefault="006D092C">
            <w:pPr>
              <w:spacing w:before="60" w:after="60" w:line="240" w:lineRule="auto"/>
              <w:rPr>
                <w:i/>
              </w:rPr>
            </w:pPr>
            <w:r w:rsidRPr="00DC2E74">
              <w:rPr>
                <w:i/>
              </w:rPr>
              <w:t>Meno a priezvisko</w:t>
            </w:r>
          </w:p>
        </w:tc>
      </w:tr>
    </w:tbl>
    <w:p w14:paraId="44BFDB33" w14:textId="77777777" w:rsidR="007F2DB4" w:rsidRPr="00DC2E74" w:rsidRDefault="007F2DB4"/>
    <w:p w14:paraId="0F491C78" w14:textId="77777777" w:rsidR="007F2DB4" w:rsidRPr="00DC2E74" w:rsidRDefault="006D092C">
      <w:pPr>
        <w:pStyle w:val="Nadpis1"/>
        <w:numPr>
          <w:ilvl w:val="0"/>
          <w:numId w:val="7"/>
        </w:numPr>
        <w:shd w:val="clear" w:color="auto" w:fill="B8CCE4" w:themeFill="accent1" w:themeFillTint="66"/>
        <w:ind w:left="284" w:hanging="284"/>
        <w:rPr>
          <w:rFonts w:ascii="Calibri" w:hAnsi="Calibri"/>
          <w:color w:val="0070C0"/>
        </w:rPr>
      </w:pPr>
      <w:r w:rsidRPr="00DC2E74">
        <w:rPr>
          <w:rFonts w:ascii="Calibri" w:hAnsi="Calibri"/>
          <w:color w:val="0070C0"/>
        </w:rPr>
        <w:t>Úvod</w:t>
      </w:r>
    </w:p>
    <w:p w14:paraId="02D5D6CD" w14:textId="77777777" w:rsidR="007F2DB4" w:rsidRPr="002B2348" w:rsidRDefault="006D092C">
      <w:pPr>
        <w:spacing w:after="0" w:line="240" w:lineRule="auto"/>
        <w:jc w:val="both"/>
      </w:pPr>
      <w:r w:rsidRPr="002B2348">
        <w:sym w:font="Wingdings" w:char="F021"/>
      </w:r>
      <w:r w:rsidRPr="002B2348">
        <w:t xml:space="preserve"> </w:t>
      </w:r>
      <w:r w:rsidRPr="002B2348">
        <w:rPr>
          <w:b/>
        </w:rPr>
        <w:t>Odporúčaný</w:t>
      </w:r>
      <w:r w:rsidRPr="002B2348">
        <w:t xml:space="preserve"> </w:t>
      </w:r>
      <w:r w:rsidRPr="002B2348">
        <w:rPr>
          <w:b/>
        </w:rPr>
        <w:t>rozsah</w:t>
      </w:r>
      <w:r w:rsidRPr="002B2348">
        <w:t>: 5</w:t>
      </w:r>
      <w:r w:rsidR="009441E8" w:rsidRPr="002B2348">
        <w:t xml:space="preserve"> </w:t>
      </w:r>
      <w:r w:rsidRPr="002B2348">
        <w:t xml:space="preserve">strán </w:t>
      </w:r>
    </w:p>
    <w:p w14:paraId="609E3A95" w14:textId="77777777" w:rsidR="007F2DB4" w:rsidRPr="002B2348" w:rsidRDefault="007F2DB4">
      <w:pPr>
        <w:spacing w:after="0" w:line="240" w:lineRule="auto"/>
        <w:jc w:val="both"/>
      </w:pPr>
    </w:p>
    <w:p w14:paraId="313A443E" w14:textId="77777777" w:rsidR="007F2DB4" w:rsidRPr="002B2348" w:rsidRDefault="006D092C">
      <w:pPr>
        <w:spacing w:after="0" w:line="240" w:lineRule="auto"/>
        <w:jc w:val="both"/>
      </w:pPr>
      <w:r w:rsidRPr="002B2348">
        <w:t>Táto časť obsahuje:</w:t>
      </w:r>
    </w:p>
    <w:p w14:paraId="2358CE66" w14:textId="77777777" w:rsidR="007F2DB4" w:rsidRPr="002B2348" w:rsidRDefault="007F2DB4">
      <w:pPr>
        <w:spacing w:after="0" w:line="240" w:lineRule="auto"/>
        <w:jc w:val="both"/>
      </w:pPr>
    </w:p>
    <w:p w14:paraId="20F2EAA9" w14:textId="23D46843" w:rsidR="007F2DB4" w:rsidRPr="002B2348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</w:pPr>
      <w:r w:rsidRPr="00DC2E74">
        <w:rPr>
          <w:szCs w:val="21"/>
        </w:rPr>
        <w:t>Ú</w:t>
      </w:r>
      <w:r w:rsidR="007906A4" w:rsidRPr="00DC2E74">
        <w:rPr>
          <w:szCs w:val="21"/>
        </w:rPr>
        <w:t>čel</w:t>
      </w:r>
      <w:r w:rsidR="007906A4" w:rsidRPr="002B2348">
        <w:t xml:space="preserve"> a ciele dokumentu RIÚS</w:t>
      </w:r>
      <w:r w:rsidR="007906A4" w:rsidRPr="00DC2E74">
        <w:rPr>
          <w:szCs w:val="21"/>
        </w:rPr>
        <w:t>;</w:t>
      </w:r>
    </w:p>
    <w:p w14:paraId="22211370" w14:textId="60071232" w:rsidR="007F2DB4" w:rsidRPr="002B2348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</w:pPr>
      <w:r w:rsidRPr="00DC2E74">
        <w:rPr>
          <w:szCs w:val="21"/>
        </w:rPr>
        <w:t>S</w:t>
      </w:r>
      <w:r w:rsidR="006D092C" w:rsidRPr="00DC2E74">
        <w:rPr>
          <w:szCs w:val="21"/>
        </w:rPr>
        <w:t>tručná</w:t>
      </w:r>
      <w:r w:rsidR="006D092C" w:rsidRPr="002B2348">
        <w:t xml:space="preserve"> charakte</w:t>
      </w:r>
      <w:r w:rsidR="007906A4" w:rsidRPr="002B2348">
        <w:t>ristika jednotlivých častí RIÚS</w:t>
      </w:r>
      <w:r w:rsidR="007906A4" w:rsidRPr="00DC2E74">
        <w:rPr>
          <w:szCs w:val="21"/>
        </w:rPr>
        <w:t>;</w:t>
      </w:r>
      <w:r w:rsidR="006D092C" w:rsidRPr="002B2348">
        <w:t xml:space="preserve"> </w:t>
      </w:r>
    </w:p>
    <w:p w14:paraId="69F37272" w14:textId="04B9769F" w:rsidR="002571C2" w:rsidRPr="002B2348" w:rsidRDefault="002571C2" w:rsidP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</w:pPr>
      <w:r w:rsidRPr="00DC2E74">
        <w:rPr>
          <w:bCs/>
        </w:rPr>
        <w:t>Spôsob</w:t>
      </w:r>
      <w:r w:rsidRPr="002B2348">
        <w:t xml:space="preserve"> zapracovania </w:t>
      </w:r>
      <w:r w:rsidR="002B2348">
        <w:t xml:space="preserve">IÚS </w:t>
      </w:r>
      <w:r w:rsidRPr="002B2348">
        <w:t>UMR</w:t>
      </w:r>
      <w:r w:rsidRPr="00DC2E74">
        <w:rPr>
          <w:bCs/>
        </w:rPr>
        <w:t>;</w:t>
      </w:r>
    </w:p>
    <w:p w14:paraId="3B7A798C" w14:textId="105CD89C" w:rsidR="007F2DB4" w:rsidRPr="002B2348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</w:pPr>
      <w:r w:rsidRPr="00DC2E74">
        <w:rPr>
          <w:szCs w:val="21"/>
        </w:rPr>
        <w:t>P</w:t>
      </w:r>
      <w:r w:rsidR="006D092C" w:rsidRPr="00DC2E74">
        <w:rPr>
          <w:szCs w:val="21"/>
        </w:rPr>
        <w:t>rehľad</w:t>
      </w:r>
      <w:r w:rsidR="006D092C" w:rsidRPr="002B2348">
        <w:t xml:space="preserve"> východiskových </w:t>
      </w:r>
      <w:r w:rsidR="00363B44" w:rsidRPr="00DC2E74">
        <w:rPr>
          <w:szCs w:val="21"/>
        </w:rPr>
        <w:t xml:space="preserve">koncepčných dokumentov </w:t>
      </w:r>
      <w:r w:rsidR="006D092C" w:rsidRPr="002B2348">
        <w:t>a informačných</w:t>
      </w:r>
      <w:r w:rsidR="007906A4" w:rsidRPr="002B2348">
        <w:t xml:space="preserve"> zdrojov (odvolávka na prílohu</w:t>
      </w:r>
      <w:r w:rsidR="007906A4" w:rsidRPr="00DC2E74">
        <w:rPr>
          <w:szCs w:val="21"/>
        </w:rPr>
        <w:t>);</w:t>
      </w:r>
    </w:p>
    <w:p w14:paraId="6495CC8B" w14:textId="5F805418" w:rsidR="007F2DB4" w:rsidRPr="002B2348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</w:pPr>
      <w:r w:rsidRPr="00DC2E74">
        <w:rPr>
          <w:szCs w:val="21"/>
        </w:rPr>
        <w:t>C</w:t>
      </w:r>
      <w:r w:rsidR="006D092C" w:rsidRPr="00DC2E74">
        <w:rPr>
          <w:szCs w:val="21"/>
        </w:rPr>
        <w:t>hronológia</w:t>
      </w:r>
      <w:r w:rsidR="006D092C" w:rsidRPr="002B2348">
        <w:t xml:space="preserve"> prípravy RIÚS</w:t>
      </w:r>
      <w:r w:rsidR="007906A4" w:rsidRPr="00DC2E74">
        <w:rPr>
          <w:szCs w:val="21"/>
        </w:rPr>
        <w:t xml:space="preserve"> a spôsob zapojenia partnerov;</w:t>
      </w:r>
    </w:p>
    <w:p w14:paraId="61D4E4C8" w14:textId="59270B16" w:rsidR="007F2DB4" w:rsidRPr="002B2348" w:rsidRDefault="002571C2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</w:pPr>
      <w:r w:rsidRPr="00DC2E74">
        <w:rPr>
          <w:szCs w:val="21"/>
        </w:rPr>
        <w:t>I</w:t>
      </w:r>
      <w:r w:rsidR="006D092C" w:rsidRPr="00DC2E74">
        <w:rPr>
          <w:szCs w:val="21"/>
        </w:rPr>
        <w:t>nštitucionálne</w:t>
      </w:r>
      <w:r w:rsidR="006D092C" w:rsidRPr="002B2348">
        <w:t xml:space="preserve"> zabezpečenie prípravy RIÚS, vrátane mechanizmu spolupráce OK pre RIÚS a OK pre UMR.</w:t>
      </w:r>
    </w:p>
    <w:p w14:paraId="3F59C943" w14:textId="77777777" w:rsidR="007F2DB4" w:rsidRPr="00DC2E74" w:rsidRDefault="006D092C">
      <w:pPr>
        <w:pStyle w:val="Nadpis1"/>
        <w:numPr>
          <w:ilvl w:val="0"/>
          <w:numId w:val="7"/>
        </w:numPr>
        <w:shd w:val="clear" w:color="auto" w:fill="B8CCE4" w:themeFill="accent1" w:themeFillTint="66"/>
        <w:ind w:left="284" w:hanging="284"/>
        <w:rPr>
          <w:rFonts w:ascii="Calibri" w:hAnsi="Calibri"/>
          <w:color w:val="0070C0"/>
        </w:rPr>
      </w:pPr>
      <w:r w:rsidRPr="00DC2E74">
        <w:rPr>
          <w:rFonts w:ascii="Calibri" w:hAnsi="Calibri"/>
          <w:color w:val="0070C0"/>
        </w:rPr>
        <w:t>Analytická časť</w:t>
      </w:r>
    </w:p>
    <w:p w14:paraId="728AEBCC" w14:textId="77777777" w:rsidR="007F2DB4" w:rsidRPr="00DE749B" w:rsidRDefault="006D092C">
      <w:pPr>
        <w:spacing w:after="0" w:line="240" w:lineRule="auto"/>
      </w:pPr>
      <w:r w:rsidRPr="00DC2E74">
        <w:sym w:font="Wingdings" w:char="F021"/>
      </w:r>
      <w:r w:rsidRPr="00DE749B">
        <w:t xml:space="preserve"> </w:t>
      </w:r>
      <w:r w:rsidRPr="00DE749B">
        <w:rPr>
          <w:b/>
        </w:rPr>
        <w:t>Odporúčaný</w:t>
      </w:r>
      <w:r w:rsidRPr="00DE749B">
        <w:t xml:space="preserve"> </w:t>
      </w:r>
      <w:r w:rsidRPr="00DE749B">
        <w:rPr>
          <w:b/>
        </w:rPr>
        <w:t>rozsah</w:t>
      </w:r>
      <w:r w:rsidRPr="00DE749B">
        <w:t xml:space="preserve">: </w:t>
      </w:r>
      <w:r w:rsidR="009441E8" w:rsidRPr="00DC2E74">
        <w:t xml:space="preserve">do </w:t>
      </w:r>
      <w:r w:rsidRPr="00DE749B">
        <w:t>40</w:t>
      </w:r>
      <w:r w:rsidR="009441E8" w:rsidRPr="00DE749B">
        <w:t xml:space="preserve"> </w:t>
      </w:r>
      <w:r w:rsidRPr="00DE749B">
        <w:t xml:space="preserve">strán </w:t>
      </w:r>
    </w:p>
    <w:p w14:paraId="5684F6DB" w14:textId="77777777" w:rsidR="007F2DB4" w:rsidRPr="00DC2E74" w:rsidRDefault="007F2DB4">
      <w:pPr>
        <w:spacing w:after="0" w:line="240" w:lineRule="auto"/>
        <w:rPr>
          <w:sz w:val="21"/>
          <w:szCs w:val="21"/>
        </w:rPr>
      </w:pPr>
    </w:p>
    <w:p w14:paraId="45FF123D" w14:textId="49E13A2F" w:rsidR="00680E96" w:rsidRPr="00DC2E74" w:rsidRDefault="006D092C">
      <w:pPr>
        <w:spacing w:after="0" w:line="240" w:lineRule="auto"/>
        <w:jc w:val="both"/>
      </w:pPr>
      <w:r w:rsidRPr="00DC2E74">
        <w:rPr>
          <w:szCs w:val="21"/>
        </w:rPr>
        <w:t xml:space="preserve">Analýza </w:t>
      </w:r>
      <w:r w:rsidR="00680E96" w:rsidRPr="00DC2E74">
        <w:rPr>
          <w:szCs w:val="21"/>
        </w:rPr>
        <w:t>obsahuje komplexné hodnotenie a analýzu východiskovej situácie vo väzbe na existujúce relevantné stratégie a</w:t>
      </w:r>
      <w:r w:rsidR="006B6DC9">
        <w:rPr>
          <w:szCs w:val="21"/>
        </w:rPr>
        <w:t> </w:t>
      </w:r>
      <w:r w:rsidR="00680E96" w:rsidRPr="00DC2E74">
        <w:rPr>
          <w:szCs w:val="21"/>
        </w:rPr>
        <w:t>koncepcie</w:t>
      </w:r>
      <w:r w:rsidR="006B6DC9">
        <w:rPr>
          <w:szCs w:val="21"/>
        </w:rPr>
        <w:t xml:space="preserve">, </w:t>
      </w:r>
      <w:r w:rsidR="004847F6" w:rsidRPr="00DC2E74">
        <w:rPr>
          <w:szCs w:val="21"/>
        </w:rPr>
        <w:t>na</w:t>
      </w:r>
      <w:r w:rsidR="00680E96" w:rsidRPr="00DC2E74">
        <w:rPr>
          <w:szCs w:val="21"/>
        </w:rPr>
        <w:t xml:space="preserve"> využívanie potenciálu územia, jeho limitov a rozvoja územia v rámci každej tematickej oblasti IROP, </w:t>
      </w:r>
      <w:r w:rsidR="00680E96" w:rsidRPr="00DC2E74">
        <w:t xml:space="preserve">prípadne iných relevantných </w:t>
      </w:r>
      <w:r w:rsidR="002B2348">
        <w:t>OP/</w:t>
      </w:r>
      <w:r w:rsidR="00680E96" w:rsidRPr="00DC2E74">
        <w:t>programov na úrovni VÚC so špecifickým dôrazom na územie mestskej funkčnej oblasti krajského mesta a s jasnou väzbou na strategickú časť RIÚS.</w:t>
      </w:r>
    </w:p>
    <w:p w14:paraId="656B9077" w14:textId="77777777" w:rsidR="007F2DB4" w:rsidRPr="00DC2E74" w:rsidRDefault="007F2DB4">
      <w:pPr>
        <w:spacing w:after="0" w:line="240" w:lineRule="auto"/>
        <w:jc w:val="both"/>
      </w:pPr>
    </w:p>
    <w:p w14:paraId="6A920B0E" w14:textId="77D13750" w:rsidR="007F2DB4" w:rsidRPr="00DE749B" w:rsidRDefault="006D092C">
      <w:pPr>
        <w:spacing w:after="0" w:line="240" w:lineRule="auto"/>
        <w:jc w:val="both"/>
      </w:pPr>
      <w:r w:rsidRPr="00DE749B">
        <w:t xml:space="preserve">Z obsahového hľadiska analyzované časti zodpovedajú </w:t>
      </w:r>
      <w:r w:rsidRPr="00DE749B">
        <w:rPr>
          <w:b/>
          <w:i/>
        </w:rPr>
        <w:t xml:space="preserve">Integrovanému regionálnemu operačnému programu </w:t>
      </w:r>
      <w:r w:rsidRPr="00DE749B">
        <w:t xml:space="preserve">(ďalej </w:t>
      </w:r>
      <w:r w:rsidR="00DE749B">
        <w:t>iba</w:t>
      </w:r>
      <w:r w:rsidR="00DE749B" w:rsidRPr="00DE749B">
        <w:t xml:space="preserve"> </w:t>
      </w:r>
      <w:r w:rsidRPr="00DE749B">
        <w:t>„IROP</w:t>
      </w:r>
      <w:r w:rsidRPr="00DC2E74">
        <w:t>“)</w:t>
      </w:r>
      <w:r w:rsidR="007743BF" w:rsidRPr="00DC2E74">
        <w:t xml:space="preserve"> s relevanciou pre</w:t>
      </w:r>
      <w:r w:rsidR="0000428C" w:rsidRPr="00DC2E74">
        <w:t xml:space="preserve"> </w:t>
      </w:r>
      <w:r w:rsidR="00C97965" w:rsidRPr="00DC2E74">
        <w:t>RIÚ</w:t>
      </w:r>
      <w:r w:rsidR="007743BF" w:rsidRPr="00DC2E74">
        <w:t>S</w:t>
      </w:r>
      <w:r w:rsidR="00DE749B">
        <w:t xml:space="preserve">. Špecifické ciele, ktoré nie sú pre RIÚS relevantné, sú uvedené v Metodickom usmernení č. 1. </w:t>
      </w:r>
    </w:p>
    <w:p w14:paraId="7FBF1284" w14:textId="77777777" w:rsidR="007F2DB4" w:rsidRPr="00DE749B" w:rsidRDefault="007F2DB4">
      <w:pPr>
        <w:spacing w:after="0" w:line="240" w:lineRule="auto"/>
        <w:jc w:val="both"/>
      </w:pPr>
    </w:p>
    <w:p w14:paraId="60364A83" w14:textId="7DC456C1" w:rsidR="007F2DB4" w:rsidRPr="00DE749B" w:rsidRDefault="006D092C">
      <w:pPr>
        <w:pStyle w:val="mStandard"/>
        <w:spacing w:before="0" w:after="0" w:line="240" w:lineRule="auto"/>
        <w:rPr>
          <w:rFonts w:ascii="Calibri" w:eastAsia="Calibri" w:hAnsi="Calibri"/>
          <w:lang w:val="sk-SK"/>
        </w:rPr>
      </w:pPr>
      <w:r w:rsidRPr="00DE749B">
        <w:rPr>
          <w:rFonts w:ascii="Calibri" w:eastAsia="Calibri" w:hAnsi="Calibri"/>
          <w:lang w:val="sk-SK"/>
        </w:rPr>
        <w:t xml:space="preserve">V rámci analyzovaných oblastí a ich potrieb, ktoré budú transformované do špecifických cieľov RIÚS, je možné definovať </w:t>
      </w:r>
      <w:r w:rsidRPr="00DE749B">
        <w:rPr>
          <w:rFonts w:ascii="Calibri" w:eastAsia="Calibri" w:hAnsi="Calibri"/>
          <w:b/>
          <w:i/>
          <w:lang w:val="sk-SK"/>
        </w:rPr>
        <w:t>územné investičné jednotky</w:t>
      </w:r>
      <w:r w:rsidR="00BD5CBD" w:rsidRPr="00DC2E74">
        <w:rPr>
          <w:rFonts w:ascii="Calibri" w:eastAsia="Calibri" w:hAnsi="Calibri"/>
          <w:b/>
          <w:i/>
          <w:lang w:val="sk-SK" w:eastAsia="en-US"/>
        </w:rPr>
        <w:t>,</w:t>
      </w:r>
      <w:r w:rsidRPr="00DE749B">
        <w:rPr>
          <w:rFonts w:ascii="Calibri" w:eastAsia="Calibri" w:hAnsi="Calibri"/>
          <w:b/>
          <w:i/>
          <w:lang w:val="sk-SK"/>
        </w:rPr>
        <w:t xml:space="preserve"> </w:t>
      </w:r>
      <w:r w:rsidRPr="00DE749B">
        <w:rPr>
          <w:rFonts w:ascii="Calibri" w:eastAsia="Calibri" w:hAnsi="Calibri"/>
          <w:lang w:val="sk-SK"/>
        </w:rPr>
        <w:t xml:space="preserve">t.j. územie, na ktorom budú realizované opatrenia/aktivity v rámci špecifických cieľov. </w:t>
      </w:r>
      <w:r w:rsidR="00C97965" w:rsidRPr="00DC2E74">
        <w:rPr>
          <w:rFonts w:ascii="Calibri" w:eastAsia="Calibri" w:hAnsi="Calibri"/>
          <w:bCs/>
          <w:lang w:val="sk-SK"/>
        </w:rPr>
        <w:t>Územná investičná jednotka</w:t>
      </w:r>
      <w:r w:rsidR="00C97965" w:rsidRPr="00DE749B">
        <w:rPr>
          <w:rFonts w:ascii="Calibri" w:eastAsia="Calibri" w:hAnsi="Calibri"/>
          <w:lang w:val="sk-SK"/>
        </w:rPr>
        <w:t xml:space="preserve"> predstavuje územie, ktoré sa zvolí pre účely preskúmania potenciálu účinnosti plánovanej investície vo vzťahu k plneniu cieľov a ukazovateľov RIÚS na tomto území v porovnaní s inými, identickými </w:t>
      </w:r>
      <w:r w:rsidR="00C97965" w:rsidRPr="00DC2E74">
        <w:rPr>
          <w:rFonts w:ascii="Calibri" w:eastAsia="Calibri" w:hAnsi="Calibri"/>
          <w:bCs/>
          <w:lang w:val="sk-SK"/>
        </w:rPr>
        <w:t>územnými investičnými jednotkami.</w:t>
      </w:r>
      <w:r w:rsidRPr="00DC2E74">
        <w:rPr>
          <w:rFonts w:ascii="Calibri" w:eastAsia="Calibri" w:hAnsi="Calibri"/>
          <w:bCs/>
          <w:lang w:val="sk-SK"/>
        </w:rPr>
        <w:t xml:space="preserve"> </w:t>
      </w:r>
      <w:r w:rsidRPr="00DE749B">
        <w:rPr>
          <w:rFonts w:ascii="Calibri" w:eastAsia="Calibri" w:hAnsi="Calibri"/>
          <w:lang w:val="sk-SK"/>
        </w:rPr>
        <w:t>Môže ísť o územie jednej obce alebo územie zložené z viacerých obcí (úroveň LAU2), územie mestskej funkčnej oblasti, okresu (úroveň LAU1</w:t>
      </w:r>
      <w:r w:rsidRPr="00DC2E74">
        <w:rPr>
          <w:rFonts w:ascii="Calibri" w:eastAsia="Calibri" w:hAnsi="Calibri"/>
          <w:lang w:val="sk-SK" w:eastAsia="en-US"/>
        </w:rPr>
        <w:t>)</w:t>
      </w:r>
      <w:r w:rsidR="004847F6" w:rsidRPr="00DC2E74">
        <w:rPr>
          <w:rFonts w:ascii="Calibri" w:eastAsia="Calibri" w:hAnsi="Calibri"/>
          <w:lang w:val="sk-SK" w:eastAsia="en-US"/>
        </w:rPr>
        <w:t>,</w:t>
      </w:r>
      <w:r w:rsidRPr="00DE749B">
        <w:rPr>
          <w:rFonts w:ascii="Calibri" w:eastAsia="Calibri" w:hAnsi="Calibri"/>
          <w:lang w:val="sk-SK"/>
        </w:rPr>
        <w:t xml:space="preserve"> </w:t>
      </w:r>
      <w:r w:rsidRPr="00183FA8">
        <w:rPr>
          <w:rFonts w:ascii="Calibri" w:eastAsia="Calibri" w:hAnsi="Calibri"/>
          <w:lang w:val="sk-SK"/>
        </w:rPr>
        <w:t>alebo vyššieho územného celku</w:t>
      </w:r>
      <w:r w:rsidRPr="00DE749B">
        <w:rPr>
          <w:rFonts w:ascii="Calibri" w:eastAsia="Calibri" w:hAnsi="Calibri"/>
          <w:lang w:val="sk-SK"/>
        </w:rPr>
        <w:t xml:space="preserve"> (úroveň NUTS3). Výber </w:t>
      </w:r>
      <w:r w:rsidR="00002AA7" w:rsidRPr="00DC2E74">
        <w:rPr>
          <w:rFonts w:ascii="Calibri" w:eastAsia="Calibri" w:hAnsi="Calibri"/>
          <w:lang w:val="sk-SK" w:eastAsia="en-US"/>
        </w:rPr>
        <w:t>územnej investičnej jednotky</w:t>
      </w:r>
      <w:r w:rsidRPr="00DE749B">
        <w:rPr>
          <w:rFonts w:ascii="Calibri" w:eastAsia="Calibri" w:hAnsi="Calibri"/>
          <w:lang w:val="sk-SK"/>
        </w:rPr>
        <w:t xml:space="preserve"> je potrebné zdôvodniť. Pre účely objektívneho porovnania územných investičných jednotiek je potrebné stanoviť kritériá, na základe ktorých je možné vyhodnotiť účinnosť investície a </w:t>
      </w:r>
      <w:r w:rsidR="00DC2E74" w:rsidRPr="00DE749B">
        <w:rPr>
          <w:rFonts w:ascii="Calibri" w:eastAsia="Calibri" w:hAnsi="Calibri"/>
          <w:lang w:val="sk-SK"/>
        </w:rPr>
        <w:t>príspevok</w:t>
      </w:r>
      <w:r w:rsidRPr="00DE749B">
        <w:rPr>
          <w:rFonts w:ascii="Calibri" w:eastAsia="Calibri" w:hAnsi="Calibri"/>
          <w:lang w:val="sk-SK"/>
        </w:rPr>
        <w:t xml:space="preserve"> k plneniu cieľov RIÚS/IROP (odôvodniť, prečo je prínosnejšie investovať v územnej investičnej jednotke (napr. na území obce A), a nie v územnej investičnej jednotke B (na území obce B)).</w:t>
      </w:r>
    </w:p>
    <w:p w14:paraId="1DD56779" w14:textId="77777777" w:rsidR="007F2DB4" w:rsidRPr="00DE749B" w:rsidRDefault="007F2DB4">
      <w:pPr>
        <w:spacing w:after="0" w:line="240" w:lineRule="auto"/>
        <w:jc w:val="both"/>
      </w:pPr>
    </w:p>
    <w:p w14:paraId="1EEF454E" w14:textId="77777777" w:rsidR="009632B8" w:rsidRPr="00DE749B" w:rsidRDefault="006D092C" w:rsidP="00A64A91">
      <w:pPr>
        <w:spacing w:after="0" w:line="240" w:lineRule="auto"/>
        <w:jc w:val="both"/>
      </w:pPr>
      <w:r w:rsidRPr="00DE749B">
        <w:t>Závery analýzy budú zhrnuté v </w:t>
      </w:r>
      <w:r w:rsidRPr="00DE749B">
        <w:rPr>
          <w:b/>
          <w:i/>
        </w:rPr>
        <w:t>SWOT analýze</w:t>
      </w:r>
      <w:r w:rsidRPr="00DE749B">
        <w:t>.</w:t>
      </w:r>
      <w:r w:rsidR="009632B8" w:rsidRPr="00DC2E74">
        <w:t xml:space="preserve"> </w:t>
      </w:r>
      <w:r w:rsidR="009632B8" w:rsidRPr="00DC2E74">
        <w:rPr>
          <w:bCs/>
        </w:rPr>
        <w:t>Pri spracovaní SWOT analýzy je nutné postupovať v nadväznosti na variant spracovania analytickej časti:</w:t>
      </w:r>
    </w:p>
    <w:p w14:paraId="5C428B97" w14:textId="77777777" w:rsidR="009632B8" w:rsidRPr="00DC2E74" w:rsidRDefault="009632B8" w:rsidP="009632B8">
      <w:pPr>
        <w:pStyle w:val="mStandard"/>
        <w:numPr>
          <w:ilvl w:val="0"/>
          <w:numId w:val="12"/>
        </w:numPr>
        <w:spacing w:before="0" w:after="0" w:line="276" w:lineRule="auto"/>
        <w:rPr>
          <w:rFonts w:ascii="Calibri" w:eastAsia="Calibri" w:hAnsi="Calibri"/>
          <w:bCs/>
          <w:lang w:val="sk-SK"/>
        </w:rPr>
      </w:pPr>
      <w:r w:rsidRPr="00DC2E74">
        <w:rPr>
          <w:rFonts w:ascii="Calibri" w:eastAsia="Calibri" w:hAnsi="Calibri"/>
          <w:bCs/>
          <w:lang w:val="sk-SK"/>
        </w:rPr>
        <w:t>Samostatne pre územie RIÚS a samostatne pre územie UMR;</w:t>
      </w:r>
    </w:p>
    <w:p w14:paraId="7FF1F9EA" w14:textId="77777777" w:rsidR="009632B8" w:rsidRPr="00DC2E74" w:rsidRDefault="009632B8" w:rsidP="009632B8">
      <w:pPr>
        <w:pStyle w:val="mStandard"/>
        <w:numPr>
          <w:ilvl w:val="0"/>
          <w:numId w:val="12"/>
        </w:numPr>
        <w:spacing w:before="0" w:after="0" w:line="276" w:lineRule="auto"/>
        <w:rPr>
          <w:rFonts w:ascii="Calibri" w:eastAsia="Calibri" w:hAnsi="Calibri"/>
          <w:bCs/>
          <w:lang w:val="sk-SK"/>
        </w:rPr>
      </w:pPr>
      <w:r w:rsidRPr="00DC2E74">
        <w:rPr>
          <w:rFonts w:ascii="Calibri" w:eastAsia="Calibri" w:hAnsi="Calibri"/>
          <w:bCs/>
          <w:lang w:val="sk-SK"/>
        </w:rPr>
        <w:t>Spoločne pre územie RIÚS</w:t>
      </w:r>
      <w:r w:rsidR="00BD5CBD" w:rsidRPr="00DC2E74">
        <w:rPr>
          <w:rFonts w:ascii="Calibri" w:eastAsia="Calibri" w:hAnsi="Calibri"/>
          <w:bCs/>
          <w:lang w:val="sk-SK"/>
        </w:rPr>
        <w:t xml:space="preserve"> vrátane</w:t>
      </w:r>
      <w:r w:rsidRPr="00DC2E74">
        <w:rPr>
          <w:rFonts w:ascii="Calibri" w:eastAsia="Calibri" w:hAnsi="Calibri"/>
          <w:bCs/>
          <w:lang w:val="sk-SK"/>
        </w:rPr>
        <w:t> územi</w:t>
      </w:r>
      <w:r w:rsidR="00BD5CBD" w:rsidRPr="00DC2E74">
        <w:rPr>
          <w:rFonts w:ascii="Calibri" w:eastAsia="Calibri" w:hAnsi="Calibri"/>
          <w:bCs/>
          <w:lang w:val="sk-SK"/>
        </w:rPr>
        <w:t>a</w:t>
      </w:r>
      <w:r w:rsidRPr="00DC2E74">
        <w:rPr>
          <w:rFonts w:ascii="Calibri" w:eastAsia="Calibri" w:hAnsi="Calibri"/>
          <w:bCs/>
          <w:lang w:val="sk-SK"/>
        </w:rPr>
        <w:t xml:space="preserve"> UMR.</w:t>
      </w:r>
    </w:p>
    <w:p w14:paraId="010D92F4" w14:textId="77777777" w:rsidR="007F2DB4" w:rsidRPr="00DC2E74" w:rsidRDefault="007F2DB4">
      <w:pPr>
        <w:spacing w:after="0" w:line="240" w:lineRule="auto"/>
        <w:jc w:val="both"/>
        <w:rPr>
          <w:color w:val="008000"/>
        </w:rPr>
      </w:pPr>
    </w:p>
    <w:p w14:paraId="00CB4162" w14:textId="704133D4" w:rsidR="007F2DB4" w:rsidRPr="00DC2E74" w:rsidRDefault="006D092C">
      <w:pPr>
        <w:spacing w:after="0" w:line="240" w:lineRule="auto"/>
        <w:rPr>
          <w:rStyle w:val="Intenzvnezvraznenie"/>
          <w:color w:val="0070C0"/>
        </w:rPr>
      </w:pPr>
      <w:r w:rsidRPr="00DC2E74">
        <w:rPr>
          <w:rStyle w:val="Intenzvnezvraznenie"/>
          <w:color w:val="0070C0"/>
        </w:rPr>
        <w:t xml:space="preserve">SWOT analýza územia s ohľadom na analyzované oblasti </w:t>
      </w:r>
    </w:p>
    <w:p w14:paraId="1097FC8F" w14:textId="77777777" w:rsidR="00A64A91" w:rsidRPr="00DC2E74" w:rsidRDefault="00E470C2" w:rsidP="00A37025">
      <w:pPr>
        <w:spacing w:after="0" w:line="240" w:lineRule="auto"/>
        <w:jc w:val="both"/>
        <w:rPr>
          <w:u w:val="single"/>
        </w:rPr>
      </w:pPr>
      <w:r w:rsidRPr="00DC2E74">
        <w:t>SWOT analýza sumarizuje silné stránky / slabé stránky</w:t>
      </w:r>
      <w:r w:rsidR="006E057E" w:rsidRPr="00DC2E74">
        <w:t xml:space="preserve"> a príležitosti</w:t>
      </w:r>
      <w:r w:rsidRPr="00DC2E74">
        <w:t xml:space="preserve"> / ohrozenia analyzovaných tematických oblastí. SWOT analýzu je potrebné spracovať </w:t>
      </w:r>
      <w:r w:rsidRPr="00DC2E74">
        <w:rPr>
          <w:u w:val="single"/>
        </w:rPr>
        <w:t>minimálne pre každ</w:t>
      </w:r>
      <w:r w:rsidR="0096284E" w:rsidRPr="00DC2E74">
        <w:rPr>
          <w:u w:val="single"/>
        </w:rPr>
        <w:t>ý špecifický cieľ</w:t>
      </w:r>
      <w:r w:rsidR="00A64A91" w:rsidRPr="00DC2E74">
        <w:rPr>
          <w:u w:val="single"/>
        </w:rPr>
        <w:t xml:space="preserve"> obsiahnutý v IROP s relevanciou pre RIÚS.</w:t>
      </w:r>
    </w:p>
    <w:p w14:paraId="31C0C284" w14:textId="77777777" w:rsidR="006E057E" w:rsidRPr="00DC2E74" w:rsidRDefault="00A64A91" w:rsidP="00A37025">
      <w:pPr>
        <w:spacing w:after="0" w:line="240" w:lineRule="auto"/>
        <w:jc w:val="both"/>
        <w:sectPr w:rsidR="006E057E" w:rsidRPr="00DC2E7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2E74">
        <w:t xml:space="preserve"> </w:t>
      </w:r>
    </w:p>
    <w:p w14:paraId="4AF314DC" w14:textId="77777777" w:rsidR="007F2DB4" w:rsidRPr="00DC2E74" w:rsidRDefault="007F2DB4">
      <w:pPr>
        <w:spacing w:after="0" w:line="240" w:lineRule="auto"/>
        <w:rPr>
          <w:rStyle w:val="Intenzvnezvraznenie"/>
          <w:color w:val="0070C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16"/>
        <w:gridCol w:w="2016"/>
        <w:gridCol w:w="2016"/>
      </w:tblGrid>
      <w:tr w:rsidR="006E057E" w:rsidRPr="00DC2E74" w14:paraId="3C4CD52C" w14:textId="77777777" w:rsidTr="00DE749B">
        <w:tc>
          <w:tcPr>
            <w:tcW w:w="5495" w:type="dxa"/>
          </w:tcPr>
          <w:p w14:paraId="6A742861" w14:textId="5552236C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  <w:r w:rsidRPr="00DC2E74">
              <w:rPr>
                <w:rStyle w:val="Intenzvnezvraznenie"/>
                <w:color w:val="auto"/>
                <w:sz w:val="20"/>
                <w:szCs w:val="20"/>
              </w:rPr>
              <w:t>Oblasť</w:t>
            </w:r>
            <w:r w:rsidR="00DE749B">
              <w:rPr>
                <w:rStyle w:val="Intenzvnezvraznenie"/>
                <w:color w:val="auto"/>
                <w:sz w:val="20"/>
                <w:szCs w:val="20"/>
              </w:rPr>
              <w:t xml:space="preserve"> (špecifický cieľ)</w:t>
            </w:r>
            <w:r w:rsidRPr="00DC2E74">
              <w:rPr>
                <w:rStyle w:val="Intenzvnezvraznenie"/>
                <w:color w:val="auto"/>
                <w:sz w:val="20"/>
                <w:szCs w:val="20"/>
              </w:rPr>
              <w:t xml:space="preserve"> :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8DB3E2" w:themeFill="text2" w:themeFillTint="66"/>
          </w:tcPr>
          <w:p w14:paraId="053DFB57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  <w:r w:rsidRPr="00DC2E74">
              <w:rPr>
                <w:rStyle w:val="Intenzvnezvraznenie"/>
                <w:color w:val="auto"/>
                <w:sz w:val="20"/>
                <w:szCs w:val="20"/>
              </w:rPr>
              <w:t xml:space="preserve">Silné stránky 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35DFF3E0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  <w:r w:rsidRPr="00DC2E74">
              <w:rPr>
                <w:rStyle w:val="Intenzvnezvraznenie"/>
                <w:color w:val="auto"/>
                <w:sz w:val="20"/>
                <w:szCs w:val="20"/>
              </w:rPr>
              <w:t xml:space="preserve">Slabé stránky </w:t>
            </w:r>
          </w:p>
        </w:tc>
        <w:tc>
          <w:tcPr>
            <w:tcW w:w="2016" w:type="dxa"/>
            <w:shd w:val="clear" w:color="auto" w:fill="92D050"/>
          </w:tcPr>
          <w:p w14:paraId="6B9BA5D9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  <w:r w:rsidRPr="00DC2E74">
              <w:rPr>
                <w:rStyle w:val="Intenzvnezvraznenie"/>
                <w:color w:val="auto"/>
                <w:sz w:val="20"/>
                <w:szCs w:val="20"/>
              </w:rPr>
              <w:t>Príležitosti</w:t>
            </w:r>
          </w:p>
        </w:tc>
        <w:tc>
          <w:tcPr>
            <w:tcW w:w="2016" w:type="dxa"/>
            <w:shd w:val="clear" w:color="auto" w:fill="948A54" w:themeFill="background2" w:themeFillShade="80"/>
          </w:tcPr>
          <w:p w14:paraId="4D366EFE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  <w:r w:rsidRPr="00DC2E74">
              <w:rPr>
                <w:rStyle w:val="Intenzvnezvraznenie"/>
                <w:color w:val="auto"/>
                <w:sz w:val="20"/>
                <w:szCs w:val="20"/>
              </w:rPr>
              <w:t>Ohrozenia</w:t>
            </w:r>
          </w:p>
        </w:tc>
      </w:tr>
      <w:tr w:rsidR="006E057E" w:rsidRPr="00DC2E74" w14:paraId="5EA7E486" w14:textId="77777777" w:rsidTr="00DE749B">
        <w:tc>
          <w:tcPr>
            <w:tcW w:w="5495" w:type="dxa"/>
          </w:tcPr>
          <w:p w14:paraId="6A9ADD16" w14:textId="73B08479" w:rsidR="006E057E" w:rsidRPr="00DE749B" w:rsidRDefault="00513A5B" w:rsidP="006B6DC9">
            <w:pPr>
              <w:spacing w:before="60" w:after="60" w:line="276" w:lineRule="auto"/>
              <w:rPr>
                <w:rStyle w:val="Intenzvnezvraznenie"/>
                <w:b w:val="0"/>
                <w:color w:val="auto"/>
                <w:sz w:val="20"/>
                <w:highlight w:val="yellow"/>
              </w:rPr>
            </w:pPr>
            <w:r w:rsidRPr="00DC2E74"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iCs/>
                <w:sz w:val="20"/>
                <w:szCs w:val="20"/>
                <w:lang w:eastAsia="sk-SK"/>
              </w:rPr>
              <w:t>1.1 Zlepšenie dostupnosti k cestnej infraštruktúre TEN-T a cestám I. triedy s dôrazom na rozvoj multimodálneho dopravného systému</w:t>
            </w:r>
          </w:p>
        </w:tc>
        <w:tc>
          <w:tcPr>
            <w:tcW w:w="1701" w:type="dxa"/>
          </w:tcPr>
          <w:p w14:paraId="5220889B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5258690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BA81D80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B809384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139F6930" w14:textId="77777777" w:rsidTr="00DE749B">
        <w:tc>
          <w:tcPr>
            <w:tcW w:w="5495" w:type="dxa"/>
          </w:tcPr>
          <w:p w14:paraId="69F6E402" w14:textId="55D6F87D" w:rsidR="006E057E" w:rsidRPr="00DE749B" w:rsidRDefault="00513A5B" w:rsidP="006B6DC9">
            <w:pPr>
              <w:spacing w:before="60" w:after="60" w:line="276" w:lineRule="auto"/>
              <w:rPr>
                <w:rStyle w:val="Intenzvnezvraznenie"/>
                <w:i w:val="0"/>
                <w:color w:val="auto"/>
                <w:sz w:val="20"/>
                <w:highlight w:val="yellow"/>
              </w:rPr>
            </w:pPr>
            <w:r w:rsidRPr="00DC2E74"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iCs/>
                <w:sz w:val="20"/>
                <w:szCs w:val="20"/>
                <w:lang w:eastAsia="sk-SK"/>
              </w:rPr>
              <w:t>1.2.1 Zvyšovanie atraktivity a konkurencieschopnosti verejnej osobnej dopravy.</w:t>
            </w:r>
          </w:p>
        </w:tc>
        <w:tc>
          <w:tcPr>
            <w:tcW w:w="1701" w:type="dxa"/>
          </w:tcPr>
          <w:p w14:paraId="3F96202E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D5D5D6C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1D5FAD7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904AE4D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2D9A500D" w14:textId="77777777" w:rsidTr="00DE749B">
        <w:tc>
          <w:tcPr>
            <w:tcW w:w="5495" w:type="dxa"/>
          </w:tcPr>
          <w:p w14:paraId="65931D29" w14:textId="3307A7DB" w:rsidR="006E057E" w:rsidRPr="00DE749B" w:rsidRDefault="006B6DC9" w:rsidP="0096284E">
            <w:pPr>
              <w:spacing w:before="60" w:after="60" w:line="276" w:lineRule="auto"/>
            </w:pPr>
            <w:r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iCs/>
                <w:sz w:val="20"/>
                <w:szCs w:val="20"/>
                <w:lang w:eastAsia="sk-SK"/>
              </w:rPr>
              <w:t>1.2.2 Zvýšenie atraktivity a prepravnej kapacity nemotorovej dopravy (predovšetkým cyklistickej dopravy) na celkovom počte prepravených osôb.</w:t>
            </w:r>
          </w:p>
        </w:tc>
        <w:tc>
          <w:tcPr>
            <w:tcW w:w="1701" w:type="dxa"/>
          </w:tcPr>
          <w:p w14:paraId="57D28A78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316F436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2A3948E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886FCBA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7958B56E" w14:textId="77777777" w:rsidTr="00DE749B">
        <w:tc>
          <w:tcPr>
            <w:tcW w:w="5495" w:type="dxa"/>
            <w:tcBorders>
              <w:bottom w:val="single" w:sz="4" w:space="0" w:color="auto"/>
            </w:tcBorders>
          </w:tcPr>
          <w:p w14:paraId="13FDCC75" w14:textId="47BF4B3C" w:rsidR="006E057E" w:rsidRPr="00DE749B" w:rsidRDefault="006B6DC9" w:rsidP="0096284E">
            <w:pPr>
              <w:spacing w:before="60" w:after="60" w:line="276" w:lineRule="auto"/>
              <w:rPr>
                <w:rStyle w:val="Intenzvnezvraznenie"/>
                <w:b w:val="0"/>
                <w:color w:val="auto"/>
                <w:sz w:val="20"/>
                <w:highlight w:val="yellow"/>
              </w:rPr>
            </w:pPr>
            <w:r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iCs/>
                <w:sz w:val="20"/>
                <w:szCs w:val="20"/>
                <w:lang w:eastAsia="sk-SK"/>
              </w:rPr>
              <w:t>2.1.1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94DCB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64A1B72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40BAED1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F3E6FED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280E07B1" w14:textId="77777777" w:rsidTr="00DE749B">
        <w:tc>
          <w:tcPr>
            <w:tcW w:w="5495" w:type="dxa"/>
            <w:shd w:val="clear" w:color="auto" w:fill="FFFFFF" w:themeFill="background1"/>
            <w:vAlign w:val="center"/>
          </w:tcPr>
          <w:p w14:paraId="5B353119" w14:textId="77777777" w:rsidR="006E057E" w:rsidRPr="00DE749B" w:rsidRDefault="006B6DC9" w:rsidP="0096284E">
            <w:pPr>
              <w:spacing w:before="60" w:after="60" w:line="276" w:lineRule="auto"/>
              <w:rPr>
                <w:rStyle w:val="Intenzvnezvraznenie"/>
                <w:b w:val="0"/>
                <w:color w:val="auto"/>
                <w:sz w:val="20"/>
                <w:highlight w:val="yellow"/>
              </w:rPr>
            </w:pPr>
            <w:r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sz w:val="20"/>
                <w:szCs w:val="20"/>
                <w:lang w:eastAsia="sk-SK"/>
              </w:rPr>
              <w:t>2.1.2 Modernizovať zdravotnícku infraštruktúru za účelom integrácie primárnej  zdravotnej starostlivosti.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97AE7" w14:textId="4B25D37B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CBC32" w14:textId="052EE915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CA08E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851FD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7826765A" w14:textId="77777777" w:rsidTr="00DE749B">
        <w:tc>
          <w:tcPr>
            <w:tcW w:w="5495" w:type="dxa"/>
            <w:vAlign w:val="center"/>
          </w:tcPr>
          <w:p w14:paraId="3D49CE4B" w14:textId="10B60C00" w:rsidR="006E057E" w:rsidRPr="00DE749B" w:rsidDel="0096284E" w:rsidRDefault="006B6DC9" w:rsidP="00513A5B">
            <w:pPr>
              <w:spacing w:before="60" w:after="60" w:line="276" w:lineRule="auto"/>
            </w:pPr>
            <w:r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sz w:val="20"/>
                <w:szCs w:val="20"/>
                <w:lang w:eastAsia="sk-SK"/>
              </w:rPr>
              <w:t>2.2.1 Zvýšenie hrubej zaškolenosti detí  materských šk</w:t>
            </w:r>
            <w:r w:rsidR="00513A5B" w:rsidRPr="00DC2E74">
              <w:rPr>
                <w:rFonts w:eastAsia="Trebuchet MS" w:cs="Calibri"/>
                <w:sz w:val="20"/>
                <w:szCs w:val="20"/>
                <w:lang w:eastAsia="sk-SK"/>
              </w:rPr>
              <w:t>ôl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7BE78A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36E803C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13A553D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5E4DE06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6A08009B" w14:textId="77777777" w:rsidTr="00DE749B">
        <w:tc>
          <w:tcPr>
            <w:tcW w:w="5495" w:type="dxa"/>
            <w:vAlign w:val="center"/>
          </w:tcPr>
          <w:p w14:paraId="7697434B" w14:textId="32F70F41" w:rsidR="006E057E" w:rsidRPr="00DE749B" w:rsidDel="0096284E" w:rsidRDefault="006B6DC9" w:rsidP="0096284E">
            <w:pPr>
              <w:spacing w:before="60" w:after="60" w:line="276" w:lineRule="auto"/>
            </w:pPr>
            <w:r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sz w:val="20"/>
                <w:szCs w:val="20"/>
                <w:lang w:eastAsia="sk-SK"/>
              </w:rPr>
              <w:t>2.2.2 Zlepšenie kľúčových kompetencií žiakov základných škôl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FD83F7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FBC6DFA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AD3E218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D957720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0ED81006" w14:textId="77777777" w:rsidTr="006E057E">
        <w:tc>
          <w:tcPr>
            <w:tcW w:w="5495" w:type="dxa"/>
            <w:vAlign w:val="center"/>
          </w:tcPr>
          <w:p w14:paraId="500C2F6C" w14:textId="77777777" w:rsidR="006E057E" w:rsidRPr="00DC2E74" w:rsidDel="0096284E" w:rsidRDefault="006B6DC9" w:rsidP="0096284E">
            <w:pPr>
              <w:spacing w:before="60" w:after="60"/>
              <w:rPr>
                <w:rFonts w:eastAsia="Trebuchet MS" w:cs="Calibri"/>
                <w:sz w:val="20"/>
                <w:szCs w:val="20"/>
                <w:lang w:eastAsia="sk-SK"/>
              </w:rPr>
            </w:pPr>
            <w:r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sz w:val="20"/>
                <w:szCs w:val="20"/>
                <w:lang w:eastAsia="sk-SK"/>
              </w:rPr>
              <w:t>2.2.3 Zvýšenie počtu žiakov stredných odborných škôl na praktickom vyučovaní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841866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CA8FCEA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9FB5A39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AC125E7" w14:textId="77777777" w:rsidR="006E057E" w:rsidRPr="00DC2E74" w:rsidRDefault="006E057E" w:rsidP="0096284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7F4C93FE" w14:textId="77777777" w:rsidTr="00DE749B">
        <w:tc>
          <w:tcPr>
            <w:tcW w:w="5495" w:type="dxa"/>
          </w:tcPr>
          <w:p w14:paraId="11EB6863" w14:textId="4B10ED61" w:rsidR="006E057E" w:rsidRPr="00DE749B" w:rsidRDefault="006B6DC9">
            <w:pPr>
              <w:spacing w:before="60" w:after="60" w:line="276" w:lineRule="auto"/>
              <w:rPr>
                <w:rStyle w:val="Intenzvnezvraznenie"/>
                <w:color w:val="auto"/>
                <w:sz w:val="20"/>
                <w:highlight w:val="yellow"/>
              </w:rPr>
            </w:pPr>
            <w:r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ŠC </w:t>
            </w:r>
            <w:r w:rsidR="006E057E" w:rsidRPr="00DC2E74">
              <w:rPr>
                <w:rFonts w:eastAsia="Trebuchet MS" w:cs="Calibri"/>
                <w:sz w:val="20"/>
                <w:szCs w:val="20"/>
                <w:lang w:eastAsia="sk-SK"/>
              </w:rPr>
              <w:t>4.2.1 Zvýšenie podielu obyvateľstva so zlepšeným zásobovaním pitnou vodou a odvádzanie a čistenie  odpadových vôd verejnou kanalizáciou bez negatívnych dopadov na životné prostredie</w:t>
            </w:r>
            <w:r w:rsidR="006E057E" w:rsidRPr="00DC2E74" w:rsidDel="0096284E">
              <w:rPr>
                <w:rFonts w:eastAsia="Trebuchet MS" w:cs="Calibr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1045E8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E5681A3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7B8386F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159DBA8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  <w:tr w:rsidR="006E057E" w:rsidRPr="00DC2E74" w14:paraId="6687EE87" w14:textId="77777777" w:rsidTr="00DE749B">
        <w:tc>
          <w:tcPr>
            <w:tcW w:w="5495" w:type="dxa"/>
            <w:vAlign w:val="center"/>
          </w:tcPr>
          <w:p w14:paraId="37D680EB" w14:textId="636F87FD" w:rsidR="006E057E" w:rsidRPr="00DE749B" w:rsidRDefault="006B6DC9" w:rsidP="00EF09D3">
            <w:pPr>
              <w:spacing w:before="60" w:after="60" w:line="276" w:lineRule="auto"/>
              <w:rPr>
                <w:rStyle w:val="Intenzvnezvraznenie"/>
                <w:color w:val="auto"/>
                <w:sz w:val="20"/>
                <w:highlight w:val="yellow"/>
              </w:rPr>
            </w:pPr>
            <w:r>
              <w:rPr>
                <w:rFonts w:eastAsia="Trebuchet MS" w:cs="Calibri"/>
                <w:iCs/>
                <w:sz w:val="20"/>
                <w:szCs w:val="20"/>
                <w:lang w:eastAsia="sk-SK"/>
              </w:rPr>
              <w:t>ŠC</w:t>
            </w:r>
            <w:r w:rsidR="00513A5B" w:rsidRPr="00DC2E74">
              <w:rPr>
                <w:rFonts w:eastAsia="Trebuchet MS" w:cs="Calibri"/>
                <w:iCs/>
                <w:sz w:val="20"/>
                <w:szCs w:val="20"/>
                <w:lang w:eastAsia="sk-SK"/>
              </w:rPr>
              <w:t xml:space="preserve"> </w:t>
            </w:r>
            <w:r w:rsidR="006E057E" w:rsidRPr="00DC2E74">
              <w:rPr>
                <w:rFonts w:eastAsia="Trebuchet MS" w:cs="Calibri"/>
                <w:bCs/>
                <w:iCs/>
                <w:sz w:val="20"/>
                <w:lang w:eastAsia="sk-SK"/>
              </w:rPr>
              <w:t xml:space="preserve">4.3.1 Zlepšenie environmentálnych aspektov v mestách a </w:t>
            </w:r>
            <w:r w:rsidR="006E057E" w:rsidRPr="00DC2E74">
              <w:rPr>
                <w:rFonts w:eastAsia="Trebuchet MS" w:cs="Calibri"/>
                <w:bCs/>
                <w:iCs/>
                <w:sz w:val="20"/>
                <w:lang w:eastAsia="sk-SK"/>
              </w:rPr>
              <w:lastRenderedPageBreak/>
              <w:t>mestských oblastiach prostredníctvom budovania prvkov zelenej infraštruktúry a adaptáciou urbanizovaného prostredia na zmenu klímy ako aj zavádzaním systémových prvkov znižovania znečistenia ovzdušia a hluku.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1C84C6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01E6BC2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A18C46C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3343FFE" w14:textId="77777777" w:rsidR="006E057E" w:rsidRPr="00DC2E74" w:rsidRDefault="006E057E">
            <w:pPr>
              <w:spacing w:before="60" w:after="60"/>
              <w:rPr>
                <w:rStyle w:val="Intenzvnezvraznenie"/>
                <w:color w:val="auto"/>
                <w:sz w:val="20"/>
                <w:szCs w:val="20"/>
              </w:rPr>
            </w:pPr>
          </w:p>
        </w:tc>
      </w:tr>
    </w:tbl>
    <w:p w14:paraId="07D6A988" w14:textId="77777777" w:rsidR="006E057E" w:rsidRPr="00DC2E74" w:rsidRDefault="006E057E">
      <w:pPr>
        <w:spacing w:after="0" w:line="240" w:lineRule="auto"/>
        <w:rPr>
          <w:rStyle w:val="Intenzvnezvraznenie"/>
          <w:color w:val="0070C0"/>
        </w:rPr>
        <w:sectPr w:rsidR="006E057E" w:rsidRPr="00DC2E74" w:rsidSect="00A370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1327CE1" w14:textId="77777777" w:rsidR="007F2DB4" w:rsidRPr="00DC2E74" w:rsidRDefault="006D092C">
      <w:pPr>
        <w:pStyle w:val="Nadpis1"/>
        <w:numPr>
          <w:ilvl w:val="0"/>
          <w:numId w:val="7"/>
        </w:numPr>
        <w:shd w:val="clear" w:color="auto" w:fill="B8CCE4" w:themeFill="accent1" w:themeFillTint="66"/>
        <w:tabs>
          <w:tab w:val="left" w:pos="426"/>
        </w:tabs>
        <w:ind w:left="284" w:hanging="284"/>
        <w:rPr>
          <w:rFonts w:ascii="Calibri" w:hAnsi="Calibri"/>
        </w:rPr>
      </w:pPr>
      <w:r w:rsidRPr="00DC2E74">
        <w:rPr>
          <w:rFonts w:ascii="Calibri" w:hAnsi="Calibri"/>
        </w:rPr>
        <w:lastRenderedPageBreak/>
        <w:t>Strategická časť</w:t>
      </w:r>
    </w:p>
    <w:p w14:paraId="18ED9F9A" w14:textId="4AE03891" w:rsidR="007F2DB4" w:rsidRPr="00DE749B" w:rsidRDefault="006D092C">
      <w:pPr>
        <w:jc w:val="both"/>
      </w:pPr>
      <w:r w:rsidRPr="00DC2E74">
        <w:sym w:font="Wingdings" w:char="F021"/>
      </w:r>
      <w:r w:rsidRPr="00DE749B">
        <w:t xml:space="preserve"> </w:t>
      </w:r>
      <w:r w:rsidRPr="00DE749B">
        <w:rPr>
          <w:b/>
        </w:rPr>
        <w:t>Odporúčaný</w:t>
      </w:r>
      <w:r w:rsidRPr="00DE749B">
        <w:t xml:space="preserve"> </w:t>
      </w:r>
      <w:r w:rsidRPr="00DE749B">
        <w:rPr>
          <w:b/>
        </w:rPr>
        <w:t>rozsah</w:t>
      </w:r>
      <w:r w:rsidRPr="00DE749B">
        <w:t xml:space="preserve">: </w:t>
      </w:r>
      <w:r w:rsidR="00C97965" w:rsidRPr="00DC2E74">
        <w:t>40</w:t>
      </w:r>
      <w:r w:rsidR="009441E8" w:rsidRPr="00DC2E74">
        <w:t xml:space="preserve"> - 50</w:t>
      </w:r>
      <w:r w:rsidRPr="00DE749B">
        <w:t xml:space="preserve"> strán</w:t>
      </w:r>
    </w:p>
    <w:p w14:paraId="6F10A4F1" w14:textId="77777777" w:rsidR="003B470F" w:rsidRPr="00DC2E74" w:rsidRDefault="003B470F">
      <w:pPr>
        <w:jc w:val="both"/>
        <w:rPr>
          <w:szCs w:val="21"/>
        </w:rPr>
      </w:pPr>
      <w:r w:rsidRPr="00DC2E74">
        <w:rPr>
          <w:szCs w:val="21"/>
        </w:rPr>
        <w:t xml:space="preserve">Strategickú časť je potrebné spracovať </w:t>
      </w:r>
      <w:r w:rsidRPr="00DC2E74">
        <w:rPr>
          <w:szCs w:val="21"/>
          <w:u w:val="single"/>
        </w:rPr>
        <w:t>minimálne pre každý špecifický cieľ IROP s relevanciou pre RIÚS</w:t>
      </w:r>
      <w:r w:rsidRPr="00DC2E74">
        <w:rPr>
          <w:szCs w:val="21"/>
        </w:rPr>
        <w:t xml:space="preserve"> podľa nižšie uvedenej štruktúry.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2DB4" w:rsidRPr="00DC2E74" w14:paraId="242F3791" w14:textId="77777777">
        <w:tc>
          <w:tcPr>
            <w:tcW w:w="9212" w:type="dxa"/>
          </w:tcPr>
          <w:p w14:paraId="6C94B51F" w14:textId="77777777" w:rsidR="007F2DB4" w:rsidRPr="00DC2E74" w:rsidRDefault="006D092C">
            <w:pPr>
              <w:jc w:val="both"/>
              <w:rPr>
                <w:b/>
                <w:bCs/>
                <w:i/>
                <w:color w:val="0070C0"/>
              </w:rPr>
            </w:pPr>
            <w:r w:rsidRPr="00DC2E74">
              <w:rPr>
                <w:b/>
                <w:bCs/>
                <w:i/>
                <w:color w:val="0070C0"/>
              </w:rPr>
              <w:t>Globálny cieľ RIÚS</w:t>
            </w:r>
          </w:p>
          <w:p w14:paraId="1FF564F8" w14:textId="77777777" w:rsidR="007F2DB4" w:rsidRPr="00DC2E74" w:rsidRDefault="006D092C">
            <w:pPr>
              <w:jc w:val="both"/>
              <w:rPr>
                <w:b/>
                <w:bCs/>
                <w:i/>
                <w:color w:val="7F7F7F" w:themeColor="text1" w:themeTint="80"/>
              </w:rPr>
            </w:pPr>
            <w:r w:rsidRPr="00DE749B">
              <w:t xml:space="preserve">Pomenovanie globálneho cieľa regionálnej integrovanej územnej stratégie, v nadväznosti na závery analýzy a v súlade s globálnym cieľom IROP.  </w:t>
            </w:r>
          </w:p>
        </w:tc>
      </w:tr>
      <w:tr w:rsidR="007F2DB4" w:rsidRPr="00DC2E74" w14:paraId="68A4F9AF" w14:textId="77777777">
        <w:tc>
          <w:tcPr>
            <w:tcW w:w="9212" w:type="dxa"/>
          </w:tcPr>
          <w:p w14:paraId="4273755D" w14:textId="77777777" w:rsidR="007F2DB4" w:rsidRPr="00DC2E74" w:rsidRDefault="006D092C">
            <w:pPr>
              <w:jc w:val="both"/>
              <w:rPr>
                <w:b/>
                <w:bCs/>
                <w:i/>
                <w:color w:val="7F7F7F" w:themeColor="text1" w:themeTint="80"/>
              </w:rPr>
            </w:pPr>
            <w:r w:rsidRPr="00DC2E74">
              <w:rPr>
                <w:b/>
                <w:bCs/>
                <w:i/>
                <w:color w:val="7F7F7F" w:themeColor="text1" w:themeTint="80"/>
              </w:rPr>
              <w:t>Strategická priorita 1</w:t>
            </w:r>
            <w:r w:rsidR="006C5AEE" w:rsidRPr="00DC2E74">
              <w:rPr>
                <w:rStyle w:val="Odkaznapoznmkupodiarou"/>
                <w:b/>
                <w:bCs/>
                <w:i/>
                <w:color w:val="7F7F7F" w:themeColor="text1" w:themeTint="80"/>
              </w:rPr>
              <w:footnoteReference w:id="4"/>
            </w:r>
            <w:r w:rsidRPr="00DC2E74">
              <w:rPr>
                <w:b/>
                <w:bCs/>
                <w:i/>
                <w:color w:val="7F7F7F" w:themeColor="text1" w:themeTint="80"/>
              </w:rPr>
              <w:t xml:space="preserve"> </w:t>
            </w:r>
          </w:p>
          <w:p w14:paraId="626A59C2" w14:textId="77777777" w:rsidR="007F2DB4" w:rsidRPr="00DC2E74" w:rsidRDefault="006D092C" w:rsidP="007D2C22">
            <w:pPr>
              <w:jc w:val="both"/>
              <w:rPr>
                <w:bCs/>
                <w:i/>
              </w:rPr>
            </w:pPr>
            <w:r w:rsidRPr="00DE749B">
              <w:rPr>
                <w:i/>
              </w:rPr>
              <w:t>Napríklad: Zlepšenie prístupu k verejným službám</w:t>
            </w:r>
          </w:p>
          <w:p w14:paraId="250253AD" w14:textId="77777777" w:rsidR="00381950" w:rsidRPr="00DC2E74" w:rsidRDefault="00381950" w:rsidP="007D2C22">
            <w:pPr>
              <w:jc w:val="both"/>
              <w:rPr>
                <w:bCs/>
              </w:rPr>
            </w:pPr>
          </w:p>
          <w:p w14:paraId="6550D269" w14:textId="77777777" w:rsidR="00381950" w:rsidRPr="00DE749B" w:rsidRDefault="00381950" w:rsidP="002A64EF">
            <w:pPr>
              <w:spacing w:after="200" w:line="276" w:lineRule="auto"/>
              <w:jc w:val="both"/>
              <w:rPr>
                <w:color w:val="0070C0"/>
              </w:rPr>
            </w:pPr>
            <w:r w:rsidRPr="00DC2E74">
              <w:rPr>
                <w:bCs/>
              </w:rPr>
              <w:t>Strategická priorita rámcovo pomenováva hlavné rozvojové potreby a výzvy územia, ktoré vyplynuli z</w:t>
            </w:r>
            <w:r w:rsidR="002A64EF" w:rsidRPr="00DC2E74">
              <w:rPr>
                <w:bCs/>
              </w:rPr>
              <w:t> </w:t>
            </w:r>
            <w:r w:rsidRPr="00DC2E74">
              <w:rPr>
                <w:bCs/>
              </w:rPr>
              <w:t>analýzy</w:t>
            </w:r>
            <w:r w:rsidR="002A64EF" w:rsidRPr="00DC2E74">
              <w:rPr>
                <w:bCs/>
              </w:rPr>
              <w:t>,</w:t>
            </w:r>
            <w:r w:rsidRPr="00DC2E74">
              <w:rPr>
                <w:bCs/>
              </w:rPr>
              <w:t xml:space="preserve"> a ktoré sú v intenciách prioritných osí IROP.</w:t>
            </w:r>
          </w:p>
        </w:tc>
      </w:tr>
      <w:tr w:rsidR="007F2DB4" w:rsidRPr="00DC2E74" w14:paraId="0CC81D35" w14:textId="77777777">
        <w:tc>
          <w:tcPr>
            <w:tcW w:w="9212" w:type="dxa"/>
          </w:tcPr>
          <w:p w14:paraId="1C0B8BDD" w14:textId="77777777" w:rsidR="007F2DB4" w:rsidRPr="00DC2E74" w:rsidRDefault="006D092C">
            <w:pPr>
              <w:jc w:val="both"/>
              <w:rPr>
                <w:b/>
                <w:bCs/>
                <w:i/>
                <w:color w:val="548DD4" w:themeColor="text2" w:themeTint="99"/>
              </w:rPr>
            </w:pPr>
            <w:r w:rsidRPr="00DC2E74">
              <w:rPr>
                <w:b/>
                <w:bCs/>
                <w:i/>
                <w:color w:val="548DD4" w:themeColor="text2" w:themeTint="99"/>
              </w:rPr>
              <w:t>Investičná priorita 1.1</w:t>
            </w:r>
          </w:p>
          <w:p w14:paraId="0201563C" w14:textId="77777777" w:rsidR="007F2DB4" w:rsidRPr="00DE749B" w:rsidRDefault="006D092C">
            <w:p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 xml:space="preserve">Napríklad: Podpora zdravotníckej a sociálnej infraštruktúry </w:t>
            </w:r>
          </w:p>
          <w:p w14:paraId="0855F113" w14:textId="77777777" w:rsidR="007F2DB4" w:rsidRPr="00DE749B" w:rsidRDefault="007F2DB4">
            <w:pPr>
              <w:spacing w:after="200" w:line="276" w:lineRule="auto"/>
              <w:jc w:val="both"/>
            </w:pPr>
          </w:p>
          <w:p w14:paraId="640E1F00" w14:textId="4BEC24F3" w:rsidR="007F2DB4" w:rsidRPr="00DC2E74" w:rsidRDefault="006D092C" w:rsidP="002A64EF">
            <w:pPr>
              <w:jc w:val="both"/>
              <w:rPr>
                <w:sz w:val="21"/>
                <w:szCs w:val="21"/>
              </w:rPr>
            </w:pPr>
            <w:r w:rsidRPr="00DE749B">
              <w:t xml:space="preserve">Stručný popis investičnej priority, </w:t>
            </w:r>
            <w:r w:rsidR="00D565D4" w:rsidRPr="00DC2E74">
              <w:t xml:space="preserve">ktorá definovanú strategickú prioritu delí na </w:t>
            </w:r>
            <w:r w:rsidR="00085B13" w:rsidRPr="00DC2E74">
              <w:t>tematicky</w:t>
            </w:r>
            <w:r w:rsidR="00D565D4" w:rsidRPr="00DC2E74">
              <w:t xml:space="preserve"> príbuzné celky</w:t>
            </w:r>
            <w:r w:rsidRPr="00DC2E74">
              <w:t xml:space="preserve">, </w:t>
            </w:r>
            <w:r w:rsidR="00D565D4" w:rsidRPr="00DC2E74">
              <w:t xml:space="preserve">popis </w:t>
            </w:r>
            <w:r w:rsidRPr="00DC2E74">
              <w:t>doplnkovos</w:t>
            </w:r>
            <w:r w:rsidR="00D565D4" w:rsidRPr="00DC2E74">
              <w:t>ti</w:t>
            </w:r>
            <w:r w:rsidRPr="00DC2E74">
              <w:t>/synergi</w:t>
            </w:r>
            <w:r w:rsidR="00D565D4" w:rsidRPr="00DC2E74">
              <w:t>e</w:t>
            </w:r>
            <w:r w:rsidRPr="00DE749B">
              <w:t xml:space="preserve"> s ďalšími investičnými prioritami v rámci tejto strategickej priority, príp. inými programami.</w:t>
            </w:r>
            <w:r w:rsidRPr="00DE749B">
              <w:rPr>
                <w:sz w:val="20"/>
              </w:rPr>
              <w:t xml:space="preserve">  </w:t>
            </w:r>
          </w:p>
        </w:tc>
      </w:tr>
      <w:tr w:rsidR="007F2DB4" w:rsidRPr="00DC2E74" w14:paraId="6A7B6C94" w14:textId="77777777">
        <w:tc>
          <w:tcPr>
            <w:tcW w:w="9212" w:type="dxa"/>
          </w:tcPr>
          <w:p w14:paraId="7415391E" w14:textId="77777777" w:rsidR="007F2DB4" w:rsidRPr="00DC2E74" w:rsidRDefault="006D092C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  <w:r w:rsidRPr="00DC2E74">
              <w:rPr>
                <w:b/>
                <w:bCs/>
                <w:i/>
                <w:color w:val="31849B" w:themeColor="accent5" w:themeShade="BF"/>
              </w:rPr>
              <w:t>Špecifický cieľ 1.1.1</w:t>
            </w:r>
          </w:p>
          <w:p w14:paraId="6D3D1CF2" w14:textId="77777777" w:rsidR="007F2DB4" w:rsidRPr="00DE749B" w:rsidRDefault="006D092C">
            <w:p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 xml:space="preserve">Napríklad: Modernizovať zdravotnícku infraštruktúru za účelom zlepšenia dostupnosti ku kvalitným  službám v integrovanej primárnej zdravotnej starostlivosti  </w:t>
            </w:r>
          </w:p>
          <w:p w14:paraId="5C8C633A" w14:textId="77777777" w:rsidR="007F2DB4" w:rsidRPr="00DE749B" w:rsidRDefault="007F2DB4">
            <w:pPr>
              <w:spacing w:after="200" w:line="276" w:lineRule="auto"/>
              <w:jc w:val="both"/>
              <w:rPr>
                <w:i/>
              </w:rPr>
            </w:pPr>
          </w:p>
          <w:p w14:paraId="10C796E4" w14:textId="41660C8E" w:rsidR="007F2DB4" w:rsidRPr="00DE749B" w:rsidRDefault="006D092C">
            <w:pPr>
              <w:spacing w:after="200" w:line="276" w:lineRule="auto"/>
              <w:jc w:val="both"/>
            </w:pPr>
            <w:r w:rsidRPr="00DE749B">
              <w:t xml:space="preserve">Popis stavu, ktorý sa očakáva dosiahnuť, t.j. požadované podstatné zmeny  v rámci vyššie určených investičných priorít a v nadväznosti na ne </w:t>
            </w:r>
            <w:r w:rsidRPr="00DC2E74">
              <w:t>kvantifik</w:t>
            </w:r>
            <w:r w:rsidR="0004158E" w:rsidRPr="00DC2E74">
              <w:t>ovať</w:t>
            </w:r>
            <w:r w:rsidRPr="00DE749B">
              <w:t xml:space="preserve"> plánovaný stav prostredníctvom súboru merateľných ukazovateľov výsledku.</w:t>
            </w:r>
          </w:p>
          <w:p w14:paraId="53F4751B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p w14:paraId="643D6333" w14:textId="77777777" w:rsidR="007F2DB4" w:rsidRPr="00DE749B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DE749B">
              <w:rPr>
                <w:b/>
                <w:i/>
              </w:rPr>
              <w:t xml:space="preserve">Merateľné ukazovatele výsledku: </w:t>
            </w:r>
          </w:p>
          <w:p w14:paraId="221385ED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34"/>
              <w:gridCol w:w="1053"/>
            </w:tblGrid>
            <w:tr w:rsidR="007F2DB4" w:rsidRPr="00DC2E74" w14:paraId="7F2F45EF" w14:textId="77777777">
              <w:tc>
                <w:tcPr>
                  <w:tcW w:w="1980" w:type="dxa"/>
                </w:tcPr>
                <w:p w14:paraId="6205AC3D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</w:tcPr>
                <w:p w14:paraId="0EAD8385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1276" w:type="dxa"/>
                </w:tcPr>
                <w:p w14:paraId="319B3340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Východisková hodnota</w:t>
                  </w:r>
                </w:p>
              </w:tc>
              <w:tc>
                <w:tcPr>
                  <w:tcW w:w="1134" w:type="dxa"/>
                </w:tcPr>
                <w:p w14:paraId="2A09DEFD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Východiskový rok</w:t>
                  </w:r>
                </w:p>
              </w:tc>
              <w:tc>
                <w:tcPr>
                  <w:tcW w:w="1275" w:type="dxa"/>
                </w:tcPr>
                <w:p w14:paraId="57BC675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34" w:type="dxa"/>
                </w:tcPr>
                <w:p w14:paraId="71D5C08F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</w:tcPr>
                <w:p w14:paraId="30491820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50EC9A44" w14:textId="77777777">
              <w:tc>
                <w:tcPr>
                  <w:tcW w:w="1980" w:type="dxa"/>
                </w:tcPr>
                <w:p w14:paraId="539AD882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670E8A3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499A741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5B25422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55528F4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B4FFC4C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268ED776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7F2DB4" w:rsidRPr="00DC2E74" w14:paraId="3E00D940" w14:textId="77777777">
              <w:tc>
                <w:tcPr>
                  <w:tcW w:w="1980" w:type="dxa"/>
                </w:tcPr>
                <w:p w14:paraId="1FE6F8B9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AE098C3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15515C97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D59C81F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285F411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9515564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7045BA16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14:paraId="419B3E72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p w14:paraId="7BB77F37" w14:textId="77777777" w:rsidR="007F2DB4" w:rsidRPr="00DC2E74" w:rsidRDefault="006D092C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  <w:r w:rsidRPr="00DC2E74">
              <w:rPr>
                <w:b/>
                <w:bCs/>
                <w:i/>
                <w:color w:val="984806" w:themeColor="accent6" w:themeShade="80"/>
              </w:rPr>
              <w:t>Aktivity a opatrenia špecifického cieľa 1.1.1</w:t>
            </w:r>
          </w:p>
          <w:p w14:paraId="49985F16" w14:textId="298425D0" w:rsidR="001F2008" w:rsidRPr="00DE749B" w:rsidRDefault="006D092C">
            <w:pPr>
              <w:spacing w:after="200" w:line="276" w:lineRule="auto"/>
              <w:jc w:val="both"/>
            </w:pPr>
            <w:r w:rsidRPr="00DE749B">
              <w:t xml:space="preserve">Taxatívne vymenovanie konkrétnych opatrení a aktivít a ich očakávaný </w:t>
            </w:r>
            <w:r w:rsidR="00DC2E74" w:rsidRPr="00DE749B">
              <w:t xml:space="preserve">príspevok </w:t>
            </w:r>
            <w:r w:rsidRPr="00DE749B">
              <w:t>k príslušným špecifickým cieľom</w:t>
            </w:r>
            <w:r w:rsidR="001F2008" w:rsidRPr="00DC2E74">
              <w:t>.</w:t>
            </w:r>
          </w:p>
          <w:p w14:paraId="75849D70" w14:textId="77777777" w:rsidR="007F2DB4" w:rsidRPr="00DC2E74" w:rsidRDefault="001F2008">
            <w:pPr>
              <w:jc w:val="both"/>
            </w:pPr>
            <w:r w:rsidRPr="00DC2E74">
              <w:t>N</w:t>
            </w:r>
            <w:r w:rsidR="006D092C" w:rsidRPr="00DC2E74">
              <w:t>apríklad:</w:t>
            </w:r>
          </w:p>
          <w:p w14:paraId="7B98D8B4" w14:textId="77777777" w:rsidR="007F2DB4" w:rsidRPr="00DE749B" w:rsidRDefault="006D092C">
            <w:pPr>
              <w:pStyle w:val="Odsekzoznamu"/>
              <w:numPr>
                <w:ilvl w:val="0"/>
                <w:numId w:val="9"/>
              </w:numPr>
              <w:tabs>
                <w:tab w:val="clear" w:pos="360"/>
                <w:tab w:val="num" w:pos="284"/>
                <w:tab w:val="left" w:pos="1425"/>
              </w:tabs>
              <w:spacing w:after="200" w:line="276" w:lineRule="auto"/>
              <w:ind w:left="720" w:hanging="720"/>
              <w:jc w:val="both"/>
              <w:rPr>
                <w:i/>
              </w:rPr>
            </w:pPr>
            <w:r w:rsidRPr="00DE749B">
              <w:rPr>
                <w:i/>
              </w:rPr>
              <w:t>výstavba, modernizácia a rekonštrukcia budo</w:t>
            </w:r>
            <w:r w:rsidR="00A964AD" w:rsidRPr="00DE749B">
              <w:rPr>
                <w:i/>
              </w:rPr>
              <w:t>v</w:t>
            </w:r>
            <w:r w:rsidR="00A964AD" w:rsidRPr="00DC2E74">
              <w:rPr>
                <w:i/>
              </w:rPr>
              <w:t>;</w:t>
            </w:r>
          </w:p>
          <w:p w14:paraId="31BE7DE2" w14:textId="4DAB5AE7" w:rsidR="007F2DB4" w:rsidRPr="00DE749B" w:rsidRDefault="006D092C">
            <w:pPr>
              <w:pStyle w:val="Odsekzoznamu"/>
              <w:numPr>
                <w:ilvl w:val="0"/>
                <w:numId w:val="9"/>
              </w:numPr>
              <w:tabs>
                <w:tab w:val="clear" w:pos="360"/>
                <w:tab w:val="num" w:pos="284"/>
                <w:tab w:val="left" w:pos="1425"/>
              </w:tabs>
              <w:spacing w:after="200" w:line="276" w:lineRule="auto"/>
              <w:ind w:left="284" w:hanging="284"/>
              <w:jc w:val="both"/>
              <w:rPr>
                <w:i/>
              </w:rPr>
            </w:pPr>
            <w:r w:rsidRPr="00DE749B">
              <w:rPr>
                <w:i/>
              </w:rPr>
              <w:t>prístavba, nadstavba, stavebné úpravy a rekonštrukcia vnútorných a vonkajších priestorov existujúcich stavebných objektov</w:t>
            </w:r>
            <w:r w:rsidR="00A964AD" w:rsidRPr="00DC2E74">
              <w:rPr>
                <w:i/>
              </w:rPr>
              <w:t>;</w:t>
            </w:r>
          </w:p>
          <w:p w14:paraId="73F010C1" w14:textId="41CB2E8D" w:rsidR="007F2DB4" w:rsidRPr="00DE749B" w:rsidRDefault="006D092C">
            <w:pPr>
              <w:pStyle w:val="Odsekzoznamu"/>
              <w:numPr>
                <w:ilvl w:val="0"/>
                <w:numId w:val="9"/>
              </w:numPr>
              <w:tabs>
                <w:tab w:val="clear" w:pos="360"/>
                <w:tab w:val="num" w:pos="284"/>
                <w:tab w:val="left" w:pos="1425"/>
              </w:tabs>
              <w:spacing w:after="200" w:line="276" w:lineRule="auto"/>
              <w:ind w:left="720" w:hanging="720"/>
              <w:jc w:val="both"/>
              <w:rPr>
                <w:i/>
              </w:rPr>
            </w:pPr>
            <w:r w:rsidRPr="00DE749B">
              <w:rPr>
                <w:i/>
              </w:rPr>
              <w:t>zabezpečenie materiálno- technického vybavenia</w:t>
            </w:r>
            <w:r w:rsidR="00A964AD" w:rsidRPr="00DC2E74">
              <w:rPr>
                <w:i/>
              </w:rPr>
              <w:t>;</w:t>
            </w:r>
          </w:p>
          <w:p w14:paraId="5BBFAB28" w14:textId="2AC5C0E0" w:rsidR="001F2008" w:rsidRPr="00DE749B" w:rsidRDefault="006D092C">
            <w:pPr>
              <w:pStyle w:val="Odsekzoznamu"/>
              <w:numPr>
                <w:ilvl w:val="0"/>
                <w:numId w:val="9"/>
              </w:numPr>
              <w:tabs>
                <w:tab w:val="clear" w:pos="360"/>
                <w:tab w:val="num" w:pos="284"/>
                <w:tab w:val="left" w:pos="1425"/>
              </w:tabs>
              <w:spacing w:after="200" w:line="276" w:lineRule="auto"/>
              <w:ind w:left="720" w:hanging="720"/>
              <w:jc w:val="both"/>
              <w:rPr>
                <w:i/>
              </w:rPr>
            </w:pPr>
            <w:r w:rsidRPr="00DE749B">
              <w:rPr>
                <w:i/>
              </w:rPr>
              <w:t>dodávka zdravotníckej techniky, zariadenia a</w:t>
            </w:r>
            <w:r w:rsidR="00A964AD" w:rsidRPr="00DE749B">
              <w:rPr>
                <w:i/>
              </w:rPr>
              <w:t> </w:t>
            </w:r>
            <w:r w:rsidRPr="00DE749B">
              <w:rPr>
                <w:i/>
              </w:rPr>
              <w:t>vybavenia</w:t>
            </w:r>
            <w:r w:rsidR="00A964AD" w:rsidRPr="00DC2E74">
              <w:rPr>
                <w:i/>
              </w:rPr>
              <w:t>;</w:t>
            </w:r>
          </w:p>
          <w:p w14:paraId="6315FEDC" w14:textId="7F850931" w:rsidR="00A964AD" w:rsidRPr="00DC2E74" w:rsidRDefault="001F2008">
            <w:pPr>
              <w:pStyle w:val="Odsekzoznamu"/>
              <w:numPr>
                <w:ilvl w:val="0"/>
                <w:numId w:val="9"/>
              </w:numPr>
              <w:tabs>
                <w:tab w:val="clear" w:pos="360"/>
                <w:tab w:val="num" w:pos="284"/>
                <w:tab w:val="left" w:pos="1425"/>
              </w:tabs>
              <w:ind w:left="720" w:hanging="720"/>
              <w:jc w:val="both"/>
              <w:rPr>
                <w:i/>
              </w:rPr>
            </w:pPr>
            <w:r w:rsidRPr="00DC2E74">
              <w:rPr>
                <w:i/>
              </w:rPr>
              <w:t>budovanie bezbariérových prístupov</w:t>
            </w:r>
            <w:r w:rsidR="00A964AD" w:rsidRPr="00DC2E74">
              <w:rPr>
                <w:i/>
              </w:rPr>
              <w:t>;</w:t>
            </w:r>
          </w:p>
          <w:p w14:paraId="5DDF3C40" w14:textId="77777777" w:rsidR="007F2DB4" w:rsidRPr="00DC2E74" w:rsidRDefault="00A964AD">
            <w:pPr>
              <w:pStyle w:val="Odsekzoznamu"/>
              <w:numPr>
                <w:ilvl w:val="0"/>
                <w:numId w:val="9"/>
              </w:numPr>
              <w:tabs>
                <w:tab w:val="clear" w:pos="360"/>
                <w:tab w:val="num" w:pos="284"/>
                <w:tab w:val="left" w:pos="1425"/>
              </w:tabs>
              <w:ind w:left="720" w:hanging="720"/>
              <w:jc w:val="both"/>
              <w:rPr>
                <w:i/>
              </w:rPr>
            </w:pPr>
            <w:r w:rsidRPr="00DC2E74">
              <w:rPr>
                <w:i/>
              </w:rPr>
              <w:t>a</w:t>
            </w:r>
            <w:r w:rsidR="00085B13" w:rsidRPr="00DC2E74">
              <w:rPr>
                <w:i/>
              </w:rPr>
              <w:t>tď</w:t>
            </w:r>
            <w:r w:rsidRPr="00DC2E74">
              <w:rPr>
                <w:i/>
              </w:rPr>
              <w:t>.</w:t>
            </w:r>
          </w:p>
          <w:p w14:paraId="58174687" w14:textId="77777777" w:rsidR="007F2DB4" w:rsidRPr="00DC2E74" w:rsidRDefault="007F2DB4">
            <w:pPr>
              <w:tabs>
                <w:tab w:val="left" w:pos="1425"/>
              </w:tabs>
              <w:jc w:val="both"/>
              <w:rPr>
                <w:i/>
                <w:sz w:val="21"/>
                <w:szCs w:val="21"/>
              </w:rPr>
            </w:pPr>
          </w:p>
          <w:p w14:paraId="0FF99CBC" w14:textId="77777777" w:rsidR="007F2DB4" w:rsidRPr="00DE749B" w:rsidRDefault="00ED4C80">
            <w:pPr>
              <w:spacing w:after="200" w:line="276" w:lineRule="auto"/>
              <w:jc w:val="both"/>
            </w:pPr>
            <w:r w:rsidRPr="00DC2E74">
              <w:t>U</w:t>
            </w:r>
            <w:r w:rsidR="006D092C" w:rsidRPr="00DC2E74">
              <w:t>vedenie</w:t>
            </w:r>
            <w:r w:rsidR="006D092C" w:rsidRPr="00DE749B">
              <w:t xml:space="preserve"> nasledovných kategórií: </w:t>
            </w:r>
          </w:p>
          <w:p w14:paraId="75FE9D27" w14:textId="77777777" w:rsidR="007F2DB4" w:rsidRPr="00D77575" w:rsidRDefault="006D092C">
            <w:pPr>
              <w:spacing w:after="200" w:line="276" w:lineRule="auto"/>
              <w:jc w:val="both"/>
              <w:rPr>
                <w:i/>
              </w:rPr>
            </w:pPr>
            <w:r w:rsidRPr="00D77575">
              <w:rPr>
                <w:i/>
              </w:rPr>
              <w:t>Oprávnení prijímatelia</w:t>
            </w:r>
          </w:p>
          <w:p w14:paraId="43DFDE99" w14:textId="77777777" w:rsidR="007F2DB4" w:rsidRPr="00D77575" w:rsidRDefault="006D092C">
            <w:pPr>
              <w:spacing w:after="200" w:line="276" w:lineRule="auto"/>
              <w:jc w:val="both"/>
              <w:rPr>
                <w:i/>
              </w:rPr>
            </w:pPr>
            <w:r w:rsidRPr="00D77575">
              <w:rPr>
                <w:i/>
              </w:rPr>
              <w:t>Cieľové skupiny</w:t>
            </w:r>
          </w:p>
          <w:p w14:paraId="7E6B701D" w14:textId="77777777" w:rsidR="007F2DB4" w:rsidRPr="00D77575" w:rsidRDefault="006D092C">
            <w:pPr>
              <w:spacing w:after="200" w:line="276" w:lineRule="auto"/>
              <w:jc w:val="both"/>
              <w:rPr>
                <w:i/>
              </w:rPr>
            </w:pPr>
            <w:r w:rsidRPr="00D77575">
              <w:rPr>
                <w:i/>
              </w:rPr>
              <w:t>Zvolené územné investičné jednotky</w:t>
            </w:r>
          </w:p>
          <w:p w14:paraId="7AB9153F" w14:textId="77777777" w:rsidR="007F2DB4" w:rsidRPr="00DC2E74" w:rsidRDefault="007F2DB4">
            <w:pPr>
              <w:jc w:val="both"/>
              <w:rPr>
                <w:i/>
                <w:sz w:val="21"/>
                <w:szCs w:val="21"/>
              </w:rPr>
            </w:pPr>
          </w:p>
          <w:p w14:paraId="297116E3" w14:textId="77777777" w:rsidR="007F2DB4" w:rsidRPr="00DE749B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DE749B">
              <w:rPr>
                <w:b/>
                <w:i/>
              </w:rPr>
              <w:t xml:space="preserve">Merateľné ukazovatele výstupu: </w:t>
            </w:r>
          </w:p>
          <w:p w14:paraId="7287C5D3" w14:textId="77777777" w:rsidR="007F2DB4" w:rsidRPr="00DC2E74" w:rsidRDefault="006D092C">
            <w:pPr>
              <w:jc w:val="both"/>
              <w:rPr>
                <w:sz w:val="21"/>
                <w:szCs w:val="21"/>
              </w:rPr>
            </w:pPr>
            <w:r w:rsidRPr="00DC2E74">
              <w:rPr>
                <w:sz w:val="21"/>
                <w:szCs w:val="21"/>
              </w:rPr>
              <w:t xml:space="preserve">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29"/>
              <w:gridCol w:w="1053"/>
            </w:tblGrid>
            <w:tr w:rsidR="007F2DB4" w:rsidRPr="00DC2E74" w14:paraId="2B8D6C44" w14:textId="77777777">
              <w:tc>
                <w:tcPr>
                  <w:tcW w:w="1980" w:type="dxa"/>
                  <w:vMerge w:val="restart"/>
                </w:tcPr>
                <w:p w14:paraId="5DBD14CE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9D40511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3685" w:type="dxa"/>
                  <w:gridSpan w:val="3"/>
                </w:tcPr>
                <w:p w14:paraId="15D33C0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29" w:type="dxa"/>
                  <w:vMerge w:val="restart"/>
                </w:tcPr>
                <w:p w14:paraId="63B2FD75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  <w:vMerge w:val="restart"/>
                </w:tcPr>
                <w:p w14:paraId="64B269B0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0FD21E18" w14:textId="77777777">
              <w:tc>
                <w:tcPr>
                  <w:tcW w:w="1980" w:type="dxa"/>
                  <w:vMerge/>
                </w:tcPr>
                <w:p w14:paraId="6B7F32AF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9C85671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5A8F20F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14:paraId="1D5B0E74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Ž</w:t>
                  </w:r>
                </w:p>
              </w:tc>
              <w:tc>
                <w:tcPr>
                  <w:tcW w:w="1275" w:type="dxa"/>
                </w:tcPr>
                <w:p w14:paraId="49464C49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1129" w:type="dxa"/>
                  <w:vMerge/>
                </w:tcPr>
                <w:p w14:paraId="28E965B0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Merge/>
                </w:tcPr>
                <w:p w14:paraId="1CEECA43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F2DB4" w:rsidRPr="00DC2E74" w14:paraId="489FFA7C" w14:textId="77777777">
              <w:tc>
                <w:tcPr>
                  <w:tcW w:w="1980" w:type="dxa"/>
                </w:tcPr>
                <w:p w14:paraId="0AD94993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CE8517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78AEE06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7DA05D6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021EE2A6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75E9B02D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21189F32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7F2DB4" w:rsidRPr="00DC2E74" w14:paraId="666003CB" w14:textId="77777777">
              <w:tc>
                <w:tcPr>
                  <w:tcW w:w="1980" w:type="dxa"/>
                </w:tcPr>
                <w:p w14:paraId="3C593F2A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6D8F91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CD9929F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1DAA360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0BBA438A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9" w:type="dxa"/>
                </w:tcPr>
                <w:p w14:paraId="03BDB850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20548ADD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C7E75D7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</w:tc>
      </w:tr>
      <w:tr w:rsidR="007F2DB4" w:rsidRPr="00DC2E74" w14:paraId="14D6A6F8" w14:textId="77777777">
        <w:tc>
          <w:tcPr>
            <w:tcW w:w="9212" w:type="dxa"/>
          </w:tcPr>
          <w:p w14:paraId="1C0161CE" w14:textId="77777777" w:rsidR="007D2C22" w:rsidRPr="00DC2E74" w:rsidRDefault="007D2C22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</w:p>
          <w:p w14:paraId="7C11CEDC" w14:textId="77777777" w:rsidR="007F2DB4" w:rsidRPr="00DC2E74" w:rsidRDefault="006D092C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  <w:r w:rsidRPr="00DC2E74">
              <w:rPr>
                <w:b/>
                <w:bCs/>
                <w:i/>
                <w:color w:val="31849B" w:themeColor="accent5" w:themeShade="BF"/>
              </w:rPr>
              <w:t>Špecifický cieľ 1.1.2</w:t>
            </w:r>
          </w:p>
          <w:p w14:paraId="5239C282" w14:textId="77777777" w:rsidR="007F2DB4" w:rsidRPr="00DE749B" w:rsidRDefault="006D092C">
            <w:p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 xml:space="preserve">Napríklad: Podpora zariadení poskytovania sociálnych služieb  </w:t>
            </w:r>
          </w:p>
          <w:p w14:paraId="0CE7E759" w14:textId="77777777" w:rsidR="007F2DB4" w:rsidRPr="00DE749B" w:rsidRDefault="007F2DB4">
            <w:pPr>
              <w:spacing w:after="200" w:line="276" w:lineRule="auto"/>
              <w:jc w:val="both"/>
            </w:pPr>
          </w:p>
          <w:p w14:paraId="37A2E6F2" w14:textId="6F19C8EA" w:rsidR="007F2DB4" w:rsidRPr="00DE749B" w:rsidRDefault="006D092C">
            <w:pPr>
              <w:spacing w:after="200" w:line="276" w:lineRule="auto"/>
              <w:jc w:val="both"/>
            </w:pPr>
            <w:r w:rsidRPr="00DE749B">
              <w:t xml:space="preserve">Popis stavu, ktorý sa očakáva dosiahnuť, t.j. požadované podstatné zmeny  v rámci vyššie určených investičných priorít a v nadväznosti na ne </w:t>
            </w:r>
            <w:r w:rsidRPr="00DC2E74">
              <w:t>kvantifik</w:t>
            </w:r>
            <w:r w:rsidR="005A205C" w:rsidRPr="00DC2E74">
              <w:t>ovať</w:t>
            </w:r>
            <w:r w:rsidRPr="00DE749B">
              <w:t xml:space="preserve"> plánovaný stav prostredníctvom súboru merateľných ukazovateľov výsledku.</w:t>
            </w:r>
          </w:p>
          <w:p w14:paraId="7F82B2CB" w14:textId="77777777" w:rsidR="007F2DB4" w:rsidRPr="00D77575" w:rsidRDefault="007F2DB4">
            <w:pPr>
              <w:spacing w:after="200" w:line="276" w:lineRule="auto"/>
              <w:jc w:val="both"/>
            </w:pPr>
          </w:p>
          <w:p w14:paraId="541210A1" w14:textId="77777777" w:rsidR="007F2DB4" w:rsidRPr="00D77575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D77575">
              <w:rPr>
                <w:b/>
                <w:i/>
              </w:rPr>
              <w:t xml:space="preserve">Merateľné ukazovatele výsledku: </w:t>
            </w:r>
          </w:p>
          <w:p w14:paraId="5414C621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34"/>
              <w:gridCol w:w="1053"/>
            </w:tblGrid>
            <w:tr w:rsidR="007F2DB4" w:rsidRPr="00DC2E74" w14:paraId="08B97E73" w14:textId="77777777">
              <w:tc>
                <w:tcPr>
                  <w:tcW w:w="1980" w:type="dxa"/>
                </w:tcPr>
                <w:p w14:paraId="3C01D16E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</w:tcPr>
                <w:p w14:paraId="2CCC42F4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1276" w:type="dxa"/>
                </w:tcPr>
                <w:p w14:paraId="333143E3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Východisková hodnota</w:t>
                  </w:r>
                </w:p>
              </w:tc>
              <w:tc>
                <w:tcPr>
                  <w:tcW w:w="1134" w:type="dxa"/>
                </w:tcPr>
                <w:p w14:paraId="04062C9E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Východiskový rok</w:t>
                  </w:r>
                </w:p>
              </w:tc>
              <w:tc>
                <w:tcPr>
                  <w:tcW w:w="1275" w:type="dxa"/>
                </w:tcPr>
                <w:p w14:paraId="7BEA5202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34" w:type="dxa"/>
                </w:tcPr>
                <w:p w14:paraId="675901CC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</w:tcPr>
                <w:p w14:paraId="5CA6DEAD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73D3C716" w14:textId="77777777">
              <w:tc>
                <w:tcPr>
                  <w:tcW w:w="1980" w:type="dxa"/>
                </w:tcPr>
                <w:p w14:paraId="4F34AEF5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328DB26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16C1B18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B583CD6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3322C4C5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7E38A1D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4F365E7D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7F2DB4" w:rsidRPr="00DC2E74" w14:paraId="4EC75BBB" w14:textId="77777777">
              <w:tc>
                <w:tcPr>
                  <w:tcW w:w="1980" w:type="dxa"/>
                </w:tcPr>
                <w:p w14:paraId="1E89837E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C862CD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27363E3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FCBDA3F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4A809A79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2B2E9E6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64C40381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14:paraId="5116F60A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p w14:paraId="78E9C70E" w14:textId="77777777" w:rsidR="007F2DB4" w:rsidRPr="00DC2E74" w:rsidRDefault="006D092C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  <w:r w:rsidRPr="00DC2E74">
              <w:rPr>
                <w:b/>
                <w:bCs/>
                <w:i/>
                <w:color w:val="984806" w:themeColor="accent6" w:themeShade="80"/>
              </w:rPr>
              <w:t>Aktivity a opatrenia špecifického cieľa 1.1.2</w:t>
            </w:r>
          </w:p>
          <w:p w14:paraId="3B8653BB" w14:textId="77777777" w:rsidR="007F2DB4" w:rsidRPr="00DE749B" w:rsidRDefault="006D092C">
            <w:pPr>
              <w:spacing w:after="200" w:line="276" w:lineRule="auto"/>
              <w:jc w:val="both"/>
            </w:pPr>
            <w:r w:rsidRPr="00DE749B">
              <w:lastRenderedPageBreak/>
              <w:t xml:space="preserve">Taxatívne vymenovanie konkrétnych opatrení a aktivít a ich očakávaný </w:t>
            </w:r>
            <w:r w:rsidR="00DC2E74" w:rsidRPr="00DE749B">
              <w:t xml:space="preserve">príspevok </w:t>
            </w:r>
            <w:r w:rsidRPr="00DE749B">
              <w:t>k príslušným špecifickým cieľom, napríklad:</w:t>
            </w:r>
          </w:p>
          <w:p w14:paraId="2B46F94A" w14:textId="002E5C94" w:rsidR="007F2DB4" w:rsidRPr="00DE749B" w:rsidRDefault="006D092C">
            <w:pPr>
              <w:pStyle w:val="Odsekzoznamu"/>
              <w:numPr>
                <w:ilvl w:val="0"/>
                <w:numId w:val="9"/>
              </w:num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>príprava projektovej dokumentácie</w:t>
            </w:r>
            <w:r w:rsidR="00A964AD" w:rsidRPr="00DC2E74">
              <w:rPr>
                <w:i/>
              </w:rPr>
              <w:t>;</w:t>
            </w:r>
          </w:p>
          <w:p w14:paraId="5CD642E1" w14:textId="0DA24EAB" w:rsidR="007F2DB4" w:rsidRPr="00DE749B" w:rsidRDefault="006D092C">
            <w:pPr>
              <w:pStyle w:val="Odsekzoznamu"/>
              <w:numPr>
                <w:ilvl w:val="0"/>
                <w:numId w:val="9"/>
              </w:num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>rekonštrukcia (vrátane rozširovania) a modernizácia vhodných stavebných objektov na účely poskytovania sociálnych služieb</w:t>
            </w:r>
            <w:r w:rsidR="00A964AD" w:rsidRPr="00DC2E74">
              <w:rPr>
                <w:i/>
              </w:rPr>
              <w:t>;</w:t>
            </w:r>
          </w:p>
          <w:p w14:paraId="22D09804" w14:textId="26B0B2BE" w:rsidR="00A964AD" w:rsidRPr="00DE749B" w:rsidRDefault="006D092C">
            <w:pPr>
              <w:pStyle w:val="Odsekzoznamu"/>
              <w:numPr>
                <w:ilvl w:val="0"/>
                <w:numId w:val="9"/>
              </w:num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>rekonštrukcia (vrátane rozširovania) a modernizácia stavebných objektov existujúcich zariadení, ktoré už poskytujú a zabezpečujú služby na komunitnej báze</w:t>
            </w:r>
            <w:r w:rsidR="00A964AD" w:rsidRPr="00DC2E74">
              <w:rPr>
                <w:i/>
              </w:rPr>
              <w:t>;</w:t>
            </w:r>
          </w:p>
          <w:p w14:paraId="3764A8F8" w14:textId="63C5E2D7" w:rsidR="007F2DB4" w:rsidRPr="00DC2E74" w:rsidRDefault="00085B13">
            <w:pPr>
              <w:pStyle w:val="Odsekzoznamu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DC2E74">
              <w:rPr>
                <w:i/>
              </w:rPr>
              <w:t>atď.</w:t>
            </w:r>
          </w:p>
          <w:p w14:paraId="2BB311EE" w14:textId="77777777" w:rsidR="007F2DB4" w:rsidRPr="00DC2E74" w:rsidRDefault="007F2DB4">
            <w:pPr>
              <w:jc w:val="both"/>
              <w:rPr>
                <w:i/>
              </w:rPr>
            </w:pPr>
          </w:p>
          <w:p w14:paraId="0FC39727" w14:textId="77777777" w:rsidR="007F2DB4" w:rsidRPr="00DE749B" w:rsidRDefault="00ED4C80">
            <w:pPr>
              <w:spacing w:after="200" w:line="276" w:lineRule="auto"/>
              <w:jc w:val="both"/>
            </w:pPr>
            <w:r w:rsidRPr="00DC2E74">
              <w:t>U</w:t>
            </w:r>
            <w:r w:rsidR="006D092C" w:rsidRPr="00DC2E74">
              <w:t>vedenie</w:t>
            </w:r>
            <w:r w:rsidR="006D092C" w:rsidRPr="00DE749B">
              <w:t xml:space="preserve"> nasledovných kategórií: </w:t>
            </w:r>
          </w:p>
          <w:p w14:paraId="5D8A75C7" w14:textId="77777777" w:rsidR="007F2DB4" w:rsidRPr="00DE749B" w:rsidRDefault="006D092C">
            <w:p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>Oprávnení prijímatelia</w:t>
            </w:r>
          </w:p>
          <w:p w14:paraId="23D53F7E" w14:textId="77777777" w:rsidR="007F2DB4" w:rsidRPr="00DE749B" w:rsidRDefault="006D092C">
            <w:p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>Cieľové skupiny</w:t>
            </w:r>
          </w:p>
          <w:p w14:paraId="46F18357" w14:textId="77777777" w:rsidR="007F2DB4" w:rsidRPr="00DE749B" w:rsidRDefault="006D092C">
            <w:pPr>
              <w:spacing w:after="200" w:line="276" w:lineRule="auto"/>
              <w:jc w:val="both"/>
              <w:rPr>
                <w:i/>
              </w:rPr>
            </w:pPr>
            <w:r w:rsidRPr="00DE749B">
              <w:rPr>
                <w:i/>
              </w:rPr>
              <w:t>Zvolené územné investičné jednotky</w:t>
            </w:r>
          </w:p>
          <w:p w14:paraId="3A486DC8" w14:textId="77777777" w:rsidR="007F2DB4" w:rsidRPr="00DE749B" w:rsidRDefault="007F2DB4">
            <w:pPr>
              <w:spacing w:after="200" w:line="276" w:lineRule="auto"/>
              <w:jc w:val="both"/>
              <w:rPr>
                <w:i/>
              </w:rPr>
            </w:pPr>
          </w:p>
          <w:p w14:paraId="07A86EF2" w14:textId="77777777" w:rsidR="007F2DB4" w:rsidRPr="00DE749B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DE749B">
              <w:rPr>
                <w:b/>
                <w:i/>
              </w:rPr>
              <w:t xml:space="preserve">Merateľné ukazovatele výstupu: </w:t>
            </w:r>
          </w:p>
          <w:p w14:paraId="63B4F2DC" w14:textId="77777777" w:rsidR="007F2DB4" w:rsidRPr="00DC2E74" w:rsidRDefault="006D092C">
            <w:pPr>
              <w:jc w:val="both"/>
              <w:rPr>
                <w:sz w:val="21"/>
                <w:szCs w:val="21"/>
              </w:rPr>
            </w:pPr>
            <w:r w:rsidRPr="00DC2E74">
              <w:rPr>
                <w:sz w:val="21"/>
                <w:szCs w:val="21"/>
              </w:rPr>
              <w:t xml:space="preserve">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29"/>
              <w:gridCol w:w="1053"/>
            </w:tblGrid>
            <w:tr w:rsidR="007F2DB4" w:rsidRPr="00DC2E74" w14:paraId="073E425E" w14:textId="77777777">
              <w:tc>
                <w:tcPr>
                  <w:tcW w:w="1980" w:type="dxa"/>
                  <w:vMerge w:val="restart"/>
                </w:tcPr>
                <w:p w14:paraId="2FD5BD8F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5D5F669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3685" w:type="dxa"/>
                  <w:gridSpan w:val="3"/>
                </w:tcPr>
                <w:p w14:paraId="6C5ADD5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29" w:type="dxa"/>
                  <w:vMerge w:val="restart"/>
                </w:tcPr>
                <w:p w14:paraId="74EAC346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  <w:vMerge w:val="restart"/>
                </w:tcPr>
                <w:p w14:paraId="6D523EC0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342455E6" w14:textId="77777777">
              <w:tc>
                <w:tcPr>
                  <w:tcW w:w="1980" w:type="dxa"/>
                  <w:vMerge/>
                </w:tcPr>
                <w:p w14:paraId="7A84B1F0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4FAB4151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7F5A773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14:paraId="2625DD9E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Ž</w:t>
                  </w:r>
                </w:p>
              </w:tc>
              <w:tc>
                <w:tcPr>
                  <w:tcW w:w="1275" w:type="dxa"/>
                </w:tcPr>
                <w:p w14:paraId="15B3AD2D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1129" w:type="dxa"/>
                  <w:vMerge/>
                </w:tcPr>
                <w:p w14:paraId="2907425C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Merge/>
                </w:tcPr>
                <w:p w14:paraId="168980F1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F2DB4" w:rsidRPr="00DC2E74" w14:paraId="22118080" w14:textId="77777777">
              <w:tc>
                <w:tcPr>
                  <w:tcW w:w="1980" w:type="dxa"/>
                </w:tcPr>
                <w:p w14:paraId="710022CE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2D443944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D55A611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9D0B523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66C1ED2F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38B50C60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14A892B9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7F2DB4" w:rsidRPr="00DC2E74" w14:paraId="70D111E3" w14:textId="77777777">
              <w:tc>
                <w:tcPr>
                  <w:tcW w:w="1980" w:type="dxa"/>
                </w:tcPr>
                <w:p w14:paraId="147B784F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FC31EF4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5B874F94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104D1E8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60F595C2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9" w:type="dxa"/>
                </w:tcPr>
                <w:p w14:paraId="487F23A5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5087478F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FA8229C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p w14:paraId="104478F1" w14:textId="77777777" w:rsidR="00EF09D3" w:rsidRPr="00DC2E74" w:rsidRDefault="00EF09D3">
            <w:pPr>
              <w:jc w:val="both"/>
              <w:rPr>
                <w:sz w:val="21"/>
                <w:szCs w:val="21"/>
              </w:rPr>
            </w:pPr>
          </w:p>
          <w:p w14:paraId="2DE066DB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</w:tc>
      </w:tr>
      <w:tr w:rsidR="007F2DB4" w:rsidRPr="00DC2E74" w14:paraId="196AC033" w14:textId="77777777">
        <w:tc>
          <w:tcPr>
            <w:tcW w:w="9212" w:type="dxa"/>
          </w:tcPr>
          <w:p w14:paraId="09D02F8B" w14:textId="77777777" w:rsidR="007F2DB4" w:rsidRPr="00DC2E74" w:rsidRDefault="006D092C">
            <w:pPr>
              <w:jc w:val="both"/>
              <w:rPr>
                <w:b/>
                <w:bCs/>
                <w:i/>
                <w:color w:val="548DD4" w:themeColor="text2" w:themeTint="99"/>
              </w:rPr>
            </w:pPr>
            <w:r w:rsidRPr="00DC2E74">
              <w:rPr>
                <w:b/>
                <w:bCs/>
                <w:i/>
                <w:color w:val="548DD4" w:themeColor="text2" w:themeTint="99"/>
              </w:rPr>
              <w:lastRenderedPageBreak/>
              <w:t>Investičná priorita 1.2</w:t>
            </w:r>
          </w:p>
          <w:p w14:paraId="12BCAADC" w14:textId="36681454" w:rsidR="007F2DB4" w:rsidRPr="00DE749B" w:rsidRDefault="00954579" w:rsidP="00954579">
            <w:pPr>
              <w:spacing w:after="200" w:line="276" w:lineRule="auto"/>
              <w:jc w:val="both"/>
              <w:rPr>
                <w:i/>
              </w:rPr>
            </w:pPr>
            <w:r w:rsidRPr="00DC2E74">
              <w:rPr>
                <w:bCs/>
                <w:i/>
              </w:rPr>
              <w:t>N</w:t>
            </w:r>
            <w:r w:rsidR="006D092C" w:rsidRPr="00DC2E74">
              <w:rPr>
                <w:bCs/>
                <w:i/>
              </w:rPr>
              <w:t>apríklad</w:t>
            </w:r>
            <w:r w:rsidR="005A205C" w:rsidRPr="00DC2E74">
              <w:rPr>
                <w:bCs/>
                <w:i/>
              </w:rPr>
              <w:t>:</w:t>
            </w:r>
            <w:r w:rsidR="005A205C" w:rsidRPr="00DE749B">
              <w:rPr>
                <w:i/>
              </w:rPr>
              <w:t xml:space="preserve"> </w:t>
            </w:r>
            <w:r w:rsidR="006D092C" w:rsidRPr="00DE749B">
              <w:rPr>
                <w:i/>
              </w:rPr>
              <w:t>Podpora vzdelávacej infraštruktúry</w:t>
            </w:r>
          </w:p>
          <w:p w14:paraId="6AF378B6" w14:textId="77777777" w:rsidR="007F2DB4" w:rsidRPr="00DC2E74" w:rsidRDefault="007F2DB4" w:rsidP="00954579">
            <w:pPr>
              <w:jc w:val="both"/>
              <w:rPr>
                <w:sz w:val="21"/>
                <w:szCs w:val="21"/>
              </w:rPr>
            </w:pPr>
          </w:p>
        </w:tc>
      </w:tr>
      <w:tr w:rsidR="007F2DB4" w:rsidRPr="00DC2E74" w14:paraId="12C3D95F" w14:textId="77777777">
        <w:tc>
          <w:tcPr>
            <w:tcW w:w="9212" w:type="dxa"/>
          </w:tcPr>
          <w:p w14:paraId="2F5C3587" w14:textId="77777777" w:rsidR="007F2DB4" w:rsidRPr="00DC2E74" w:rsidRDefault="006D092C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  <w:r w:rsidRPr="00DC2E74">
              <w:rPr>
                <w:b/>
                <w:bCs/>
                <w:i/>
                <w:color w:val="31849B" w:themeColor="accent5" w:themeShade="BF"/>
              </w:rPr>
              <w:t>Špecifický cieľ 1.2.1</w:t>
            </w:r>
          </w:p>
          <w:p w14:paraId="7F7E3D14" w14:textId="77777777" w:rsidR="00727EF9" w:rsidRPr="00DC2E74" w:rsidRDefault="00954579" w:rsidP="00085B13">
            <w:pPr>
              <w:jc w:val="both"/>
              <w:rPr>
                <w:i/>
              </w:rPr>
            </w:pPr>
            <w:r w:rsidRPr="00DC2E74">
              <w:rPr>
                <w:bCs/>
                <w:i/>
              </w:rPr>
              <w:t xml:space="preserve">Napríklad: Zvýšenie </w:t>
            </w:r>
            <w:r w:rsidR="00727EF9" w:rsidRPr="00DC2E74">
              <w:rPr>
                <w:i/>
              </w:rPr>
              <w:t xml:space="preserve">dostupnosti predprimárneho vzdelávania  </w:t>
            </w:r>
          </w:p>
          <w:p w14:paraId="28FA1B95" w14:textId="77777777" w:rsidR="00B75B7C" w:rsidRPr="00DC2E74" w:rsidRDefault="00B75B7C">
            <w:pPr>
              <w:jc w:val="both"/>
              <w:rPr>
                <w:bCs/>
                <w:i/>
              </w:rPr>
            </w:pPr>
          </w:p>
          <w:p w14:paraId="1E00EB96" w14:textId="77777777" w:rsidR="00B75B7C" w:rsidRPr="00DC2E74" w:rsidRDefault="00B75B7C" w:rsidP="00B75B7C">
            <w:pPr>
              <w:jc w:val="both"/>
            </w:pPr>
            <w:r w:rsidRPr="00DC2E74">
              <w:t>Popis</w:t>
            </w:r>
            <w:r w:rsidR="006E057E" w:rsidRPr="00DC2E74">
              <w:t xml:space="preserve"> očakávaného</w:t>
            </w:r>
            <w:r w:rsidRPr="00DC2E74">
              <w:t xml:space="preserve"> stavu, t.j. </w:t>
            </w:r>
            <w:r w:rsidR="006E057E" w:rsidRPr="00DC2E74">
              <w:t xml:space="preserve">špecifikácia </w:t>
            </w:r>
            <w:r w:rsidRPr="00DC2E74">
              <w:t>požadovan</w:t>
            </w:r>
            <w:r w:rsidR="00A37025" w:rsidRPr="00DC2E74">
              <w:t>ých</w:t>
            </w:r>
            <w:r w:rsidRPr="00DC2E74">
              <w:t xml:space="preserve"> podstatn</w:t>
            </w:r>
            <w:r w:rsidR="00A37025" w:rsidRPr="00DC2E74">
              <w:t>ých</w:t>
            </w:r>
            <w:r w:rsidRPr="00DC2E74">
              <w:t xml:space="preserve"> </w:t>
            </w:r>
            <w:r w:rsidR="00A37025" w:rsidRPr="00DC2E74">
              <w:t xml:space="preserve">opatrení </w:t>
            </w:r>
            <w:r w:rsidRPr="00DC2E74">
              <w:t>v rámci vyššie určených investičných priorít a</w:t>
            </w:r>
            <w:r w:rsidR="002A64EF" w:rsidRPr="00DC2E74">
              <w:t xml:space="preserve"> </w:t>
            </w:r>
            <w:r w:rsidRPr="00DC2E74">
              <w:t>v nadväznosti na ne kvantifik</w:t>
            </w:r>
            <w:r w:rsidR="006E057E" w:rsidRPr="00DC2E74">
              <w:t>ácia</w:t>
            </w:r>
            <w:r w:rsidRPr="00DC2E74">
              <w:t xml:space="preserve"> plánovan</w:t>
            </w:r>
            <w:r w:rsidR="006E057E" w:rsidRPr="00DC2E74">
              <w:t>ého</w:t>
            </w:r>
            <w:r w:rsidRPr="00DC2E74">
              <w:t xml:space="preserve"> stav</w:t>
            </w:r>
            <w:r w:rsidR="006E057E" w:rsidRPr="00DC2E74">
              <w:t>u</w:t>
            </w:r>
            <w:r w:rsidRPr="00DC2E74">
              <w:t xml:space="preserve"> prostredníctvom súboru merateľných ukazovateľov výsledku.</w:t>
            </w:r>
          </w:p>
          <w:p w14:paraId="245AA5C5" w14:textId="77777777" w:rsidR="00954579" w:rsidRPr="00DC2E74" w:rsidRDefault="00954579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</w:p>
          <w:p w14:paraId="44964CF5" w14:textId="77777777" w:rsidR="007F2DB4" w:rsidRPr="00DE749B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DE749B">
              <w:rPr>
                <w:b/>
                <w:i/>
              </w:rPr>
              <w:t xml:space="preserve">Merateľné ukazovatele výsledku: </w:t>
            </w:r>
          </w:p>
          <w:p w14:paraId="55133D67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34"/>
              <w:gridCol w:w="1053"/>
            </w:tblGrid>
            <w:tr w:rsidR="007F2DB4" w:rsidRPr="00DC2E74" w14:paraId="643A9996" w14:textId="77777777">
              <w:tc>
                <w:tcPr>
                  <w:tcW w:w="1980" w:type="dxa"/>
                </w:tcPr>
                <w:p w14:paraId="5E276F8F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</w:tcPr>
                <w:p w14:paraId="29EFA44E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1276" w:type="dxa"/>
                </w:tcPr>
                <w:p w14:paraId="697F18A1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Východisková hodnota</w:t>
                  </w:r>
                </w:p>
              </w:tc>
              <w:tc>
                <w:tcPr>
                  <w:tcW w:w="1134" w:type="dxa"/>
                </w:tcPr>
                <w:p w14:paraId="4BE0BF97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Východiskový rok</w:t>
                  </w:r>
                </w:p>
              </w:tc>
              <w:tc>
                <w:tcPr>
                  <w:tcW w:w="1275" w:type="dxa"/>
                </w:tcPr>
                <w:p w14:paraId="0822DB4D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34" w:type="dxa"/>
                </w:tcPr>
                <w:p w14:paraId="3C43CB7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</w:tcPr>
                <w:p w14:paraId="0FE1CB22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0B2FC9EE" w14:textId="77777777">
              <w:tc>
                <w:tcPr>
                  <w:tcW w:w="1980" w:type="dxa"/>
                </w:tcPr>
                <w:p w14:paraId="3722FF36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4A58DC9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E3D49AF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040AD78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0C4BA7D8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D72B560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44A50EA6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7F2DB4" w:rsidRPr="00DC2E74" w14:paraId="407A6279" w14:textId="77777777">
              <w:tc>
                <w:tcPr>
                  <w:tcW w:w="1980" w:type="dxa"/>
                </w:tcPr>
                <w:p w14:paraId="436257D9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2ED0F600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17A337F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8164C47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3A792206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41B1F0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2F829AD3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14:paraId="3220A349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p w14:paraId="2924ED81" w14:textId="77777777" w:rsidR="007F2DB4" w:rsidRPr="00DC2E74" w:rsidRDefault="006D092C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  <w:r w:rsidRPr="00DC2E74">
              <w:rPr>
                <w:b/>
                <w:bCs/>
                <w:i/>
                <w:color w:val="984806" w:themeColor="accent6" w:themeShade="80"/>
              </w:rPr>
              <w:t>Aktivity a opatrenia špecifického cieľa 1.2.1</w:t>
            </w:r>
          </w:p>
          <w:p w14:paraId="08B83A5E" w14:textId="77777777" w:rsidR="00B75B7C" w:rsidRPr="00DC2E74" w:rsidRDefault="00B75B7C" w:rsidP="00B75B7C">
            <w:pPr>
              <w:jc w:val="both"/>
            </w:pPr>
            <w:r w:rsidRPr="00DC2E74">
              <w:t xml:space="preserve">Taxatívne vymenovanie konkrétnych opatrení a aktivít a ich očakávaný </w:t>
            </w:r>
            <w:r w:rsidR="00DC2E74">
              <w:t>príspevok</w:t>
            </w:r>
            <w:r w:rsidR="00DC2E74" w:rsidRPr="00DC2E74">
              <w:t xml:space="preserve"> </w:t>
            </w:r>
            <w:r w:rsidRPr="00DC2E74">
              <w:t xml:space="preserve">k príslušným </w:t>
            </w:r>
            <w:r w:rsidRPr="00DC2E74">
              <w:lastRenderedPageBreak/>
              <w:t>špecifickým cieľom, napríklad:</w:t>
            </w:r>
          </w:p>
          <w:p w14:paraId="1EA3ED16" w14:textId="77777777" w:rsidR="00727EF9" w:rsidRPr="00DC2E74" w:rsidRDefault="00A964AD" w:rsidP="00727EF9">
            <w:pPr>
              <w:pStyle w:val="Odsekzoznamu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DC2E74">
              <w:rPr>
                <w:i/>
              </w:rPr>
              <w:t xml:space="preserve">rozširovanie kapacít existujúcich objektov MŠ, </w:t>
            </w:r>
            <w:r w:rsidR="00727EF9" w:rsidRPr="00DC2E74">
              <w:rPr>
                <w:i/>
              </w:rPr>
              <w:t>výstavba nových objektov MŠ vrátane prvkov inkluzívneho vzdelávania;</w:t>
            </w:r>
          </w:p>
          <w:p w14:paraId="11CB1CAB" w14:textId="77777777" w:rsidR="00727EF9" w:rsidRPr="00DC2E74" w:rsidRDefault="00727EF9" w:rsidP="00727EF9">
            <w:pPr>
              <w:pStyle w:val="Odsekzoznamu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DC2E74">
              <w:rPr>
                <w:i/>
              </w:rPr>
              <w:t>stavebno-technické úpravy existujúcich objektov a ich adaptácia pre potreby materskej školy s prvkami inkluzívneho vzdelávania (napr. nevyužité priestory ZŠ);</w:t>
            </w:r>
          </w:p>
          <w:p w14:paraId="38177E06" w14:textId="77777777" w:rsidR="00727EF9" w:rsidRPr="00DC2E74" w:rsidRDefault="00727EF9" w:rsidP="00727EF9">
            <w:pPr>
              <w:pStyle w:val="Odsekzoznamu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DC2E74">
              <w:rPr>
                <w:i/>
              </w:rPr>
              <w:t>stavebno-technické úpravy areálu materskej školy vrátane detských ihrísk, športových zariadení pre deti – uzavretých aj otvorených s možnosťou celoročnej prevádzky, záhrad vrátane prvkov inkluzívneh</w:t>
            </w:r>
            <w:r w:rsidR="00A964AD" w:rsidRPr="00DC2E74">
              <w:rPr>
                <w:i/>
              </w:rPr>
              <w:t>o vzdelávania;</w:t>
            </w:r>
          </w:p>
          <w:p w14:paraId="784A84F7" w14:textId="77777777" w:rsidR="00A964AD" w:rsidRPr="00DC2E74" w:rsidRDefault="00A964AD" w:rsidP="00727EF9">
            <w:pPr>
              <w:pStyle w:val="Odsekzoznamu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DC2E74">
              <w:rPr>
                <w:i/>
              </w:rPr>
              <w:t>a</w:t>
            </w:r>
            <w:r w:rsidR="00085B13" w:rsidRPr="00DC2E74">
              <w:rPr>
                <w:i/>
              </w:rPr>
              <w:t>tď</w:t>
            </w:r>
            <w:r w:rsidRPr="00DC2E74">
              <w:rPr>
                <w:i/>
              </w:rPr>
              <w:t>.</w:t>
            </w:r>
          </w:p>
          <w:p w14:paraId="5DDC014C" w14:textId="77777777" w:rsidR="00B75B7C" w:rsidRPr="00DC2E74" w:rsidRDefault="00B75B7C" w:rsidP="00B75B7C">
            <w:pPr>
              <w:jc w:val="both"/>
              <w:rPr>
                <w:i/>
              </w:rPr>
            </w:pPr>
          </w:p>
          <w:p w14:paraId="5C2AAD54" w14:textId="77777777" w:rsidR="00B75B7C" w:rsidRPr="00DC2E74" w:rsidRDefault="00A37025" w:rsidP="00B75B7C">
            <w:pPr>
              <w:jc w:val="both"/>
            </w:pPr>
            <w:r w:rsidRPr="00DC2E74">
              <w:t>U</w:t>
            </w:r>
            <w:r w:rsidR="00B75B7C" w:rsidRPr="00DC2E74">
              <w:t xml:space="preserve">vedenie nasledovných kategórií: </w:t>
            </w:r>
          </w:p>
          <w:p w14:paraId="6C485EDB" w14:textId="77777777" w:rsidR="00B75B7C" w:rsidRPr="00DC2E74" w:rsidRDefault="00B75B7C" w:rsidP="00B75B7C">
            <w:pPr>
              <w:jc w:val="both"/>
              <w:rPr>
                <w:i/>
              </w:rPr>
            </w:pPr>
            <w:r w:rsidRPr="00DC2E74">
              <w:rPr>
                <w:i/>
              </w:rPr>
              <w:t>Oprávnení prijímatelia</w:t>
            </w:r>
          </w:p>
          <w:p w14:paraId="2F6BF49E" w14:textId="77777777" w:rsidR="00B75B7C" w:rsidRPr="00DC2E74" w:rsidRDefault="00B75B7C" w:rsidP="00B75B7C">
            <w:pPr>
              <w:jc w:val="both"/>
              <w:rPr>
                <w:i/>
              </w:rPr>
            </w:pPr>
            <w:r w:rsidRPr="00DC2E74">
              <w:rPr>
                <w:i/>
              </w:rPr>
              <w:t>Cieľové skupiny</w:t>
            </w:r>
          </w:p>
          <w:p w14:paraId="5B940B04" w14:textId="77777777" w:rsidR="00B75B7C" w:rsidRPr="00DC2E74" w:rsidRDefault="00B75B7C" w:rsidP="00B75B7C">
            <w:pPr>
              <w:jc w:val="both"/>
              <w:rPr>
                <w:i/>
              </w:rPr>
            </w:pPr>
            <w:r w:rsidRPr="00DC2E74">
              <w:rPr>
                <w:i/>
              </w:rPr>
              <w:t>Zvolené územné investičné jednotky</w:t>
            </w:r>
          </w:p>
          <w:p w14:paraId="59778C71" w14:textId="77777777" w:rsidR="00B75B7C" w:rsidRPr="00DC2E74" w:rsidRDefault="00B75B7C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</w:p>
          <w:p w14:paraId="5A53ABC8" w14:textId="77777777" w:rsidR="007F2DB4" w:rsidRPr="00DE749B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DE749B">
              <w:rPr>
                <w:b/>
                <w:i/>
              </w:rPr>
              <w:t xml:space="preserve">Merateľné ukazovatele výstupu: </w:t>
            </w:r>
          </w:p>
          <w:p w14:paraId="56F2049A" w14:textId="77777777" w:rsidR="007F2DB4" w:rsidRPr="00DC2E74" w:rsidRDefault="006D092C">
            <w:pPr>
              <w:jc w:val="both"/>
              <w:rPr>
                <w:sz w:val="21"/>
                <w:szCs w:val="21"/>
              </w:rPr>
            </w:pPr>
            <w:r w:rsidRPr="00DC2E74">
              <w:rPr>
                <w:sz w:val="21"/>
                <w:szCs w:val="21"/>
              </w:rPr>
              <w:t xml:space="preserve">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29"/>
              <w:gridCol w:w="1053"/>
            </w:tblGrid>
            <w:tr w:rsidR="007F2DB4" w:rsidRPr="00DC2E74" w14:paraId="0251350A" w14:textId="77777777">
              <w:tc>
                <w:tcPr>
                  <w:tcW w:w="1980" w:type="dxa"/>
                  <w:vMerge w:val="restart"/>
                </w:tcPr>
                <w:p w14:paraId="1DA765D5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9FA66B5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3685" w:type="dxa"/>
                  <w:gridSpan w:val="3"/>
                </w:tcPr>
                <w:p w14:paraId="56430EC9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29" w:type="dxa"/>
                  <w:vMerge w:val="restart"/>
                </w:tcPr>
                <w:p w14:paraId="659B1779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  <w:vMerge w:val="restart"/>
                </w:tcPr>
                <w:p w14:paraId="09E070B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61C52B1C" w14:textId="77777777">
              <w:tc>
                <w:tcPr>
                  <w:tcW w:w="1980" w:type="dxa"/>
                  <w:vMerge/>
                </w:tcPr>
                <w:p w14:paraId="006C6D38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5AA6B3BE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84A6BE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14:paraId="6A1ACC51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Ž</w:t>
                  </w:r>
                </w:p>
              </w:tc>
              <w:tc>
                <w:tcPr>
                  <w:tcW w:w="1275" w:type="dxa"/>
                </w:tcPr>
                <w:p w14:paraId="211D373D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1129" w:type="dxa"/>
                  <w:vMerge/>
                </w:tcPr>
                <w:p w14:paraId="78DCE3A4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Merge/>
                </w:tcPr>
                <w:p w14:paraId="4D160B87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F2DB4" w:rsidRPr="00DC2E74" w14:paraId="7BD33AE1" w14:textId="77777777">
              <w:tc>
                <w:tcPr>
                  <w:tcW w:w="1980" w:type="dxa"/>
                </w:tcPr>
                <w:p w14:paraId="6413AEAE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2213D6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03E4DE0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13E4498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2CDA5A3B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4FC44932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3838F31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7F2DB4" w:rsidRPr="00DC2E74" w14:paraId="7894B950" w14:textId="77777777">
              <w:tc>
                <w:tcPr>
                  <w:tcW w:w="1980" w:type="dxa"/>
                </w:tcPr>
                <w:p w14:paraId="7186D567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CB5C06F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3A45171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1D54434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3DA644CD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9" w:type="dxa"/>
                </w:tcPr>
                <w:p w14:paraId="2EAA3202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524D3FC8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7C963436" w14:textId="77777777" w:rsidR="007F2DB4" w:rsidRPr="00DC2E74" w:rsidRDefault="007F2DB4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</w:p>
          <w:p w14:paraId="295DE917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</w:tc>
      </w:tr>
      <w:tr w:rsidR="007F2DB4" w:rsidRPr="00DC2E74" w14:paraId="34F6BCB7" w14:textId="77777777">
        <w:tc>
          <w:tcPr>
            <w:tcW w:w="9212" w:type="dxa"/>
          </w:tcPr>
          <w:p w14:paraId="7E76C5F5" w14:textId="77777777" w:rsidR="00D05875" w:rsidRPr="00DC2E74" w:rsidRDefault="00D05875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</w:p>
          <w:p w14:paraId="2D954DE7" w14:textId="77777777" w:rsidR="007F2DB4" w:rsidRPr="00DC2E74" w:rsidRDefault="006D092C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  <w:r w:rsidRPr="00DC2E74">
              <w:rPr>
                <w:b/>
                <w:bCs/>
                <w:i/>
                <w:color w:val="31849B" w:themeColor="accent5" w:themeShade="BF"/>
              </w:rPr>
              <w:t>Špecifický cieľ 1.2.2</w:t>
            </w:r>
          </w:p>
          <w:p w14:paraId="53DA612C" w14:textId="77777777" w:rsidR="007F2DB4" w:rsidRPr="00DC2E74" w:rsidRDefault="007F2DB4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</w:p>
          <w:p w14:paraId="7BCEAF0B" w14:textId="77777777" w:rsidR="007F2DB4" w:rsidRPr="00DE749B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DE749B">
              <w:rPr>
                <w:b/>
                <w:i/>
              </w:rPr>
              <w:t xml:space="preserve">Merateľné ukazovatele výsledku: </w:t>
            </w:r>
          </w:p>
          <w:p w14:paraId="431E45F0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34"/>
              <w:gridCol w:w="1053"/>
            </w:tblGrid>
            <w:tr w:rsidR="007F2DB4" w:rsidRPr="00DC2E74" w14:paraId="2CCB0C0E" w14:textId="77777777">
              <w:tc>
                <w:tcPr>
                  <w:tcW w:w="1980" w:type="dxa"/>
                </w:tcPr>
                <w:p w14:paraId="7B6DD549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</w:tcPr>
                <w:p w14:paraId="3F9C4E33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1276" w:type="dxa"/>
                </w:tcPr>
                <w:p w14:paraId="6A70DDF4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Východisková hodnota</w:t>
                  </w:r>
                </w:p>
              </w:tc>
              <w:tc>
                <w:tcPr>
                  <w:tcW w:w="1134" w:type="dxa"/>
                </w:tcPr>
                <w:p w14:paraId="06FFDB45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Východiskový rok</w:t>
                  </w:r>
                </w:p>
              </w:tc>
              <w:tc>
                <w:tcPr>
                  <w:tcW w:w="1275" w:type="dxa"/>
                </w:tcPr>
                <w:p w14:paraId="208BA2B0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34" w:type="dxa"/>
                </w:tcPr>
                <w:p w14:paraId="27ECEB64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</w:tcPr>
                <w:p w14:paraId="470F30AC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434A9D8E" w14:textId="77777777">
              <w:tc>
                <w:tcPr>
                  <w:tcW w:w="1980" w:type="dxa"/>
                </w:tcPr>
                <w:p w14:paraId="049A3933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2B911147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775089A9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7BE136D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01FC2055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071074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4B317461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7F2DB4" w:rsidRPr="00DC2E74" w14:paraId="4F24DFC9" w14:textId="77777777">
              <w:tc>
                <w:tcPr>
                  <w:tcW w:w="1980" w:type="dxa"/>
                </w:tcPr>
                <w:p w14:paraId="208B3524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78276C7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3137BD3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D8204B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1FFC1A75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258FBE8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168D8B47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14:paraId="54A9F650" w14:textId="77777777" w:rsidR="007F2DB4" w:rsidRPr="00DC2E74" w:rsidRDefault="007F2DB4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</w:p>
          <w:p w14:paraId="175B422B" w14:textId="77777777" w:rsidR="007F2DB4" w:rsidRPr="00DC2E74" w:rsidRDefault="006D092C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  <w:r w:rsidRPr="00DC2E74">
              <w:rPr>
                <w:b/>
                <w:bCs/>
                <w:i/>
                <w:color w:val="984806" w:themeColor="accent6" w:themeShade="80"/>
              </w:rPr>
              <w:t>Aktivity a opatrenia špecifického cieľa 1.2.2</w:t>
            </w:r>
          </w:p>
          <w:p w14:paraId="23061CB4" w14:textId="77777777" w:rsidR="007F2DB4" w:rsidRPr="00DC2E74" w:rsidRDefault="007F2DB4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</w:p>
          <w:p w14:paraId="3C87D7E5" w14:textId="77777777" w:rsidR="007F2DB4" w:rsidRPr="00DE749B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DE749B">
              <w:rPr>
                <w:b/>
                <w:i/>
              </w:rPr>
              <w:t xml:space="preserve">Merateľné ukazovatele výstupu: </w:t>
            </w:r>
          </w:p>
          <w:p w14:paraId="42723000" w14:textId="77777777" w:rsidR="007F2DB4" w:rsidRPr="00DC2E74" w:rsidRDefault="006D092C">
            <w:pPr>
              <w:jc w:val="both"/>
              <w:rPr>
                <w:sz w:val="21"/>
                <w:szCs w:val="21"/>
              </w:rPr>
            </w:pPr>
            <w:r w:rsidRPr="00DC2E74">
              <w:rPr>
                <w:sz w:val="21"/>
                <w:szCs w:val="21"/>
              </w:rPr>
              <w:t xml:space="preserve">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29"/>
              <w:gridCol w:w="1053"/>
            </w:tblGrid>
            <w:tr w:rsidR="007F2DB4" w:rsidRPr="00DC2E74" w14:paraId="6A35B19D" w14:textId="77777777">
              <w:tc>
                <w:tcPr>
                  <w:tcW w:w="1980" w:type="dxa"/>
                  <w:vMerge w:val="restart"/>
                </w:tcPr>
                <w:p w14:paraId="31A8589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25BD54D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3685" w:type="dxa"/>
                  <w:gridSpan w:val="3"/>
                </w:tcPr>
                <w:p w14:paraId="3812BE25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29" w:type="dxa"/>
                  <w:vMerge w:val="restart"/>
                </w:tcPr>
                <w:p w14:paraId="42155CBF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  <w:vMerge w:val="restart"/>
                </w:tcPr>
                <w:p w14:paraId="4893D3EB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4218302D" w14:textId="77777777">
              <w:tc>
                <w:tcPr>
                  <w:tcW w:w="1980" w:type="dxa"/>
                  <w:vMerge/>
                </w:tcPr>
                <w:p w14:paraId="28EBCCAC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7917A6E4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B6A72D0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14:paraId="5DC36450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Ž</w:t>
                  </w:r>
                </w:p>
              </w:tc>
              <w:tc>
                <w:tcPr>
                  <w:tcW w:w="1275" w:type="dxa"/>
                </w:tcPr>
                <w:p w14:paraId="2BEC273B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1129" w:type="dxa"/>
                  <w:vMerge/>
                </w:tcPr>
                <w:p w14:paraId="1DA9D7EE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Merge/>
                </w:tcPr>
                <w:p w14:paraId="17CD829B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F2DB4" w:rsidRPr="00DC2E74" w14:paraId="3552EB31" w14:textId="77777777">
              <w:tc>
                <w:tcPr>
                  <w:tcW w:w="1980" w:type="dxa"/>
                </w:tcPr>
                <w:p w14:paraId="34FD0D35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AF08271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7C9213D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A0CE21F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0B4BAB9D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71034C2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268E1F49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7F2DB4" w:rsidRPr="00DC2E74" w14:paraId="6E0E7779" w14:textId="77777777">
              <w:tc>
                <w:tcPr>
                  <w:tcW w:w="1980" w:type="dxa"/>
                </w:tcPr>
                <w:p w14:paraId="49158F11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B1E57F7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62181F0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E829A8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336FB5D7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9" w:type="dxa"/>
                </w:tcPr>
                <w:p w14:paraId="5F9FCFC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10F3A505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C0A41D0" w14:textId="77777777" w:rsidR="007F2DB4" w:rsidRPr="00DC2E74" w:rsidRDefault="007F2DB4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</w:p>
          <w:p w14:paraId="708B8EEB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</w:tc>
      </w:tr>
      <w:tr w:rsidR="007F2DB4" w:rsidRPr="00DC2E74" w14:paraId="21A95EE9" w14:textId="77777777" w:rsidTr="00DE749B">
        <w:trPr>
          <w:trHeight w:val="858"/>
        </w:trPr>
        <w:tc>
          <w:tcPr>
            <w:tcW w:w="9212" w:type="dxa"/>
          </w:tcPr>
          <w:p w14:paraId="78B28F52" w14:textId="77777777" w:rsidR="007F2DB4" w:rsidRPr="00DC2E74" w:rsidRDefault="006D092C">
            <w:pPr>
              <w:jc w:val="both"/>
              <w:rPr>
                <w:b/>
                <w:bCs/>
                <w:i/>
                <w:color w:val="7F7F7F" w:themeColor="text1" w:themeTint="80"/>
              </w:rPr>
            </w:pPr>
            <w:r w:rsidRPr="00DC2E74">
              <w:rPr>
                <w:b/>
                <w:bCs/>
                <w:i/>
                <w:color w:val="7F7F7F" w:themeColor="text1" w:themeTint="80"/>
              </w:rPr>
              <w:t xml:space="preserve">Strategická priorita 2 </w:t>
            </w:r>
          </w:p>
          <w:p w14:paraId="75312AA2" w14:textId="4CAACE4C" w:rsidR="007F2DB4" w:rsidRPr="00DC2E74" w:rsidRDefault="00A964AD">
            <w:pPr>
              <w:jc w:val="both"/>
              <w:rPr>
                <w:b/>
                <w:bCs/>
                <w:i/>
                <w:color w:val="808080" w:themeColor="background1" w:themeShade="80"/>
              </w:rPr>
            </w:pPr>
            <w:r w:rsidRPr="00DC2E74">
              <w:rPr>
                <w:bCs/>
                <w:i/>
              </w:rPr>
              <w:t>N</w:t>
            </w:r>
            <w:r w:rsidR="006D092C" w:rsidRPr="00DC2E74">
              <w:rPr>
                <w:bCs/>
                <w:i/>
              </w:rPr>
              <w:t>apríklad</w:t>
            </w:r>
            <w:r w:rsidRPr="00DC2E74">
              <w:rPr>
                <w:bCs/>
                <w:i/>
              </w:rPr>
              <w:t xml:space="preserve">: </w:t>
            </w:r>
            <w:r w:rsidR="006D092C" w:rsidRPr="00DE749B">
              <w:rPr>
                <w:i/>
              </w:rPr>
              <w:t xml:space="preserve"> Zlepšenie kvality životného prostredia v kraji</w:t>
            </w:r>
          </w:p>
          <w:p w14:paraId="7A3D6DC7" w14:textId="77777777" w:rsidR="007F2DB4" w:rsidRPr="009E4A4D" w:rsidRDefault="007F2DB4">
            <w:pPr>
              <w:spacing w:after="200" w:line="276" w:lineRule="auto"/>
              <w:jc w:val="both"/>
            </w:pPr>
          </w:p>
        </w:tc>
      </w:tr>
      <w:tr w:rsidR="007F2DB4" w:rsidRPr="00DC2E74" w14:paraId="2C56550F" w14:textId="77777777">
        <w:tc>
          <w:tcPr>
            <w:tcW w:w="9212" w:type="dxa"/>
          </w:tcPr>
          <w:p w14:paraId="79AACE9B" w14:textId="77777777" w:rsidR="007F2DB4" w:rsidRPr="00DC2E74" w:rsidRDefault="006D092C">
            <w:pPr>
              <w:jc w:val="both"/>
              <w:rPr>
                <w:b/>
                <w:bCs/>
                <w:i/>
                <w:color w:val="548DD4" w:themeColor="text2" w:themeTint="99"/>
              </w:rPr>
            </w:pPr>
            <w:r w:rsidRPr="00DC2E74">
              <w:rPr>
                <w:b/>
                <w:bCs/>
                <w:i/>
                <w:color w:val="548DD4" w:themeColor="text2" w:themeTint="99"/>
              </w:rPr>
              <w:t>Investičná priorita 2.1</w:t>
            </w:r>
          </w:p>
          <w:p w14:paraId="28C518D4" w14:textId="77777777" w:rsidR="007F2DB4" w:rsidRPr="009E4A4D" w:rsidRDefault="007F2DB4">
            <w:pPr>
              <w:spacing w:after="200" w:line="276" w:lineRule="auto"/>
              <w:jc w:val="both"/>
            </w:pPr>
          </w:p>
        </w:tc>
      </w:tr>
      <w:tr w:rsidR="007F2DB4" w:rsidRPr="00DC2E74" w14:paraId="526F577D" w14:textId="77777777">
        <w:tc>
          <w:tcPr>
            <w:tcW w:w="9212" w:type="dxa"/>
          </w:tcPr>
          <w:p w14:paraId="0709E457" w14:textId="77777777" w:rsidR="007F2DB4" w:rsidRPr="00DC2E74" w:rsidRDefault="006D092C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  <w:r w:rsidRPr="00DC2E74">
              <w:rPr>
                <w:b/>
                <w:bCs/>
                <w:i/>
                <w:color w:val="31849B" w:themeColor="accent5" w:themeShade="BF"/>
              </w:rPr>
              <w:lastRenderedPageBreak/>
              <w:t>Špecifický cieľ 2.1.2</w:t>
            </w:r>
          </w:p>
          <w:p w14:paraId="21898073" w14:textId="77777777" w:rsidR="007F2DB4" w:rsidRPr="00DC2E74" w:rsidRDefault="007F2DB4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</w:p>
          <w:p w14:paraId="33118103" w14:textId="77777777" w:rsidR="007F2DB4" w:rsidRPr="009E4A4D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9E4A4D">
              <w:rPr>
                <w:b/>
                <w:i/>
              </w:rPr>
              <w:t xml:space="preserve">Merateľné ukazovatele výsledku: </w:t>
            </w:r>
          </w:p>
          <w:p w14:paraId="418F23A3" w14:textId="77777777" w:rsidR="007F2DB4" w:rsidRPr="00DC2E74" w:rsidRDefault="007F2DB4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34"/>
              <w:gridCol w:w="1053"/>
            </w:tblGrid>
            <w:tr w:rsidR="007F2DB4" w:rsidRPr="00DC2E74" w14:paraId="5BB78C16" w14:textId="77777777">
              <w:tc>
                <w:tcPr>
                  <w:tcW w:w="1980" w:type="dxa"/>
                </w:tcPr>
                <w:p w14:paraId="2B56EBFF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</w:tcPr>
                <w:p w14:paraId="40A86FED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1276" w:type="dxa"/>
                </w:tcPr>
                <w:p w14:paraId="18DAAC38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Východisková hodnota</w:t>
                  </w:r>
                </w:p>
              </w:tc>
              <w:tc>
                <w:tcPr>
                  <w:tcW w:w="1134" w:type="dxa"/>
                </w:tcPr>
                <w:p w14:paraId="180DA102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Východiskový rok</w:t>
                  </w:r>
                </w:p>
              </w:tc>
              <w:tc>
                <w:tcPr>
                  <w:tcW w:w="1275" w:type="dxa"/>
                </w:tcPr>
                <w:p w14:paraId="5DE69A33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34" w:type="dxa"/>
                </w:tcPr>
                <w:p w14:paraId="72B67383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</w:tcPr>
                <w:p w14:paraId="5C7A5263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6E5D35A6" w14:textId="77777777">
              <w:tc>
                <w:tcPr>
                  <w:tcW w:w="1980" w:type="dxa"/>
                </w:tcPr>
                <w:p w14:paraId="2B8605F4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F9F32F0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971FE1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52DE7E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1D26C5E4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382730C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6E848E8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7F2DB4" w:rsidRPr="00DC2E74" w14:paraId="5348AB15" w14:textId="77777777">
              <w:tc>
                <w:tcPr>
                  <w:tcW w:w="1980" w:type="dxa"/>
                </w:tcPr>
                <w:p w14:paraId="08E00257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14C67FC7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1E20A34D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52588AD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6BF94E87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64690A5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6C27F0A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7F2DB4" w:rsidRPr="00DC2E74" w14:paraId="08DCE052" w14:textId="77777777">
              <w:tc>
                <w:tcPr>
                  <w:tcW w:w="1980" w:type="dxa"/>
                </w:tcPr>
                <w:p w14:paraId="25D83240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20C911F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728443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0ECE498D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1AE86FF4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21BB34A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5BB9FAF1" w14:textId="77777777" w:rsidR="007F2DB4" w:rsidRPr="00DC2E74" w:rsidRDefault="007F2DB4">
                  <w:pPr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14:paraId="1C966B6E" w14:textId="77777777" w:rsidR="007F2DB4" w:rsidRPr="00DC2E74" w:rsidRDefault="007F2DB4">
            <w:pPr>
              <w:jc w:val="both"/>
              <w:rPr>
                <w:b/>
                <w:bCs/>
                <w:i/>
                <w:color w:val="31849B" w:themeColor="accent5" w:themeShade="BF"/>
              </w:rPr>
            </w:pPr>
          </w:p>
          <w:p w14:paraId="51A412EE" w14:textId="77777777" w:rsidR="007F2DB4" w:rsidRPr="00DC2E74" w:rsidRDefault="006D092C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  <w:r w:rsidRPr="00DC2E74">
              <w:rPr>
                <w:b/>
                <w:bCs/>
                <w:i/>
                <w:color w:val="984806" w:themeColor="accent6" w:themeShade="80"/>
              </w:rPr>
              <w:t>Aktivity a opatrenia špecifického cieľa 2.1.2</w:t>
            </w:r>
          </w:p>
          <w:p w14:paraId="1E77289A" w14:textId="77777777" w:rsidR="007F2DB4" w:rsidRPr="00DC2E74" w:rsidRDefault="007F2DB4">
            <w:pPr>
              <w:jc w:val="both"/>
              <w:rPr>
                <w:b/>
                <w:bCs/>
                <w:i/>
                <w:color w:val="984806" w:themeColor="accent6" w:themeShade="80"/>
              </w:rPr>
            </w:pPr>
          </w:p>
          <w:p w14:paraId="5C5D6440" w14:textId="77777777" w:rsidR="007F2DB4" w:rsidRPr="009E4A4D" w:rsidRDefault="006D092C">
            <w:pPr>
              <w:spacing w:after="200" w:line="276" w:lineRule="auto"/>
              <w:jc w:val="both"/>
              <w:rPr>
                <w:b/>
                <w:i/>
              </w:rPr>
            </w:pPr>
            <w:r w:rsidRPr="009E4A4D">
              <w:rPr>
                <w:b/>
                <w:i/>
              </w:rPr>
              <w:t xml:space="preserve">Merateľné ukazovatele výstupu: </w:t>
            </w:r>
          </w:p>
          <w:p w14:paraId="05DBCFF5" w14:textId="77777777" w:rsidR="007F2DB4" w:rsidRPr="00DC2E74" w:rsidRDefault="006D092C">
            <w:pPr>
              <w:jc w:val="both"/>
              <w:rPr>
                <w:sz w:val="21"/>
                <w:szCs w:val="21"/>
              </w:rPr>
            </w:pPr>
            <w:r w:rsidRPr="00DC2E74">
              <w:rPr>
                <w:sz w:val="21"/>
                <w:szCs w:val="21"/>
              </w:rPr>
              <w:t xml:space="preserve">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276"/>
              <w:gridCol w:w="1134"/>
              <w:gridCol w:w="1275"/>
              <w:gridCol w:w="1129"/>
              <w:gridCol w:w="1053"/>
            </w:tblGrid>
            <w:tr w:rsidR="007F2DB4" w:rsidRPr="00DC2E74" w14:paraId="3E1FCDF7" w14:textId="77777777">
              <w:tc>
                <w:tcPr>
                  <w:tcW w:w="1980" w:type="dxa"/>
                  <w:vMerge w:val="restart"/>
                </w:tcPr>
                <w:p w14:paraId="5CC5A246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Názov ukazovateľa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4EF4115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Merná jednotka</w:t>
                  </w:r>
                </w:p>
              </w:tc>
              <w:tc>
                <w:tcPr>
                  <w:tcW w:w="3685" w:type="dxa"/>
                  <w:gridSpan w:val="3"/>
                </w:tcPr>
                <w:p w14:paraId="09A07A74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Cieľová hodnota (2023)</w:t>
                  </w:r>
                </w:p>
              </w:tc>
              <w:tc>
                <w:tcPr>
                  <w:tcW w:w="1129" w:type="dxa"/>
                  <w:vMerge w:val="restart"/>
                </w:tcPr>
                <w:p w14:paraId="6C8673F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Zdroj dát</w:t>
                  </w:r>
                </w:p>
              </w:tc>
              <w:tc>
                <w:tcPr>
                  <w:tcW w:w="1053" w:type="dxa"/>
                  <w:vMerge w:val="restart"/>
                </w:tcPr>
                <w:p w14:paraId="7D1C34BA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Frekvencia sledovania</w:t>
                  </w:r>
                </w:p>
              </w:tc>
            </w:tr>
            <w:tr w:rsidR="007F2DB4" w:rsidRPr="00DC2E74" w14:paraId="1373B561" w14:textId="77777777">
              <w:tc>
                <w:tcPr>
                  <w:tcW w:w="1980" w:type="dxa"/>
                  <w:vMerge/>
                </w:tcPr>
                <w:p w14:paraId="652D4316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4739257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0C1C3EF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14:paraId="148687BC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Ž</w:t>
                  </w:r>
                </w:p>
              </w:tc>
              <w:tc>
                <w:tcPr>
                  <w:tcW w:w="1275" w:type="dxa"/>
                </w:tcPr>
                <w:p w14:paraId="0811FDF5" w14:textId="77777777" w:rsidR="007F2DB4" w:rsidRPr="00DC2E74" w:rsidRDefault="006D092C">
                  <w:pPr>
                    <w:jc w:val="center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  <w:r w:rsidRPr="00DC2E74"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1129" w:type="dxa"/>
                  <w:vMerge/>
                </w:tcPr>
                <w:p w14:paraId="35485E7F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Merge/>
                </w:tcPr>
                <w:p w14:paraId="345DF458" w14:textId="77777777" w:rsidR="007F2DB4" w:rsidRPr="00DC2E74" w:rsidRDefault="007F2DB4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F2DB4" w:rsidRPr="00DC2E74" w14:paraId="5F0F6530" w14:textId="77777777">
              <w:tc>
                <w:tcPr>
                  <w:tcW w:w="1980" w:type="dxa"/>
                </w:tcPr>
                <w:p w14:paraId="590202CF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D329E5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59F1FD1F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38875F7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15224732" w14:textId="77777777" w:rsidR="007F2DB4" w:rsidRPr="00DC2E74" w:rsidRDefault="007F2DB4">
                  <w:pPr>
                    <w:jc w:val="both"/>
                    <w:rPr>
                      <w:rFonts w:asciiTheme="minorHAnsi" w:eastAsia="Times New Roman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5F12010F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50BF899E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7F2DB4" w:rsidRPr="00DC2E74" w14:paraId="44D59F47" w14:textId="77777777">
              <w:tc>
                <w:tcPr>
                  <w:tcW w:w="1980" w:type="dxa"/>
                </w:tcPr>
                <w:p w14:paraId="6CA9C6C4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83B2F5C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194B477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0DBFD1D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728A311A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9" w:type="dxa"/>
                </w:tcPr>
                <w:p w14:paraId="3A8A9E0B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3" w:type="dxa"/>
                </w:tcPr>
                <w:p w14:paraId="72DDDF8A" w14:textId="77777777" w:rsidR="007F2DB4" w:rsidRPr="00DC2E74" w:rsidRDefault="007F2DB4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524C413B" w14:textId="77777777" w:rsidR="007F2DB4" w:rsidRPr="00DC2E74" w:rsidRDefault="007F2DB4">
            <w:pPr>
              <w:jc w:val="both"/>
              <w:rPr>
                <w:b/>
                <w:bCs/>
                <w:i/>
                <w:color w:val="0070C0"/>
              </w:rPr>
            </w:pPr>
          </w:p>
        </w:tc>
      </w:tr>
    </w:tbl>
    <w:p w14:paraId="147C3533" w14:textId="77777777" w:rsidR="007F2DB4" w:rsidRPr="00DC2E74" w:rsidRDefault="007F2DB4">
      <w:pPr>
        <w:spacing w:after="0" w:line="240" w:lineRule="auto"/>
        <w:jc w:val="both"/>
        <w:rPr>
          <w:sz w:val="21"/>
          <w:szCs w:val="21"/>
        </w:rPr>
      </w:pPr>
    </w:p>
    <w:p w14:paraId="396BC547" w14:textId="77777777" w:rsidR="009E4A4D" w:rsidRPr="007A0645" w:rsidRDefault="009E4A4D" w:rsidP="009E4A4D">
      <w:pPr>
        <w:pStyle w:val="mStandard"/>
        <w:spacing w:before="0" w:after="0" w:line="276" w:lineRule="auto"/>
        <w:rPr>
          <w:rFonts w:ascii="Calibri" w:eastAsia="Calibri" w:hAnsi="Calibri"/>
          <w:b/>
          <w:bCs/>
          <w:lang w:val="sk-SK"/>
        </w:rPr>
      </w:pPr>
      <w:r>
        <w:rPr>
          <w:rFonts w:ascii="Calibri" w:eastAsia="Calibri" w:hAnsi="Calibri"/>
          <w:b/>
          <w:bCs/>
          <w:lang w:val="sk-SK"/>
        </w:rPr>
        <w:t>IÚS UMR</w:t>
      </w:r>
      <w:r w:rsidRPr="007A0645">
        <w:rPr>
          <w:rFonts w:ascii="Calibri" w:eastAsia="Calibri" w:hAnsi="Calibri"/>
          <w:b/>
          <w:bCs/>
          <w:lang w:val="sk-SK"/>
        </w:rPr>
        <w:t xml:space="preserve"> v rámci RIÚS je možné </w:t>
      </w:r>
      <w:r>
        <w:rPr>
          <w:rFonts w:ascii="Calibri" w:eastAsia="Calibri" w:hAnsi="Calibri"/>
          <w:b/>
          <w:bCs/>
          <w:lang w:val="sk-SK"/>
        </w:rPr>
        <w:t>za</w:t>
      </w:r>
      <w:r w:rsidRPr="007A0645">
        <w:rPr>
          <w:rFonts w:ascii="Calibri" w:eastAsia="Calibri" w:hAnsi="Calibri"/>
          <w:b/>
          <w:bCs/>
          <w:lang w:val="sk-SK"/>
        </w:rPr>
        <w:t>pracovať jedným z nasledovných spôsobov:</w:t>
      </w:r>
    </w:p>
    <w:p w14:paraId="767BF574" w14:textId="77777777" w:rsidR="009E4A4D" w:rsidRDefault="009E4A4D" w:rsidP="009E4A4D">
      <w:pPr>
        <w:pStyle w:val="mStandard"/>
        <w:numPr>
          <w:ilvl w:val="0"/>
          <w:numId w:val="15"/>
        </w:numPr>
        <w:spacing w:before="0" w:after="0" w:line="276" w:lineRule="auto"/>
        <w:rPr>
          <w:rFonts w:ascii="Calibri" w:eastAsia="Calibri" w:hAnsi="Calibri"/>
          <w:bCs/>
          <w:lang w:val="sk-SK"/>
        </w:rPr>
      </w:pPr>
      <w:r>
        <w:rPr>
          <w:rFonts w:ascii="Calibri" w:eastAsia="Calibri" w:hAnsi="Calibri"/>
          <w:bCs/>
          <w:lang w:val="sk-SK"/>
        </w:rPr>
        <w:t>Ako samostatnú (oddelenú) časť dokumentu</w:t>
      </w:r>
      <w:r>
        <w:rPr>
          <w:rFonts w:ascii="Calibri" w:eastAsia="Calibri" w:hAnsi="Calibri"/>
          <w:bCs/>
          <w:lang w:val="en-US"/>
        </w:rPr>
        <w:t>;</w:t>
      </w:r>
    </w:p>
    <w:p w14:paraId="0C8459FB" w14:textId="77777777" w:rsidR="009E4A4D" w:rsidRDefault="009E4A4D" w:rsidP="009E4A4D">
      <w:pPr>
        <w:pStyle w:val="mStandard"/>
        <w:numPr>
          <w:ilvl w:val="0"/>
          <w:numId w:val="15"/>
        </w:numPr>
        <w:spacing w:before="0" w:after="0" w:line="240" w:lineRule="auto"/>
        <w:rPr>
          <w:rFonts w:ascii="Calibri" w:eastAsia="Calibri" w:hAnsi="Calibri"/>
          <w:bCs/>
          <w:lang w:val="sk-SK"/>
        </w:rPr>
      </w:pPr>
      <w:r w:rsidRPr="00C46AD9">
        <w:rPr>
          <w:rFonts w:ascii="Calibri" w:eastAsia="Calibri" w:hAnsi="Calibri"/>
          <w:bCs/>
          <w:lang w:val="sk-SK"/>
        </w:rPr>
        <w:t xml:space="preserve">Ako súčasť jednotlivých kapitol týkajúcich sa územia RIÚS – pričom je potrebné spracovať ich tak, aby boli formálne a vecne oddelené. </w:t>
      </w:r>
    </w:p>
    <w:p w14:paraId="3B6E71BE" w14:textId="77777777" w:rsidR="009E4A4D" w:rsidRDefault="009E4A4D" w:rsidP="00C47447">
      <w:pPr>
        <w:spacing w:after="0" w:line="240" w:lineRule="auto"/>
        <w:jc w:val="both"/>
        <w:rPr>
          <w:b/>
        </w:rPr>
      </w:pPr>
    </w:p>
    <w:p w14:paraId="48DCFBE8" w14:textId="77777777" w:rsidR="007F2DB4" w:rsidRPr="00DC2E74" w:rsidRDefault="006D092C">
      <w:pPr>
        <w:pStyle w:val="Nadpis1"/>
        <w:numPr>
          <w:ilvl w:val="0"/>
          <w:numId w:val="7"/>
        </w:numPr>
        <w:shd w:val="clear" w:color="auto" w:fill="B8CCE4" w:themeFill="accent1" w:themeFillTint="66"/>
        <w:tabs>
          <w:tab w:val="left" w:pos="426"/>
        </w:tabs>
        <w:ind w:left="284" w:hanging="284"/>
        <w:rPr>
          <w:rFonts w:ascii="Calibri" w:hAnsi="Calibri"/>
        </w:rPr>
      </w:pPr>
      <w:r w:rsidRPr="00DC2E74">
        <w:rPr>
          <w:rFonts w:ascii="Calibri" w:hAnsi="Calibri"/>
        </w:rPr>
        <w:t>Vykonávacia časť</w:t>
      </w:r>
    </w:p>
    <w:p w14:paraId="60B8DA4E" w14:textId="77777777" w:rsidR="009441E8" w:rsidRPr="00DC2E74" w:rsidRDefault="009441E8" w:rsidP="009441E8">
      <w:pPr>
        <w:jc w:val="both"/>
      </w:pPr>
      <w:r w:rsidRPr="00DC2E74">
        <w:sym w:font="Wingdings" w:char="F021"/>
      </w:r>
      <w:r w:rsidRPr="00DC2E74">
        <w:t xml:space="preserve"> </w:t>
      </w:r>
      <w:r w:rsidRPr="00DC2E74">
        <w:rPr>
          <w:b/>
        </w:rPr>
        <w:t>Odporúčaný</w:t>
      </w:r>
      <w:r w:rsidRPr="00DC2E74">
        <w:t xml:space="preserve"> </w:t>
      </w:r>
      <w:r w:rsidRPr="00DC2E74">
        <w:rPr>
          <w:b/>
        </w:rPr>
        <w:t>rozsah</w:t>
      </w:r>
      <w:r w:rsidRPr="00DC2E74">
        <w:t>: do 20 strán</w:t>
      </w:r>
    </w:p>
    <w:p w14:paraId="2E9BD92C" w14:textId="77777777" w:rsidR="007F2DB4" w:rsidRPr="00DC2E74" w:rsidRDefault="007F2DB4">
      <w:pPr>
        <w:spacing w:after="0" w:line="240" w:lineRule="auto"/>
        <w:rPr>
          <w:sz w:val="21"/>
          <w:szCs w:val="21"/>
        </w:rPr>
      </w:pPr>
    </w:p>
    <w:p w14:paraId="2BE749F9" w14:textId="77777777" w:rsidR="007F2DB4" w:rsidRPr="00DC2E74" w:rsidRDefault="006D092C">
      <w:pPr>
        <w:spacing w:after="0" w:line="240" w:lineRule="auto"/>
        <w:rPr>
          <w:rStyle w:val="Intenzvnezvraznenie"/>
          <w:color w:val="0070C0"/>
        </w:rPr>
      </w:pPr>
      <w:r w:rsidRPr="00DC2E74">
        <w:rPr>
          <w:rStyle w:val="Intenzvnezvraznenie"/>
          <w:color w:val="0070C0"/>
        </w:rPr>
        <w:t>IV.1 Inštitucionálne a organizačné zabezpečenie realizácie RIÚS/stratégie UMR</w:t>
      </w:r>
    </w:p>
    <w:p w14:paraId="630D98E4" w14:textId="77777777" w:rsidR="007F2DB4" w:rsidRPr="00DC2E74" w:rsidRDefault="007F2DB4">
      <w:pPr>
        <w:spacing w:after="0" w:line="240" w:lineRule="auto"/>
        <w:rPr>
          <w:rStyle w:val="Intenzvnezvraznenie"/>
          <w:color w:val="0070C0"/>
        </w:rPr>
      </w:pPr>
    </w:p>
    <w:p w14:paraId="1BAF4EF4" w14:textId="05131D86" w:rsidR="005F2986" w:rsidRPr="00DC2E74" w:rsidRDefault="006D092C" w:rsidP="00DC2E74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bCs/>
          <w:iCs/>
          <w:szCs w:val="21"/>
        </w:rPr>
      </w:pPr>
      <w:r w:rsidRPr="009E4A4D">
        <w:t>uvedenie inštitúcií/orgánov, ktoré budú do realizácie RIÚS/stratégie UMR zapojené a rámcové určenie ich úloh</w:t>
      </w:r>
      <w:r w:rsidR="005F2986" w:rsidRPr="00DC2E74">
        <w:rPr>
          <w:bCs/>
          <w:iCs/>
          <w:szCs w:val="21"/>
        </w:rPr>
        <w:t>;</w:t>
      </w:r>
    </w:p>
    <w:p w14:paraId="2F749E3D" w14:textId="7E42CEA9" w:rsidR="007F2DB4" w:rsidRPr="00DC2E74" w:rsidRDefault="005F2986" w:rsidP="00DC2E74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bCs/>
          <w:iCs/>
          <w:szCs w:val="21"/>
        </w:rPr>
      </w:pPr>
      <w:r w:rsidRPr="00DC2E74">
        <w:rPr>
          <w:bCs/>
          <w:iCs/>
          <w:szCs w:val="21"/>
        </w:rPr>
        <w:t xml:space="preserve">popis inštitucionálneho a organizačného zabezpečenia realizácie RIÚS, </w:t>
      </w:r>
      <w:r w:rsidR="009E4A4D">
        <w:rPr>
          <w:bCs/>
        </w:rPr>
        <w:t xml:space="preserve">rámcový popis úloh jednotlivých subjektov, </w:t>
      </w:r>
      <w:r w:rsidRPr="00DC2E74">
        <w:rPr>
          <w:bCs/>
          <w:iCs/>
          <w:szCs w:val="21"/>
        </w:rPr>
        <w:t>spôsob komuni</w:t>
      </w:r>
      <w:r w:rsidR="00D05875" w:rsidRPr="00DC2E74">
        <w:rPr>
          <w:bCs/>
          <w:iCs/>
          <w:szCs w:val="21"/>
        </w:rPr>
        <w:t>kácie, kooperácie a</w:t>
      </w:r>
      <w:r w:rsidR="009E4A4D">
        <w:rPr>
          <w:bCs/>
          <w:iCs/>
          <w:szCs w:val="21"/>
        </w:rPr>
        <w:t> </w:t>
      </w:r>
      <w:r w:rsidR="00D05875" w:rsidRPr="00DC2E74">
        <w:rPr>
          <w:bCs/>
          <w:iCs/>
          <w:szCs w:val="21"/>
        </w:rPr>
        <w:t>koordinácie</w:t>
      </w:r>
      <w:r w:rsidR="009E4A4D">
        <w:rPr>
          <w:bCs/>
          <w:iCs/>
          <w:szCs w:val="21"/>
        </w:rPr>
        <w:t xml:space="preserve"> medzi nimi</w:t>
      </w:r>
      <w:r w:rsidR="00D05875" w:rsidRPr="00DC2E74">
        <w:rPr>
          <w:bCs/>
          <w:iCs/>
          <w:szCs w:val="21"/>
        </w:rPr>
        <w:t>.</w:t>
      </w:r>
    </w:p>
    <w:p w14:paraId="27E75B76" w14:textId="77777777" w:rsidR="005F2986" w:rsidRPr="00DC2E74" w:rsidRDefault="005F2986" w:rsidP="009E4A4D">
      <w:pPr>
        <w:pStyle w:val="Odsekzoznamu"/>
        <w:spacing w:after="0" w:line="240" w:lineRule="auto"/>
        <w:ind w:left="284"/>
        <w:rPr>
          <w:bCs/>
          <w:iCs/>
          <w:sz w:val="21"/>
          <w:szCs w:val="21"/>
        </w:rPr>
      </w:pPr>
    </w:p>
    <w:p w14:paraId="71AC746A" w14:textId="77777777" w:rsidR="007F2DB4" w:rsidRPr="00DC2E74" w:rsidRDefault="007F2DB4">
      <w:pPr>
        <w:spacing w:after="0" w:line="240" w:lineRule="auto"/>
        <w:rPr>
          <w:rStyle w:val="Intenzvnezvraznenie"/>
        </w:rPr>
      </w:pPr>
    </w:p>
    <w:p w14:paraId="7FFAE956" w14:textId="77777777" w:rsidR="007F2DB4" w:rsidRPr="00DC2E74" w:rsidRDefault="006D092C" w:rsidP="009E4A4D">
      <w:pPr>
        <w:keepNext/>
        <w:spacing w:after="0" w:line="240" w:lineRule="auto"/>
        <w:rPr>
          <w:rStyle w:val="Intenzvnezvraznenie"/>
          <w:color w:val="0070C0"/>
        </w:rPr>
      </w:pPr>
      <w:r w:rsidRPr="00DC2E74">
        <w:rPr>
          <w:rStyle w:val="Intenzvnezvraznenie"/>
          <w:color w:val="0070C0"/>
        </w:rPr>
        <w:t>IV.2 Indikatívny časový a finančný harmonogram realizácie RIÚS/stratégie UMR</w:t>
      </w:r>
    </w:p>
    <w:p w14:paraId="57D6788F" w14:textId="77777777" w:rsidR="007F2DB4" w:rsidRPr="00DC2E74" w:rsidRDefault="007F2DB4" w:rsidP="009E4A4D">
      <w:pPr>
        <w:keepNext/>
        <w:spacing w:after="0" w:line="240" w:lineRule="auto"/>
        <w:rPr>
          <w:rStyle w:val="Intenzvnezvraznenie"/>
          <w:color w:val="0070C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549"/>
        <w:gridCol w:w="564"/>
        <w:gridCol w:w="619"/>
        <w:gridCol w:w="571"/>
        <w:gridCol w:w="571"/>
        <w:gridCol w:w="571"/>
        <w:gridCol w:w="571"/>
        <w:gridCol w:w="551"/>
        <w:gridCol w:w="571"/>
        <w:gridCol w:w="571"/>
        <w:gridCol w:w="1063"/>
      </w:tblGrid>
      <w:tr w:rsidR="007F2DB4" w:rsidRPr="00DC2E74" w14:paraId="2900F4BC" w14:textId="77777777">
        <w:trPr>
          <w:trHeight w:val="300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9DBEA94" w14:textId="77777777" w:rsidR="007F2DB4" w:rsidRPr="00DC2E74" w:rsidRDefault="007F2D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14:paraId="64C3076E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ROK</w:t>
            </w:r>
          </w:p>
        </w:tc>
      </w:tr>
      <w:tr w:rsidR="007F2DB4" w:rsidRPr="00DC2E74" w14:paraId="3CE35565" w14:textId="77777777">
        <w:trPr>
          <w:trHeight w:val="300"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B987BF" w14:textId="77777777" w:rsidR="007F2DB4" w:rsidRPr="00DC2E74" w:rsidRDefault="007F2D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C996DBE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25141D8B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FBE195E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ADFE3A6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A2D0922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CC42F2C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D52924F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3C3CD0B" w14:textId="77777777" w:rsidR="007F2DB4" w:rsidRPr="00DC2E74" w:rsidRDefault="006D09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99E11DD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0020104C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91DF23F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7F2DB4" w:rsidRPr="00DC2E74" w14:paraId="2213323E" w14:textId="77777777">
        <w:trPr>
          <w:trHeight w:val="3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EB3D" w14:textId="77777777" w:rsidR="007F2DB4" w:rsidRPr="00DC2E74" w:rsidRDefault="006D09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Názov špecifického cieľa 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846A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96BA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043B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4125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0FFE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5E29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3165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C1C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D1802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EC58A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D1D8C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</w:tr>
      <w:tr w:rsidR="007F2DB4" w:rsidRPr="00DC2E74" w14:paraId="0E858BEA" w14:textId="77777777">
        <w:trPr>
          <w:trHeight w:val="3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8B5" w14:textId="77777777" w:rsidR="007F2DB4" w:rsidRPr="00DC2E74" w:rsidRDefault="006D09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Názov špecifického cieľa 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CD4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27E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0D2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91FC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4524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52B1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1742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957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7FAB0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93B35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1311B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</w:tr>
      <w:tr w:rsidR="007F2DB4" w:rsidRPr="00DC2E74" w14:paraId="04327A94" w14:textId="77777777">
        <w:trPr>
          <w:trHeight w:val="3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ED7" w14:textId="77777777" w:rsidR="007F2DB4" w:rsidRPr="00DC2E74" w:rsidRDefault="006D09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Názov špecifického cieľa 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913D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AC28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7EB5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A91E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A2B0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1C05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CD1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5EF7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EF6AF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A5FF5" w14:textId="77777777" w:rsidR="007F2DB4" w:rsidRPr="00DC2E74" w:rsidRDefault="007F2D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FFF4F" w14:textId="77777777" w:rsidR="007F2DB4" w:rsidRPr="00DC2E74" w:rsidRDefault="006D09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sk-SK"/>
              </w:rPr>
            </w:pPr>
            <w:r w:rsidRPr="00DC2E74">
              <w:rPr>
                <w:rFonts w:eastAsia="Times New Roman"/>
                <w:color w:val="000000"/>
                <w:sz w:val="18"/>
                <w:szCs w:val="20"/>
                <w:lang w:eastAsia="sk-SK"/>
              </w:rPr>
              <w:t>mil. €</w:t>
            </w:r>
          </w:p>
        </w:tc>
      </w:tr>
    </w:tbl>
    <w:p w14:paraId="1F95436E" w14:textId="77777777" w:rsidR="007F2DB4" w:rsidRPr="00DC2E74" w:rsidRDefault="007F2DB4">
      <w:pPr>
        <w:spacing w:after="0" w:line="240" w:lineRule="auto"/>
        <w:rPr>
          <w:rStyle w:val="Intenzvnezvraznenie"/>
          <w:color w:val="0070C0"/>
        </w:rPr>
      </w:pPr>
    </w:p>
    <w:p w14:paraId="3C488743" w14:textId="77777777" w:rsidR="007F2DB4" w:rsidRPr="00DC2E74" w:rsidRDefault="007F2DB4">
      <w:pPr>
        <w:spacing w:after="0" w:line="240" w:lineRule="auto"/>
        <w:rPr>
          <w:rStyle w:val="Intenzvnezvraznenie"/>
          <w:color w:val="0070C0"/>
        </w:rPr>
      </w:pPr>
    </w:p>
    <w:p w14:paraId="4579E6F0" w14:textId="26212962" w:rsidR="007F2DB4" w:rsidRPr="00DC2E74" w:rsidRDefault="006D092C">
      <w:pPr>
        <w:spacing w:after="0" w:line="240" w:lineRule="auto"/>
        <w:rPr>
          <w:rStyle w:val="Intenzvnezvraznenie"/>
          <w:color w:val="0070C0"/>
        </w:rPr>
      </w:pPr>
      <w:r w:rsidRPr="00DC2E74">
        <w:rPr>
          <w:rStyle w:val="Intenzvnezvraznenie"/>
          <w:color w:val="0070C0"/>
        </w:rPr>
        <w:t xml:space="preserve">IV.3  </w:t>
      </w:r>
      <w:r w:rsidR="00373E2F" w:rsidRPr="00DC2E74">
        <w:rPr>
          <w:rStyle w:val="Intenzvnezvraznenie"/>
          <w:color w:val="0070C0"/>
        </w:rPr>
        <w:t>Indikatívny z</w:t>
      </w:r>
      <w:r w:rsidRPr="00DC2E74">
        <w:rPr>
          <w:rStyle w:val="Intenzvnezvraznenie"/>
          <w:color w:val="0070C0"/>
        </w:rPr>
        <w:t>ozn</w:t>
      </w:r>
      <w:r w:rsidR="00373E2F" w:rsidRPr="00DC2E74">
        <w:rPr>
          <w:rStyle w:val="Intenzvnezvraznenie"/>
          <w:color w:val="0070C0"/>
        </w:rPr>
        <w:t>am projektových zámerov</w:t>
      </w:r>
      <w:r>
        <w:rPr>
          <w:rStyle w:val="Intenzvnezvraznenie"/>
          <w:color w:val="0070C0"/>
        </w:rPr>
        <w:t xml:space="preserve">/návrhov </w:t>
      </w:r>
    </w:p>
    <w:p w14:paraId="709D579B" w14:textId="4C14651F" w:rsidR="007F2DB4" w:rsidRPr="009E4A4D" w:rsidRDefault="006D092C" w:rsidP="009E4A4D">
      <w:pPr>
        <w:spacing w:after="0" w:line="240" w:lineRule="auto"/>
        <w:jc w:val="both"/>
      </w:pPr>
      <w:r w:rsidRPr="009E4A4D">
        <w:t>Relevantné v prípade, ak sú pr</w:t>
      </w:r>
      <w:r w:rsidR="00373E2F" w:rsidRPr="009E4A4D">
        <w:t>edbežné projektové zámery</w:t>
      </w:r>
      <w:r>
        <w:rPr>
          <w:bCs/>
          <w:iCs/>
          <w:sz w:val="21"/>
          <w:szCs w:val="21"/>
        </w:rPr>
        <w:t>/návrhy</w:t>
      </w:r>
      <w:r w:rsidRPr="009E4A4D">
        <w:t xml:space="preserve"> v čase prípravy RIÚS/</w:t>
      </w:r>
      <w:r w:rsidR="009E4A4D">
        <w:t>IÚS</w:t>
      </w:r>
      <w:r w:rsidR="009E4A4D" w:rsidRPr="009E4A4D">
        <w:t xml:space="preserve"> </w:t>
      </w:r>
      <w:r w:rsidRPr="009E4A4D">
        <w:t>UMR známe. Ide o</w:t>
      </w:r>
      <w:r w:rsidR="009E4A4D">
        <w:t> predpokladaný predbežný</w:t>
      </w:r>
      <w:r w:rsidR="009E4A4D" w:rsidRPr="009E4A4D">
        <w:t xml:space="preserve"> </w:t>
      </w:r>
      <w:r w:rsidRPr="009E4A4D">
        <w:t>zoznam. Rozsah uvádzaných informácií závisí od ich disponibility v čase prípravy RIÚS/stratégie UMR.</w:t>
      </w:r>
    </w:p>
    <w:p w14:paraId="5F36CE04" w14:textId="77777777" w:rsidR="007F2DB4" w:rsidRPr="00DC2E74" w:rsidRDefault="005E1ED9" w:rsidP="009E4A4D">
      <w:pPr>
        <w:tabs>
          <w:tab w:val="left" w:pos="915"/>
        </w:tabs>
        <w:spacing w:after="0" w:line="240" w:lineRule="auto"/>
        <w:rPr>
          <w:bCs/>
          <w:iCs/>
          <w:sz w:val="21"/>
          <w:szCs w:val="21"/>
        </w:rPr>
      </w:pPr>
      <w:r w:rsidRPr="00DC2E74">
        <w:rPr>
          <w:bCs/>
          <w:iCs/>
          <w:sz w:val="21"/>
          <w:szCs w:val="21"/>
        </w:rPr>
        <w:tab/>
      </w:r>
    </w:p>
    <w:p w14:paraId="548A6145" w14:textId="431990F3" w:rsidR="007F2DB4" w:rsidRPr="00DC2E74" w:rsidRDefault="006D092C" w:rsidP="009E4A4D">
      <w:pPr>
        <w:spacing w:after="0" w:line="240" w:lineRule="auto"/>
        <w:rPr>
          <w:b/>
          <w:bCs/>
          <w:i/>
          <w:color w:val="0070C0"/>
        </w:rPr>
      </w:pPr>
      <w:r w:rsidRPr="00DC2E74">
        <w:rPr>
          <w:b/>
          <w:bCs/>
          <w:i/>
          <w:color w:val="0070C0"/>
        </w:rPr>
        <w:t xml:space="preserve">Vzor: </w:t>
      </w:r>
      <w:r w:rsidR="00373E2F" w:rsidRPr="00DC2E74">
        <w:rPr>
          <w:b/>
          <w:bCs/>
          <w:i/>
          <w:color w:val="0070C0"/>
        </w:rPr>
        <w:t>Indikatívny z</w:t>
      </w:r>
      <w:r w:rsidRPr="00DC2E74">
        <w:rPr>
          <w:b/>
          <w:bCs/>
          <w:i/>
          <w:color w:val="0070C0"/>
        </w:rPr>
        <w:t>oznam projektových zámerov</w:t>
      </w:r>
      <w:r>
        <w:rPr>
          <w:b/>
          <w:bCs/>
          <w:i/>
          <w:color w:val="0070C0"/>
        </w:rPr>
        <w:t>/návrhov</w:t>
      </w:r>
      <w:r w:rsidR="00373E2F" w:rsidRPr="00DC2E74">
        <w:rPr>
          <w:b/>
          <w:bCs/>
          <w:i/>
          <w:color w:val="0070C0"/>
        </w:rPr>
        <w:t xml:space="preserve"> </w:t>
      </w:r>
      <w:r w:rsidRPr="00DC2E74">
        <w:rPr>
          <w:b/>
          <w:bCs/>
          <w:i/>
          <w:color w:val="0070C0"/>
        </w:rPr>
        <w:t xml:space="preserve"> RIÚS/</w:t>
      </w:r>
      <w:r w:rsidR="009E4A4D">
        <w:rPr>
          <w:b/>
          <w:bCs/>
          <w:i/>
          <w:color w:val="0070C0"/>
        </w:rPr>
        <w:t xml:space="preserve">IÚS </w:t>
      </w:r>
      <w:r w:rsidRPr="00DC2E74">
        <w:rPr>
          <w:b/>
          <w:bCs/>
          <w:i/>
          <w:color w:val="0070C0"/>
        </w:rPr>
        <w:t>UMR v rámci IROP</w:t>
      </w:r>
    </w:p>
    <w:p w14:paraId="5BC26A88" w14:textId="77777777" w:rsidR="007F2DB4" w:rsidRPr="00DC2E74" w:rsidRDefault="007F2DB4">
      <w:pPr>
        <w:spacing w:after="0" w:line="240" w:lineRule="auto"/>
        <w:rPr>
          <w:b/>
          <w:bCs/>
          <w:i/>
          <w:iCs/>
          <w:sz w:val="21"/>
          <w:szCs w:val="21"/>
        </w:rPr>
      </w:pPr>
    </w:p>
    <w:tbl>
      <w:tblPr>
        <w:tblStyle w:val="Mriekatabuky"/>
        <w:tblW w:w="4884" w:type="pct"/>
        <w:tblInd w:w="108" w:type="dxa"/>
        <w:tblLook w:val="04A0" w:firstRow="1" w:lastRow="0" w:firstColumn="1" w:lastColumn="0" w:noHBand="0" w:noVBand="1"/>
      </w:tblPr>
      <w:tblGrid>
        <w:gridCol w:w="427"/>
        <w:gridCol w:w="1274"/>
        <w:gridCol w:w="1844"/>
        <w:gridCol w:w="1276"/>
        <w:gridCol w:w="1559"/>
        <w:gridCol w:w="1608"/>
        <w:gridCol w:w="1085"/>
      </w:tblGrid>
      <w:tr w:rsidR="007F2DB4" w:rsidRPr="00DC2E74" w14:paraId="6EA7AD6F" w14:textId="77777777" w:rsidTr="009E4A4D">
        <w:tc>
          <w:tcPr>
            <w:tcW w:w="235" w:type="pct"/>
          </w:tcPr>
          <w:p w14:paraId="4C7DD4C6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P. č.</w:t>
            </w:r>
          </w:p>
        </w:tc>
        <w:tc>
          <w:tcPr>
            <w:tcW w:w="702" w:type="pct"/>
          </w:tcPr>
          <w:p w14:paraId="125882F4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Špecifický cieľ</w:t>
            </w:r>
          </w:p>
        </w:tc>
        <w:tc>
          <w:tcPr>
            <w:tcW w:w="1016" w:type="pct"/>
          </w:tcPr>
          <w:p w14:paraId="68A48801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Názov</w:t>
            </w:r>
          </w:p>
          <w:p w14:paraId="0B028581" w14:textId="77777777" w:rsidR="007F2DB4" w:rsidRPr="00DC2E74" w:rsidRDefault="007F2DB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pct"/>
          </w:tcPr>
          <w:p w14:paraId="7AC851FE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Aktivity</w:t>
            </w:r>
          </w:p>
        </w:tc>
        <w:tc>
          <w:tcPr>
            <w:tcW w:w="859" w:type="pct"/>
          </w:tcPr>
          <w:p w14:paraId="71FE7CF3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Predkladateľ</w:t>
            </w:r>
          </w:p>
        </w:tc>
        <w:tc>
          <w:tcPr>
            <w:tcW w:w="886" w:type="pct"/>
          </w:tcPr>
          <w:p w14:paraId="4B0C63E6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Územná investičná jednotka</w:t>
            </w:r>
          </w:p>
        </w:tc>
        <w:tc>
          <w:tcPr>
            <w:tcW w:w="598" w:type="pct"/>
          </w:tcPr>
          <w:p w14:paraId="35613E81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Plánovaná hodnota v €</w:t>
            </w:r>
          </w:p>
        </w:tc>
      </w:tr>
      <w:tr w:rsidR="007F2DB4" w:rsidRPr="00DC2E74" w14:paraId="6470F764" w14:textId="77777777" w:rsidTr="009E4A4D">
        <w:tc>
          <w:tcPr>
            <w:tcW w:w="235" w:type="pct"/>
          </w:tcPr>
          <w:p w14:paraId="31B55B9C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158832E3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6" w:type="pct"/>
          </w:tcPr>
          <w:p w14:paraId="2514DF52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CC810C0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9" w:type="pct"/>
          </w:tcPr>
          <w:p w14:paraId="123765ED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6" w:type="pct"/>
          </w:tcPr>
          <w:p w14:paraId="724DF635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8" w:type="pct"/>
          </w:tcPr>
          <w:p w14:paraId="33EB498A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F2DB4" w:rsidRPr="00DC2E74" w14:paraId="3D275F1E" w14:textId="77777777" w:rsidTr="009E4A4D">
        <w:tc>
          <w:tcPr>
            <w:tcW w:w="235" w:type="pct"/>
          </w:tcPr>
          <w:p w14:paraId="5CCFA360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24BB70DE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6" w:type="pct"/>
          </w:tcPr>
          <w:p w14:paraId="45E5CA11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pct"/>
          </w:tcPr>
          <w:p w14:paraId="1B85CAB7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9" w:type="pct"/>
          </w:tcPr>
          <w:p w14:paraId="76BE8E77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6" w:type="pct"/>
          </w:tcPr>
          <w:p w14:paraId="076C7015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8" w:type="pct"/>
          </w:tcPr>
          <w:p w14:paraId="66148B0D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F2DB4" w:rsidRPr="00DC2E74" w14:paraId="1DE9EABE" w14:textId="77777777" w:rsidTr="009E4A4D">
        <w:tc>
          <w:tcPr>
            <w:tcW w:w="235" w:type="pct"/>
          </w:tcPr>
          <w:p w14:paraId="2A78E33B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7AB22665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6" w:type="pct"/>
          </w:tcPr>
          <w:p w14:paraId="1F77FA56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pct"/>
          </w:tcPr>
          <w:p w14:paraId="58CB82A4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9" w:type="pct"/>
          </w:tcPr>
          <w:p w14:paraId="125FBFC6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6" w:type="pct"/>
          </w:tcPr>
          <w:p w14:paraId="7E4CBB82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8" w:type="pct"/>
          </w:tcPr>
          <w:p w14:paraId="60C26D59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F2DB4" w:rsidRPr="00DC2E74" w14:paraId="66AD8E86" w14:textId="77777777" w:rsidTr="009E4A4D">
        <w:tc>
          <w:tcPr>
            <w:tcW w:w="235" w:type="pct"/>
          </w:tcPr>
          <w:p w14:paraId="31DF34B8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pct"/>
          </w:tcPr>
          <w:p w14:paraId="5AF64B70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6" w:type="pct"/>
          </w:tcPr>
          <w:p w14:paraId="35B8E44D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pct"/>
          </w:tcPr>
          <w:p w14:paraId="111B24EF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9" w:type="pct"/>
          </w:tcPr>
          <w:p w14:paraId="596498D3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6" w:type="pct"/>
          </w:tcPr>
          <w:p w14:paraId="0347B2BE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8" w:type="pct"/>
          </w:tcPr>
          <w:p w14:paraId="70A0DF90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2B419B26" w14:textId="77777777" w:rsidR="00C47447" w:rsidRPr="00DC2E74" w:rsidRDefault="00C47447" w:rsidP="009E4A4D">
      <w:pPr>
        <w:spacing w:after="0" w:line="240" w:lineRule="auto"/>
        <w:jc w:val="both"/>
        <w:rPr>
          <w:bCs/>
          <w:iCs/>
          <w:szCs w:val="21"/>
        </w:rPr>
      </w:pPr>
    </w:p>
    <w:p w14:paraId="0EE9CCEF" w14:textId="7CB992B2" w:rsidR="007F2DB4" w:rsidRPr="009E4A4D" w:rsidRDefault="006D092C">
      <w:pPr>
        <w:spacing w:after="0" w:line="240" w:lineRule="auto"/>
        <w:jc w:val="both"/>
      </w:pPr>
      <w:r w:rsidRPr="009E4A4D">
        <w:t>Do RIÚS/stratégie UMR je možné zahrnúť projektové zámery</w:t>
      </w:r>
      <w:r>
        <w:rPr>
          <w:bCs/>
          <w:iCs/>
          <w:sz w:val="21"/>
          <w:szCs w:val="21"/>
        </w:rPr>
        <w:t>/návrhy</w:t>
      </w:r>
      <w:r w:rsidRPr="009E4A4D">
        <w:t xml:space="preserve"> z iných programov podľa podmienok v nich uvedených, pokiaľ tieto zapojenia do RIÚS/stratégie UMR, resp. zvýhodnenie v nich obsiahnutých projektov predpokladajú.</w:t>
      </w:r>
      <w:r w:rsidRPr="009E4A4D">
        <w:rPr>
          <w:sz w:val="24"/>
        </w:rPr>
        <w:t xml:space="preserve"> </w:t>
      </w:r>
      <w:r w:rsidRPr="009E4A4D">
        <w:t>Rozsah uvádzaných informácií závisí od ich disponibility v čase prípravy RIÚS/stratégie UMR, príp. od podmienok uvedených v konkrétnych programoch.</w:t>
      </w:r>
    </w:p>
    <w:p w14:paraId="3A67B548" w14:textId="77777777" w:rsidR="00373E2F" w:rsidRPr="00DC2E74" w:rsidRDefault="00373E2F">
      <w:pPr>
        <w:spacing w:after="0" w:line="240" w:lineRule="auto"/>
        <w:jc w:val="center"/>
        <w:rPr>
          <w:b/>
          <w:bCs/>
          <w:i/>
          <w:color w:val="0070C0"/>
        </w:rPr>
      </w:pPr>
    </w:p>
    <w:p w14:paraId="37A2576F" w14:textId="62A5C603" w:rsidR="007F2DB4" w:rsidRPr="00DC2E74" w:rsidRDefault="006D092C" w:rsidP="009E4A4D">
      <w:pPr>
        <w:spacing w:after="0" w:line="240" w:lineRule="auto"/>
      </w:pPr>
      <w:r w:rsidRPr="00DC2E74">
        <w:rPr>
          <w:b/>
          <w:bCs/>
          <w:i/>
          <w:color w:val="0070C0"/>
        </w:rPr>
        <w:t>Vzor: Zoznam projektových zámerov</w:t>
      </w:r>
      <w:r>
        <w:rPr>
          <w:b/>
          <w:bCs/>
          <w:i/>
          <w:color w:val="0070C0"/>
        </w:rPr>
        <w:t>/návrhov</w:t>
      </w:r>
      <w:r w:rsidRPr="00DC2E74">
        <w:rPr>
          <w:b/>
          <w:bCs/>
          <w:i/>
          <w:color w:val="0070C0"/>
        </w:rPr>
        <w:t xml:space="preserve"> RIÚS/</w:t>
      </w:r>
      <w:r w:rsidR="009E4A4D">
        <w:rPr>
          <w:b/>
          <w:bCs/>
          <w:i/>
          <w:color w:val="0070C0"/>
        </w:rPr>
        <w:t>IÚS</w:t>
      </w:r>
      <w:r w:rsidR="009E4A4D" w:rsidRPr="00DC2E74">
        <w:rPr>
          <w:b/>
          <w:bCs/>
          <w:i/>
          <w:color w:val="0070C0"/>
        </w:rPr>
        <w:t xml:space="preserve"> </w:t>
      </w:r>
      <w:r w:rsidRPr="00DC2E74">
        <w:rPr>
          <w:b/>
          <w:bCs/>
          <w:i/>
          <w:color w:val="0070C0"/>
        </w:rPr>
        <w:t>UMR v rámci iných programov</w:t>
      </w:r>
    </w:p>
    <w:p w14:paraId="6A0113B7" w14:textId="77777777" w:rsidR="007F2DB4" w:rsidRPr="00DC2E74" w:rsidRDefault="007F2DB4">
      <w:pPr>
        <w:spacing w:after="0" w:line="240" w:lineRule="auto"/>
        <w:rPr>
          <w:rStyle w:val="Intenzvnezvraznenie"/>
          <w:color w:val="0070C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276"/>
        <w:gridCol w:w="1276"/>
        <w:gridCol w:w="1467"/>
        <w:gridCol w:w="1084"/>
      </w:tblGrid>
      <w:tr w:rsidR="007F2DB4" w:rsidRPr="00DC2E74" w14:paraId="2878B7E2" w14:textId="77777777" w:rsidTr="009E4A4D">
        <w:tc>
          <w:tcPr>
            <w:tcW w:w="9072" w:type="dxa"/>
            <w:gridSpan w:val="7"/>
          </w:tcPr>
          <w:p w14:paraId="465E3DE1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Operačný program</w:t>
            </w:r>
          </w:p>
        </w:tc>
      </w:tr>
      <w:tr w:rsidR="007F2DB4" w:rsidRPr="00DC2E74" w14:paraId="7C4C8DD3" w14:textId="77777777" w:rsidTr="009E4A4D">
        <w:tc>
          <w:tcPr>
            <w:tcW w:w="426" w:type="dxa"/>
          </w:tcPr>
          <w:p w14:paraId="3A331618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P. č.</w:t>
            </w:r>
          </w:p>
        </w:tc>
        <w:tc>
          <w:tcPr>
            <w:tcW w:w="1842" w:type="dxa"/>
          </w:tcPr>
          <w:p w14:paraId="54E36B03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Prioritná os/ Investičná priorita/ Špecifický cieľ</w:t>
            </w:r>
          </w:p>
        </w:tc>
        <w:tc>
          <w:tcPr>
            <w:tcW w:w="1701" w:type="dxa"/>
          </w:tcPr>
          <w:p w14:paraId="338D3931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Názov</w:t>
            </w:r>
          </w:p>
          <w:p w14:paraId="4BD7E43E" w14:textId="77777777" w:rsidR="007F2DB4" w:rsidRPr="00DC2E74" w:rsidRDefault="007F2DB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5BF764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Aktivity</w:t>
            </w:r>
          </w:p>
        </w:tc>
        <w:tc>
          <w:tcPr>
            <w:tcW w:w="1276" w:type="dxa"/>
          </w:tcPr>
          <w:p w14:paraId="472E7B23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Predkladateľ</w:t>
            </w:r>
          </w:p>
        </w:tc>
        <w:tc>
          <w:tcPr>
            <w:tcW w:w="1467" w:type="dxa"/>
          </w:tcPr>
          <w:p w14:paraId="5D36D650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Územná investičná jednotka</w:t>
            </w:r>
          </w:p>
        </w:tc>
        <w:tc>
          <w:tcPr>
            <w:tcW w:w="1084" w:type="dxa"/>
          </w:tcPr>
          <w:p w14:paraId="1BC8AAC8" w14:textId="77777777" w:rsidR="007F2DB4" w:rsidRPr="00DC2E74" w:rsidRDefault="006D092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C2E74">
              <w:rPr>
                <w:bCs/>
                <w:i/>
                <w:iCs/>
                <w:sz w:val="16"/>
                <w:szCs w:val="16"/>
              </w:rPr>
              <w:t>Plánovaná hodnota v €</w:t>
            </w:r>
          </w:p>
        </w:tc>
      </w:tr>
      <w:tr w:rsidR="007F2DB4" w:rsidRPr="00DC2E74" w14:paraId="3B6F2C72" w14:textId="77777777" w:rsidTr="009E4A4D">
        <w:tc>
          <w:tcPr>
            <w:tcW w:w="426" w:type="dxa"/>
          </w:tcPr>
          <w:p w14:paraId="1FE9C952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DD1764" w14:textId="77777777" w:rsidR="007F2DB4" w:rsidRPr="00DC2E74" w:rsidRDefault="007F2DB4" w:rsidP="009E4A4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D757E8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42D6F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5FC01C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E59C246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747EB192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F2DB4" w:rsidRPr="00DC2E74" w14:paraId="2E19BC87" w14:textId="77777777" w:rsidTr="009E4A4D">
        <w:tc>
          <w:tcPr>
            <w:tcW w:w="426" w:type="dxa"/>
          </w:tcPr>
          <w:p w14:paraId="3308D560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EE940C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277D5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C20BC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0BDF6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A347555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79863E87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F2DB4" w:rsidRPr="00DC2E74" w14:paraId="785AA785" w14:textId="77777777" w:rsidTr="009E4A4D">
        <w:tc>
          <w:tcPr>
            <w:tcW w:w="426" w:type="dxa"/>
          </w:tcPr>
          <w:p w14:paraId="2C6247B5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65BB3A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C7D0E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66BE3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C5A938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8F9CDAA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5253EA91" w14:textId="77777777" w:rsidR="007F2DB4" w:rsidRPr="00DC2E74" w:rsidRDefault="007F2DB4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48D99A45" w14:textId="77777777" w:rsidR="00A964AD" w:rsidRPr="00DC2E74" w:rsidRDefault="00A964AD">
      <w:pPr>
        <w:spacing w:after="0" w:line="240" w:lineRule="auto"/>
        <w:rPr>
          <w:rStyle w:val="Intenzvnezvraznenie"/>
          <w:color w:val="0070C0"/>
        </w:rPr>
      </w:pPr>
    </w:p>
    <w:p w14:paraId="5F0013C5" w14:textId="77777777" w:rsidR="007F2DB4" w:rsidRPr="00DC2E74" w:rsidRDefault="006D092C">
      <w:pPr>
        <w:spacing w:after="0" w:line="240" w:lineRule="auto"/>
        <w:rPr>
          <w:rStyle w:val="Intenzvnezvraznenie"/>
          <w:color w:val="0070C0"/>
        </w:rPr>
      </w:pPr>
      <w:r w:rsidRPr="00DC2E74">
        <w:rPr>
          <w:rStyle w:val="Intenzvnezvraznenie"/>
          <w:color w:val="0070C0"/>
        </w:rPr>
        <w:t>IV.4 Monitorovanie RIÚS/stratégie UMR</w:t>
      </w:r>
    </w:p>
    <w:p w14:paraId="21034A14" w14:textId="3AC49641" w:rsidR="007F2DB4" w:rsidRPr="009E4A4D" w:rsidRDefault="006D092C" w:rsidP="009E4A4D">
      <w:pPr>
        <w:pStyle w:val="Odsekzoznamu"/>
        <w:numPr>
          <w:ilvl w:val="0"/>
          <w:numId w:val="4"/>
        </w:numPr>
        <w:ind w:left="284"/>
        <w:jc w:val="both"/>
      </w:pPr>
      <w:r w:rsidRPr="009E4A4D">
        <w:t>špecifikácia orgánov, ktoré budú plniť úlohy v oblasti monitorovania na úrovni RIÚS/</w:t>
      </w:r>
      <w:r w:rsidR="00F9689D">
        <w:t>IÚS</w:t>
      </w:r>
      <w:r w:rsidR="00F9689D" w:rsidRPr="009E4A4D">
        <w:t xml:space="preserve"> </w:t>
      </w:r>
      <w:r w:rsidR="00D05875" w:rsidRPr="009E4A4D">
        <w:t>UMR vo vzťahu k RO pre IROP</w:t>
      </w:r>
      <w:r w:rsidR="00D05875" w:rsidRPr="00DC2E74">
        <w:rPr>
          <w:iCs/>
          <w:szCs w:val="21"/>
        </w:rPr>
        <w:t>;</w:t>
      </w:r>
    </w:p>
    <w:p w14:paraId="163DAF1E" w14:textId="7C437663" w:rsidR="007F2DB4" w:rsidRPr="009E4A4D" w:rsidRDefault="006D092C" w:rsidP="009E4A4D">
      <w:pPr>
        <w:pStyle w:val="Odsekzoznamu"/>
        <w:numPr>
          <w:ilvl w:val="0"/>
          <w:numId w:val="4"/>
        </w:numPr>
        <w:ind w:left="284" w:hanging="284"/>
        <w:jc w:val="both"/>
      </w:pPr>
      <w:r w:rsidRPr="009E4A4D">
        <w:t>popis spôsobu spol</w:t>
      </w:r>
      <w:r w:rsidR="00D05875" w:rsidRPr="009E4A4D">
        <w:t>upráce OK pre RIÚS s OK pre UMR</w:t>
      </w:r>
      <w:r w:rsidR="00D05875" w:rsidRPr="00DC2E74">
        <w:rPr>
          <w:iCs/>
          <w:szCs w:val="21"/>
        </w:rPr>
        <w:t>;</w:t>
      </w:r>
    </w:p>
    <w:p w14:paraId="5773E12C" w14:textId="2FD19FF4" w:rsidR="007F2DB4" w:rsidRPr="009E4A4D" w:rsidRDefault="006D092C" w:rsidP="00DC2E74">
      <w:pPr>
        <w:pStyle w:val="Odsekzoznamu"/>
        <w:numPr>
          <w:ilvl w:val="0"/>
          <w:numId w:val="4"/>
        </w:numPr>
        <w:ind w:left="284" w:hanging="284"/>
        <w:jc w:val="both"/>
      </w:pPr>
      <w:r w:rsidRPr="009E4A4D">
        <w:t>popis spôsobu zabezpečenia</w:t>
      </w:r>
      <w:r w:rsidR="00F9689D">
        <w:t xml:space="preserve"> a rozsahu</w:t>
      </w:r>
      <w:r w:rsidRPr="009E4A4D">
        <w:t xml:space="preserve"> monitorovania na úrovni</w:t>
      </w:r>
      <w:r w:rsidR="00F9689D">
        <w:t xml:space="preserve"> RIÚS/IÚS UMR a na úrovni</w:t>
      </w:r>
      <w:r w:rsidRPr="009E4A4D">
        <w:t xml:space="preserve"> projektov, vrátane projektov realizovaných v rámci UMR. </w:t>
      </w:r>
    </w:p>
    <w:p w14:paraId="13923592" w14:textId="77777777" w:rsidR="007F2DB4" w:rsidRPr="00DC2E74" w:rsidRDefault="006D092C">
      <w:pPr>
        <w:spacing w:after="0" w:line="240" w:lineRule="auto"/>
        <w:rPr>
          <w:rStyle w:val="Intenzvnezvraznenie"/>
          <w:color w:val="0070C0"/>
        </w:rPr>
      </w:pPr>
      <w:r w:rsidRPr="00DC2E74">
        <w:rPr>
          <w:rStyle w:val="Intenzvnezvraznenie"/>
          <w:color w:val="0070C0"/>
        </w:rPr>
        <w:t xml:space="preserve">IV.5 Hodnotenie RIÚS/stratégie UMR   </w:t>
      </w:r>
    </w:p>
    <w:p w14:paraId="6B1DDAAF" w14:textId="046B89F5" w:rsidR="007F2DB4" w:rsidRPr="009E4A4D" w:rsidRDefault="006D092C" w:rsidP="009E4A4D">
      <w:pPr>
        <w:pStyle w:val="Odsekzoznamu"/>
        <w:numPr>
          <w:ilvl w:val="0"/>
          <w:numId w:val="4"/>
        </w:numPr>
        <w:ind w:left="284" w:hanging="284"/>
        <w:jc w:val="both"/>
      </w:pPr>
      <w:r w:rsidRPr="009E4A4D">
        <w:t xml:space="preserve">špecifikácia orgánov, ktoré budú plniť úlohy v oblasti hodnotenia </w:t>
      </w:r>
      <w:r w:rsidR="007C0870" w:rsidRPr="00DC2E74">
        <w:rPr>
          <w:iCs/>
          <w:szCs w:val="21"/>
        </w:rPr>
        <w:t xml:space="preserve">RIÚS/ </w:t>
      </w:r>
      <w:r w:rsidR="009E4A4D">
        <w:rPr>
          <w:iCs/>
          <w:szCs w:val="21"/>
        </w:rPr>
        <w:t>IÚS</w:t>
      </w:r>
      <w:r w:rsidR="007C0870" w:rsidRPr="00DC2E74">
        <w:rPr>
          <w:iCs/>
          <w:szCs w:val="21"/>
        </w:rPr>
        <w:t xml:space="preserve"> UMR </w:t>
      </w:r>
      <w:r w:rsidR="00D05875" w:rsidRPr="009E4A4D">
        <w:t>vo vzťahu k RO pre IROP</w:t>
      </w:r>
      <w:r w:rsidR="00D05875" w:rsidRPr="00DC2E74">
        <w:rPr>
          <w:iCs/>
          <w:szCs w:val="21"/>
        </w:rPr>
        <w:t>;</w:t>
      </w:r>
    </w:p>
    <w:p w14:paraId="735B51B3" w14:textId="006E018B" w:rsidR="007F2DB4" w:rsidRPr="009E4A4D" w:rsidRDefault="006D092C" w:rsidP="009E4A4D">
      <w:pPr>
        <w:pStyle w:val="Odsekzoznamu"/>
        <w:numPr>
          <w:ilvl w:val="0"/>
          <w:numId w:val="4"/>
        </w:numPr>
        <w:ind w:left="284" w:hanging="284"/>
        <w:jc w:val="both"/>
      </w:pPr>
      <w:r w:rsidRPr="009E4A4D">
        <w:t>popis spôsobu spol</w:t>
      </w:r>
      <w:r w:rsidR="00D05875" w:rsidRPr="009E4A4D">
        <w:t>upráce OK pre RIÚS s OK pre UMR</w:t>
      </w:r>
      <w:r w:rsidR="00D05875" w:rsidRPr="00DC2E74">
        <w:rPr>
          <w:iCs/>
          <w:szCs w:val="21"/>
        </w:rPr>
        <w:t>;</w:t>
      </w:r>
    </w:p>
    <w:p w14:paraId="115A300C" w14:textId="77777777" w:rsidR="007F2DB4" w:rsidRPr="009E4A4D" w:rsidRDefault="006D092C" w:rsidP="009E4A4D">
      <w:pPr>
        <w:pStyle w:val="Odsekzoznamu"/>
        <w:numPr>
          <w:ilvl w:val="0"/>
          <w:numId w:val="4"/>
        </w:numPr>
        <w:ind w:left="284" w:hanging="284"/>
        <w:jc w:val="both"/>
      </w:pPr>
      <w:r w:rsidRPr="009E4A4D">
        <w:t xml:space="preserve">predbežný časový plán hodnotení a ich predmet. </w:t>
      </w:r>
    </w:p>
    <w:p w14:paraId="4BF2051D" w14:textId="77777777" w:rsidR="007F2DB4" w:rsidRPr="00DC2E74" w:rsidRDefault="006D092C">
      <w:pPr>
        <w:pStyle w:val="Nadpis1"/>
        <w:shd w:val="clear" w:color="auto" w:fill="B8CCE4"/>
      </w:pPr>
      <w:r w:rsidRPr="00DC2E74">
        <w:t>V. Prílohy</w:t>
      </w:r>
    </w:p>
    <w:p w14:paraId="1EBB11B0" w14:textId="77777777" w:rsidR="007F2DB4" w:rsidRPr="00DC2E74" w:rsidRDefault="007F2DB4">
      <w:pPr>
        <w:rPr>
          <w:sz w:val="21"/>
          <w:szCs w:val="21"/>
        </w:rPr>
      </w:pPr>
    </w:p>
    <w:p w14:paraId="09A252D9" w14:textId="41A99FF2" w:rsidR="00C47447" w:rsidRPr="00F9689D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</w:pPr>
      <w:r w:rsidRPr="00DC2E74">
        <w:rPr>
          <w:szCs w:val="21"/>
        </w:rPr>
        <w:t>Stručná</w:t>
      </w:r>
      <w:r w:rsidRPr="009E4A4D">
        <w:t xml:space="preserve"> charakteristika územia </w:t>
      </w:r>
      <w:r w:rsidRPr="00DC2E74">
        <w:rPr>
          <w:szCs w:val="21"/>
        </w:rPr>
        <w:t>kraja</w:t>
      </w:r>
      <w:r w:rsidRPr="00F9689D">
        <w:t>, resp. funkčného územia pre UMR</w:t>
      </w:r>
      <w:r w:rsidRPr="00DC2E74">
        <w:rPr>
          <w:szCs w:val="21"/>
        </w:rPr>
        <w:t>;</w:t>
      </w:r>
    </w:p>
    <w:p w14:paraId="3351145E" w14:textId="522CA6B6" w:rsidR="00C47447" w:rsidRPr="00F9689D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</w:pPr>
      <w:r w:rsidRPr="00DC2E74">
        <w:rPr>
          <w:szCs w:val="21"/>
        </w:rPr>
        <w:t>Zoznam</w:t>
      </w:r>
      <w:r w:rsidRPr="00F9689D">
        <w:t xml:space="preserve"> subjektov tvoriacich širšie Partnerstvo (pokiaľ nie je totožné s Radou Partnerstva pre RIÚS</w:t>
      </w:r>
      <w:r w:rsidRPr="00DC2E74">
        <w:rPr>
          <w:szCs w:val="21"/>
        </w:rPr>
        <w:t>,</w:t>
      </w:r>
      <w:r w:rsidRPr="00F9689D">
        <w:t xml:space="preserve"> resp. Radou Partnerstva pre UMR</w:t>
      </w:r>
      <w:r w:rsidRPr="00DC2E74">
        <w:rPr>
          <w:szCs w:val="21"/>
        </w:rPr>
        <w:t>);</w:t>
      </w:r>
      <w:r w:rsidRPr="00F9689D">
        <w:t xml:space="preserve"> </w:t>
      </w:r>
    </w:p>
    <w:p w14:paraId="48872334" w14:textId="4370FC60" w:rsidR="00C47447" w:rsidRPr="00F9689D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</w:pPr>
      <w:r w:rsidRPr="00DC2E74">
        <w:rPr>
          <w:szCs w:val="21"/>
        </w:rPr>
        <w:t>Zoznam</w:t>
      </w:r>
      <w:r w:rsidRPr="00F9689D">
        <w:t xml:space="preserve"> členov Rady Partnerstva pre RIÚS, príp. zoznam členov Rady Partnerstva pre UMR</w:t>
      </w:r>
      <w:r w:rsidRPr="00DC2E74">
        <w:rPr>
          <w:szCs w:val="21"/>
        </w:rPr>
        <w:t>;</w:t>
      </w:r>
      <w:r w:rsidRPr="00F9689D">
        <w:t xml:space="preserve"> </w:t>
      </w:r>
    </w:p>
    <w:p w14:paraId="035E5F8E" w14:textId="7667D3EE" w:rsidR="00C47447" w:rsidRPr="00F9689D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</w:pPr>
      <w:r w:rsidRPr="00DC2E74">
        <w:rPr>
          <w:szCs w:val="21"/>
        </w:rPr>
        <w:lastRenderedPageBreak/>
        <w:t>Zoznam</w:t>
      </w:r>
      <w:r w:rsidRPr="00F9689D">
        <w:t xml:space="preserve"> subjektov tvoriacich územie funkčnej mestskej oblasti pre realizáciu opatrení UMR</w:t>
      </w:r>
      <w:r w:rsidRPr="00DC2E74">
        <w:rPr>
          <w:szCs w:val="21"/>
        </w:rPr>
        <w:t>;</w:t>
      </w:r>
    </w:p>
    <w:p w14:paraId="56848002" w14:textId="083A52CA" w:rsidR="00C47447" w:rsidRPr="00F9689D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</w:pPr>
      <w:r w:rsidRPr="00DC2E74">
        <w:rPr>
          <w:szCs w:val="21"/>
        </w:rPr>
        <w:t>Zoznam</w:t>
      </w:r>
      <w:r w:rsidRPr="00F9689D">
        <w:t xml:space="preserve"> a zloženie odborných poradných skupín </w:t>
      </w:r>
      <w:r w:rsidRPr="00DC2E74">
        <w:rPr>
          <w:szCs w:val="21"/>
        </w:rPr>
        <w:t>podieľajúcich sa na tvorbe RIÚS;</w:t>
      </w:r>
    </w:p>
    <w:p w14:paraId="06305730" w14:textId="77777777" w:rsidR="00C47447" w:rsidRPr="00DC2E74" w:rsidRDefault="00C47447" w:rsidP="00DC2E74">
      <w:pPr>
        <w:pStyle w:val="Odsekzoznamu"/>
        <w:numPr>
          <w:ilvl w:val="0"/>
          <w:numId w:val="4"/>
        </w:numPr>
        <w:ind w:left="284" w:hanging="284"/>
        <w:jc w:val="both"/>
        <w:rPr>
          <w:szCs w:val="21"/>
        </w:rPr>
      </w:pPr>
      <w:r w:rsidRPr="00DC2E74">
        <w:rPr>
          <w:szCs w:val="21"/>
        </w:rPr>
        <w:t>Zoznam použitých zdrojov (napr. použitá literatúra, štatistické údaje, strategické dokumenty a</w:t>
      </w:r>
      <w:r w:rsidR="00DC2E74" w:rsidRPr="00DC2E74">
        <w:rPr>
          <w:szCs w:val="21"/>
        </w:rPr>
        <w:t xml:space="preserve"> </w:t>
      </w:r>
      <w:r w:rsidRPr="00DC2E74">
        <w:rPr>
          <w:szCs w:val="21"/>
        </w:rPr>
        <w:t>pod.);</w:t>
      </w:r>
    </w:p>
    <w:p w14:paraId="078D895C" w14:textId="16FA2708" w:rsidR="00C47447" w:rsidRPr="00F9689D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</w:pPr>
      <w:r w:rsidRPr="00DC2E74">
        <w:rPr>
          <w:szCs w:val="21"/>
        </w:rPr>
        <w:t>Skúsenosti</w:t>
      </w:r>
      <w:r w:rsidRPr="00F9689D">
        <w:t xml:space="preserve"> z implementácie projektov financovaných z fondov EÚ, príp. z iných fondov v programovom období 2007-2013</w:t>
      </w:r>
      <w:r w:rsidRPr="00DC2E74">
        <w:rPr>
          <w:szCs w:val="21"/>
        </w:rPr>
        <w:t>;</w:t>
      </w:r>
    </w:p>
    <w:p w14:paraId="5BDB3562" w14:textId="5787A5B1" w:rsidR="00C47447" w:rsidRPr="00F9689D" w:rsidRDefault="00C47447" w:rsidP="00F9689D">
      <w:pPr>
        <w:pStyle w:val="Odsekzoznamu"/>
        <w:numPr>
          <w:ilvl w:val="0"/>
          <w:numId w:val="4"/>
        </w:numPr>
        <w:ind w:left="284" w:hanging="284"/>
        <w:jc w:val="both"/>
      </w:pPr>
      <w:r w:rsidRPr="00DC2E74">
        <w:rPr>
          <w:szCs w:val="21"/>
        </w:rPr>
        <w:t>Grafické</w:t>
      </w:r>
      <w:r w:rsidRPr="00F9689D">
        <w:t xml:space="preserve"> prílohy súvisiace s textom</w:t>
      </w:r>
      <w:r w:rsidRPr="00DC2E74">
        <w:rPr>
          <w:szCs w:val="21"/>
        </w:rPr>
        <w:t>;</w:t>
      </w:r>
    </w:p>
    <w:p w14:paraId="039BDBD4" w14:textId="09EC6E97" w:rsidR="006D092C" w:rsidRPr="00DC2E74" w:rsidRDefault="00C47447" w:rsidP="00F9689D">
      <w:pPr>
        <w:pStyle w:val="Odsekzoznamu"/>
        <w:numPr>
          <w:ilvl w:val="0"/>
          <w:numId w:val="4"/>
        </w:numPr>
        <w:spacing w:after="0"/>
        <w:ind w:left="284" w:hanging="284"/>
        <w:jc w:val="both"/>
      </w:pPr>
      <w:r w:rsidRPr="00DC2E74">
        <w:rPr>
          <w:szCs w:val="21"/>
        </w:rPr>
        <w:t>Ďalšie prílohy</w:t>
      </w:r>
      <w:r w:rsidRPr="00F9689D">
        <w:t xml:space="preserve"> súvisiace s textom.</w:t>
      </w:r>
    </w:p>
    <w:sectPr w:rsidR="006D092C" w:rsidRPr="00DC2E74" w:rsidSect="006E057E">
      <w:footerReference w:type="even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064DC" w14:textId="77777777" w:rsidR="00725255" w:rsidRDefault="00725255">
      <w:pPr>
        <w:spacing w:after="0" w:line="240" w:lineRule="auto"/>
      </w:pPr>
      <w:r>
        <w:separator/>
      </w:r>
    </w:p>
  </w:endnote>
  <w:endnote w:type="continuationSeparator" w:id="0">
    <w:p w14:paraId="7337BBD3" w14:textId="77777777" w:rsidR="00725255" w:rsidRDefault="00725255">
      <w:pPr>
        <w:spacing w:after="0" w:line="240" w:lineRule="auto"/>
      </w:pPr>
      <w:r>
        <w:continuationSeparator/>
      </w:r>
    </w:p>
  </w:endnote>
  <w:endnote w:type="continuationNotice" w:id="1">
    <w:p w14:paraId="38C2123D" w14:textId="77777777" w:rsidR="00725255" w:rsidRDefault="00725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783211"/>
      <w:docPartObj>
        <w:docPartGallery w:val="Page Numbers (Bottom of Page)"/>
        <w:docPartUnique/>
      </w:docPartObj>
    </w:sdtPr>
    <w:sdtEndPr/>
    <w:sdtContent>
      <w:p w14:paraId="39533F9C" w14:textId="77777777" w:rsidR="00725255" w:rsidRDefault="007252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D3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FB3A" w14:textId="77777777" w:rsidR="00725255" w:rsidRDefault="0072525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A276" w14:textId="77777777" w:rsidR="00725255" w:rsidRDefault="007252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DBFA7" w14:textId="77777777" w:rsidR="00725255" w:rsidRDefault="00725255">
      <w:pPr>
        <w:spacing w:after="0" w:line="240" w:lineRule="auto"/>
      </w:pPr>
      <w:r>
        <w:separator/>
      </w:r>
    </w:p>
  </w:footnote>
  <w:footnote w:type="continuationSeparator" w:id="0">
    <w:p w14:paraId="14C8000A" w14:textId="77777777" w:rsidR="00725255" w:rsidRDefault="00725255">
      <w:pPr>
        <w:spacing w:after="0" w:line="240" w:lineRule="auto"/>
      </w:pPr>
      <w:r>
        <w:continuationSeparator/>
      </w:r>
    </w:p>
  </w:footnote>
  <w:footnote w:type="continuationNotice" w:id="1">
    <w:p w14:paraId="037A6EDB" w14:textId="77777777" w:rsidR="00725255" w:rsidRDefault="00725255">
      <w:pPr>
        <w:spacing w:after="0" w:line="240" w:lineRule="auto"/>
      </w:pPr>
    </w:p>
  </w:footnote>
  <w:footnote w:id="2">
    <w:p w14:paraId="0D4D04B9" w14:textId="77777777" w:rsidR="00725255" w:rsidRPr="00DE749B" w:rsidRDefault="00725255">
      <w:pPr>
        <w:pStyle w:val="Textpoznmkypodiarou"/>
        <w:spacing w:after="0" w:line="240" w:lineRule="auto"/>
        <w:ind w:left="142" w:hanging="142"/>
        <w:rPr>
          <w:sz w:val="18"/>
        </w:rPr>
      </w:pPr>
      <w:r w:rsidRPr="00DE749B">
        <w:rPr>
          <w:rStyle w:val="Odkaznapoznmkupodiarou"/>
          <w:sz w:val="18"/>
        </w:rPr>
        <w:footnoteRef/>
      </w:r>
      <w:r w:rsidRPr="00DE749B">
        <w:rPr>
          <w:sz w:val="18"/>
        </w:rPr>
        <w:t xml:space="preserve"> </w:t>
      </w:r>
      <w:r w:rsidRPr="002460DD">
        <w:rPr>
          <w:color w:val="000000"/>
          <w:sz w:val="18"/>
          <w:szCs w:val="18"/>
        </w:rPr>
        <w:t xml:space="preserve">Prvá schválená verzia sa označuje číslom 1.0. V prípade formálnych zmien v danej verzii sa mení číslica za bodkou, napr. 1.1, 1.2 atď. V prípade zásadnej zmeny sa mení číslo pred bodkou, napr. 2.0, 3.0 atď. </w:t>
      </w:r>
      <w:r w:rsidRPr="002460DD">
        <w:rPr>
          <w:sz w:val="18"/>
          <w:szCs w:val="18"/>
        </w:rPr>
        <w:t xml:space="preserve"> </w:t>
      </w:r>
    </w:p>
  </w:footnote>
  <w:footnote w:id="3">
    <w:p w14:paraId="5EBAE33B" w14:textId="77777777" w:rsidR="00725255" w:rsidRDefault="00725255">
      <w:pPr>
        <w:pStyle w:val="Textpoznmkypodiarou"/>
        <w:rPr>
          <w:color w:val="000000"/>
          <w:sz w:val="18"/>
          <w:szCs w:val="18"/>
        </w:rPr>
      </w:pPr>
      <w:r w:rsidRPr="00DE749B">
        <w:rPr>
          <w:rStyle w:val="Odkaznapoznmkupodiarou"/>
          <w:sz w:val="18"/>
        </w:rPr>
        <w:footnoteRef/>
      </w:r>
      <w:r w:rsidRPr="00DE749B">
        <w:rPr>
          <w:sz w:val="18"/>
        </w:rPr>
        <w:t xml:space="preserve"> </w:t>
      </w:r>
      <w:r w:rsidRPr="002460DD">
        <w:rPr>
          <w:color w:val="000000"/>
          <w:sz w:val="18"/>
          <w:szCs w:val="18"/>
        </w:rPr>
        <w:t xml:space="preserve">ak je zriadená </w:t>
      </w:r>
      <w:r w:rsidRPr="002460DD">
        <w:rPr>
          <w:i/>
          <w:color w:val="000000"/>
          <w:sz w:val="18"/>
          <w:szCs w:val="18"/>
        </w:rPr>
        <w:t xml:space="preserve">Rada Partnerstva pre Integrovanú územnú stratégiu udržateľného mestského rozvoja funkčného územia mesta </w:t>
      </w:r>
      <w:r w:rsidRPr="002460DD">
        <w:rPr>
          <w:i/>
          <w:color w:val="000000"/>
          <w:sz w:val="18"/>
          <w:szCs w:val="18"/>
          <w:highlight w:val="yellow"/>
        </w:rPr>
        <w:t>...</w:t>
      </w:r>
      <w:r w:rsidRPr="002460DD">
        <w:rPr>
          <w:i/>
          <w:color w:val="000000"/>
          <w:sz w:val="18"/>
          <w:szCs w:val="18"/>
        </w:rPr>
        <w:t xml:space="preserve"> na roky 2014 – 2020</w:t>
      </w:r>
      <w:r w:rsidRPr="002460DD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</w:footnote>
  <w:footnote w:id="4">
    <w:p w14:paraId="42AC26D9" w14:textId="50FD843F" w:rsidR="00725255" w:rsidRDefault="00725255" w:rsidP="00DE749B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DE749B">
        <w:rPr>
          <w:color w:val="000000"/>
          <w:sz w:val="18"/>
        </w:rPr>
        <w:t>Danú štruktúru je možné modifikovať iba na základe objektívnych a zdôvodniteľných skutočností. Ide najmä o prípady, ak na základe analýzy bola identifikovaná vhodnosť aplikovať integrovaný prístup na územnej investičnej jednotke menšej ako NUTS 3 prostredníctvom súboru vzájomnej prepojených projektov z viacerých špecifických cieľov IROP. V taktom prípade je možné každý takýto súbor projektov uviesť ako samostatnú strategickú prioritu a následne uviesť jednotlivo údaje o definovaných projektoch podľa stanovenej štruktúry strategickej časti.</w:t>
      </w:r>
      <w:r w:rsidRPr="006C5AEE">
        <w:rPr>
          <w:i/>
          <w:iCs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B398F" w14:textId="77777777" w:rsidR="00725255" w:rsidRDefault="00857FD3">
    <w:pPr>
      <w:pStyle w:val="Hlavika"/>
    </w:pPr>
    <w:r>
      <w:rPr>
        <w:noProof/>
      </w:rPr>
      <w:pict w14:anchorId="3E2442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99302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98E03" w14:textId="77777777" w:rsidR="00725255" w:rsidRPr="00725255" w:rsidRDefault="00857FD3" w:rsidP="00725255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pict w14:anchorId="23FB7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99303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25255" w:rsidRPr="00725255">
      <w:rPr>
        <w:i/>
        <w:sz w:val="16"/>
        <w:szCs w:val="16"/>
      </w:rPr>
      <w:t xml:space="preserve">Príloha č. 1 </w:t>
    </w:r>
  </w:p>
  <w:p w14:paraId="790DB1AA" w14:textId="77777777" w:rsidR="00725255" w:rsidRDefault="00725255" w:rsidP="00725255">
    <w:pPr>
      <w:spacing w:after="0" w:line="240" w:lineRule="auto"/>
      <w:rPr>
        <w:i/>
        <w:sz w:val="16"/>
        <w:szCs w:val="16"/>
      </w:rPr>
    </w:pPr>
    <w:r w:rsidRPr="00725255">
      <w:rPr>
        <w:i/>
        <w:sz w:val="16"/>
        <w:szCs w:val="16"/>
      </w:rPr>
      <w:t>Metodického usmernenia Riadiaceho orgánu pre Integrovaný regionálny operačný program č. 1</w:t>
    </w:r>
    <w:r>
      <w:rPr>
        <w:i/>
        <w:sz w:val="16"/>
        <w:szCs w:val="16"/>
      </w:rPr>
      <w:t xml:space="preserve"> </w:t>
    </w:r>
  </w:p>
  <w:p w14:paraId="2CCB28D9" w14:textId="1D65C191" w:rsidR="00725255" w:rsidRPr="00725255" w:rsidRDefault="00725255" w:rsidP="00725255">
    <w:pPr>
      <w:spacing w:after="0" w:line="240" w:lineRule="auto"/>
      <w:rPr>
        <w:i/>
        <w:sz w:val="16"/>
        <w:szCs w:val="16"/>
      </w:rPr>
    </w:pPr>
    <w:r w:rsidRPr="00725255">
      <w:rPr>
        <w:i/>
        <w:sz w:val="16"/>
        <w:szCs w:val="16"/>
      </w:rPr>
      <w:t>pre prípravu regionálnych integrovaných územných stratégií</w:t>
    </w:r>
  </w:p>
  <w:p w14:paraId="5E08C11D" w14:textId="3A6321D4" w:rsidR="00725255" w:rsidRDefault="00725255">
    <w:pPr>
      <w:pStyle w:val="Hlavika"/>
      <w:rPr>
        <w:i/>
        <w:sz w:val="18"/>
        <w:szCs w:val="18"/>
      </w:rPr>
    </w:pPr>
  </w:p>
  <w:p w14:paraId="4A4DAE96" w14:textId="77777777" w:rsidR="00725255" w:rsidRDefault="0072525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61D2" w14:textId="77777777" w:rsidR="00725255" w:rsidRDefault="00857FD3">
    <w:pPr>
      <w:pStyle w:val="Hlavika"/>
      <w:rPr>
        <w:i/>
        <w:sz w:val="18"/>
        <w:szCs w:val="18"/>
      </w:rPr>
    </w:pPr>
    <w:r>
      <w:rPr>
        <w:noProof/>
      </w:rPr>
      <w:pict w14:anchorId="35F0E3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99301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25255">
      <w:rPr>
        <w:i/>
        <w:sz w:val="18"/>
        <w:szCs w:val="18"/>
      </w:rPr>
      <w:t xml:space="preserve">Príloha č. </w:t>
    </w:r>
    <w:r w:rsidR="00725255">
      <w:rPr>
        <w:i/>
        <w:sz w:val="18"/>
        <w:szCs w:val="18"/>
        <w:highlight w:val="yellow"/>
      </w:rPr>
      <w:t>X</w:t>
    </w:r>
    <w:r w:rsidR="00725255">
      <w:rPr>
        <w:i/>
        <w:sz w:val="18"/>
        <w:szCs w:val="18"/>
      </w:rPr>
      <w:t xml:space="preserve"> Metodiky pre prípravu a realizáciu Regionálnych integrovaných územných stratégií </w:t>
    </w:r>
  </w:p>
  <w:p w14:paraId="2A3AA66F" w14:textId="77777777" w:rsidR="00725255" w:rsidRDefault="00725255">
    <w:pPr>
      <w:pStyle w:val="Hlavika"/>
      <w:rPr>
        <w:i/>
        <w:sz w:val="18"/>
        <w:szCs w:val="18"/>
      </w:rPr>
    </w:pPr>
    <w:r>
      <w:rPr>
        <w:i/>
        <w:sz w:val="18"/>
        <w:szCs w:val="18"/>
      </w:rPr>
      <w:t>Verzia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F6"/>
    <w:multiLevelType w:val="hybridMultilevel"/>
    <w:tmpl w:val="07189FAA"/>
    <w:lvl w:ilvl="0" w:tplc="8BD62E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516C"/>
    <w:multiLevelType w:val="hybridMultilevel"/>
    <w:tmpl w:val="9D88E46C"/>
    <w:lvl w:ilvl="0" w:tplc="F2904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9C2"/>
    <w:multiLevelType w:val="hybridMultilevel"/>
    <w:tmpl w:val="F78C4FF0"/>
    <w:lvl w:ilvl="0" w:tplc="DD26BE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840AD"/>
    <w:multiLevelType w:val="hybridMultilevel"/>
    <w:tmpl w:val="CDBAD360"/>
    <w:lvl w:ilvl="0" w:tplc="EFC027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6053"/>
    <w:multiLevelType w:val="hybridMultilevel"/>
    <w:tmpl w:val="35D6BF30"/>
    <w:lvl w:ilvl="0" w:tplc="DD26BE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62761"/>
    <w:multiLevelType w:val="hybridMultilevel"/>
    <w:tmpl w:val="D1B48362"/>
    <w:lvl w:ilvl="0" w:tplc="840AE9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25AB"/>
    <w:multiLevelType w:val="hybridMultilevel"/>
    <w:tmpl w:val="2F9A6EB0"/>
    <w:lvl w:ilvl="0" w:tplc="DD26BE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C0288"/>
    <w:multiLevelType w:val="hybridMultilevel"/>
    <w:tmpl w:val="D6147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626FC"/>
    <w:multiLevelType w:val="hybridMultilevel"/>
    <w:tmpl w:val="9766917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4D460FD"/>
    <w:multiLevelType w:val="hybridMultilevel"/>
    <w:tmpl w:val="D6147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9481F"/>
    <w:multiLevelType w:val="hybridMultilevel"/>
    <w:tmpl w:val="0D76CFE6"/>
    <w:lvl w:ilvl="0" w:tplc="5060C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31F0"/>
    <w:multiLevelType w:val="hybridMultilevel"/>
    <w:tmpl w:val="242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0"/>
  </w:num>
  <w:num w:numId="9">
    <w:abstractNumId w:val="8"/>
  </w:num>
  <w:num w:numId="10">
    <w:abstractNumId w:val="0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B4"/>
    <w:rsid w:val="00002AA7"/>
    <w:rsid w:val="0000428C"/>
    <w:rsid w:val="0004158E"/>
    <w:rsid w:val="00085B13"/>
    <w:rsid w:val="000A4B57"/>
    <w:rsid w:val="001411FE"/>
    <w:rsid w:val="0016109F"/>
    <w:rsid w:val="00183FA8"/>
    <w:rsid w:val="001A44BE"/>
    <w:rsid w:val="001E2047"/>
    <w:rsid w:val="001F2008"/>
    <w:rsid w:val="002460DD"/>
    <w:rsid w:val="002571C2"/>
    <w:rsid w:val="002A47C3"/>
    <w:rsid w:val="002A64EF"/>
    <w:rsid w:val="002B2348"/>
    <w:rsid w:val="003002E3"/>
    <w:rsid w:val="00302F35"/>
    <w:rsid w:val="00354900"/>
    <w:rsid w:val="00363B44"/>
    <w:rsid w:val="00373E2F"/>
    <w:rsid w:val="00381950"/>
    <w:rsid w:val="003B470F"/>
    <w:rsid w:val="00424E50"/>
    <w:rsid w:val="004267BF"/>
    <w:rsid w:val="004328F5"/>
    <w:rsid w:val="004847F6"/>
    <w:rsid w:val="00496899"/>
    <w:rsid w:val="004B7621"/>
    <w:rsid w:val="004C509D"/>
    <w:rsid w:val="00507D63"/>
    <w:rsid w:val="00513A5B"/>
    <w:rsid w:val="00556325"/>
    <w:rsid w:val="005A205C"/>
    <w:rsid w:val="005C5321"/>
    <w:rsid w:val="005E1ED9"/>
    <w:rsid w:val="005F2986"/>
    <w:rsid w:val="00621072"/>
    <w:rsid w:val="00680E96"/>
    <w:rsid w:val="00687E2F"/>
    <w:rsid w:val="006B049B"/>
    <w:rsid w:val="006B6DC9"/>
    <w:rsid w:val="006C5AEE"/>
    <w:rsid w:val="006D092C"/>
    <w:rsid w:val="006E057E"/>
    <w:rsid w:val="007037F8"/>
    <w:rsid w:val="00707AF6"/>
    <w:rsid w:val="00725255"/>
    <w:rsid w:val="00727EF9"/>
    <w:rsid w:val="00773611"/>
    <w:rsid w:val="007743BF"/>
    <w:rsid w:val="007906A4"/>
    <w:rsid w:val="007C0870"/>
    <w:rsid w:val="007C51A1"/>
    <w:rsid w:val="007D2C22"/>
    <w:rsid w:val="007D726C"/>
    <w:rsid w:val="007F2DB4"/>
    <w:rsid w:val="0085526B"/>
    <w:rsid w:val="00857FD3"/>
    <w:rsid w:val="00886E99"/>
    <w:rsid w:val="00897BBC"/>
    <w:rsid w:val="008B16CD"/>
    <w:rsid w:val="008B63A6"/>
    <w:rsid w:val="00901F8D"/>
    <w:rsid w:val="0091329D"/>
    <w:rsid w:val="009441E8"/>
    <w:rsid w:val="0094466F"/>
    <w:rsid w:val="0095447E"/>
    <w:rsid w:val="00954579"/>
    <w:rsid w:val="0096284E"/>
    <w:rsid w:val="009632B8"/>
    <w:rsid w:val="009E4A4D"/>
    <w:rsid w:val="00A37025"/>
    <w:rsid w:val="00A43292"/>
    <w:rsid w:val="00A446D1"/>
    <w:rsid w:val="00A64A91"/>
    <w:rsid w:val="00A70C12"/>
    <w:rsid w:val="00A8788C"/>
    <w:rsid w:val="00A964AD"/>
    <w:rsid w:val="00B75B7C"/>
    <w:rsid w:val="00BD5CBD"/>
    <w:rsid w:val="00BE7766"/>
    <w:rsid w:val="00C47447"/>
    <w:rsid w:val="00C84CED"/>
    <w:rsid w:val="00C97965"/>
    <w:rsid w:val="00CA09B8"/>
    <w:rsid w:val="00D05875"/>
    <w:rsid w:val="00D27345"/>
    <w:rsid w:val="00D42408"/>
    <w:rsid w:val="00D449F6"/>
    <w:rsid w:val="00D45442"/>
    <w:rsid w:val="00D565D4"/>
    <w:rsid w:val="00D61DE2"/>
    <w:rsid w:val="00D77575"/>
    <w:rsid w:val="00DC2E74"/>
    <w:rsid w:val="00DD6F36"/>
    <w:rsid w:val="00DE749B"/>
    <w:rsid w:val="00E470C2"/>
    <w:rsid w:val="00E84E3D"/>
    <w:rsid w:val="00ED4C80"/>
    <w:rsid w:val="00ED5E02"/>
    <w:rsid w:val="00EF09D3"/>
    <w:rsid w:val="00F160F9"/>
    <w:rsid w:val="00F17446"/>
    <w:rsid w:val="00F212DE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D5C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mStandard">
    <w:name w:val="m_Standard"/>
    <w:qFormat/>
    <w:pPr>
      <w:spacing w:before="60" w:after="140" w:line="220" w:lineRule="atLeast"/>
      <w:jc w:val="both"/>
    </w:pPr>
    <w:rPr>
      <w:rFonts w:ascii="Arial" w:eastAsia="Times New Roman" w:hAnsi="Arial" w:cs="Times New Roman"/>
      <w:lang w:val="de-AT" w:eastAsia="de-D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rPr>
      <w:rFonts w:ascii="Calibri" w:eastAsia="Calibri" w:hAnsi="Calibri" w:cs="Times New Roman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olor w:val="4F81BD" w:themeColor="accent1"/>
    </w:rPr>
  </w:style>
  <w:style w:type="character" w:styleId="Zvraznenie">
    <w:name w:val="Emphasis"/>
    <w:uiPriority w:val="20"/>
    <w:qFormat/>
    <w:rPr>
      <w:i/>
      <w:iCs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5C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D5C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mStandard">
    <w:name w:val="m_Standard"/>
    <w:qFormat/>
    <w:pPr>
      <w:spacing w:before="60" w:after="140" w:line="220" w:lineRule="atLeast"/>
      <w:jc w:val="both"/>
    </w:pPr>
    <w:rPr>
      <w:rFonts w:ascii="Arial" w:eastAsia="Times New Roman" w:hAnsi="Arial" w:cs="Times New Roman"/>
      <w:lang w:val="de-AT" w:eastAsia="de-D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rPr>
      <w:rFonts w:ascii="Calibri" w:eastAsia="Calibri" w:hAnsi="Calibri" w:cs="Times New Roman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olor w:val="4F81BD" w:themeColor="accent1"/>
    </w:rPr>
  </w:style>
  <w:style w:type="character" w:styleId="Zvraznenie">
    <w:name w:val="Emphasis"/>
    <w:uiPriority w:val="20"/>
    <w:qFormat/>
    <w:rPr>
      <w:i/>
      <w:iCs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5C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198B-3C44-44A1-8414-499E304F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2015-02-02T09:40:00Z</dcterms:created>
  <dcterms:modified xsi:type="dcterms:W3CDTF">2015-02-02T09:40:00Z</dcterms:modified>
</cp:coreProperties>
</file>