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EF" w:rsidRPr="008C5A0F" w:rsidRDefault="002D30EF" w:rsidP="002D30EF">
      <w:pPr>
        <w:pStyle w:val="Odsekzoznamu"/>
        <w:spacing w:after="0" w:line="240" w:lineRule="auto"/>
        <w:ind w:left="1418" w:right="1139" w:hanging="360"/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8C5A0F">
        <w:rPr>
          <w:rFonts w:ascii="Arial" w:hAnsi="Arial" w:cs="Arial"/>
          <w:b/>
          <w:bCs/>
          <w:sz w:val="24"/>
          <w:szCs w:val="24"/>
          <w:lang w:val="sk-SK"/>
        </w:rPr>
        <w:t>KRITÉRIÁ PRE VÝBER PROJEKTOV - HODNOTIACE KRITÉRIÁ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pre hodnotenie žiadostí o NFP predložených v rámci</w:t>
      </w:r>
    </w:p>
    <w:p w:rsidR="002D30EF" w:rsidRPr="008C5A0F" w:rsidRDefault="002D30EF" w:rsidP="002D30EF">
      <w:pPr>
        <w:pStyle w:val="Telo"/>
        <w:ind w:left="1421" w:right="1139"/>
        <w:jc w:val="center"/>
        <w:rPr>
          <w:rFonts w:ascii="Arial" w:hAnsi="Arial" w:cs="Arial"/>
          <w:color w:val="auto"/>
          <w:sz w:val="24"/>
          <w:szCs w:val="24"/>
          <w:lang w:val="sk-SK"/>
        </w:rPr>
      </w:pPr>
      <w:r w:rsidRPr="008C5A0F">
        <w:rPr>
          <w:rFonts w:ascii="Arial" w:hAnsi="Arial" w:cs="Arial"/>
          <w:color w:val="auto"/>
          <w:sz w:val="24"/>
          <w:szCs w:val="24"/>
          <w:lang w:val="sk-SK"/>
        </w:rPr>
        <w:t>Integrovaného regionálneho operačného programu</w:t>
      </w:r>
    </w:p>
    <w:p w:rsidR="002D30EF" w:rsidRPr="008C5A0F" w:rsidRDefault="00782154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 xml:space="preserve">prioritná os </w:t>
      </w:r>
      <w:r w:rsidR="002F32F7" w:rsidRPr="008C5A0F">
        <w:rPr>
          <w:rFonts w:ascii="Arial" w:hAnsi="Arial" w:cs="Arial"/>
          <w:b/>
          <w:sz w:val="24"/>
          <w:szCs w:val="24"/>
        </w:rPr>
        <w:t>6</w:t>
      </w:r>
    </w:p>
    <w:p w:rsidR="002D30EF" w:rsidRPr="008C5A0F" w:rsidRDefault="002F32F7" w:rsidP="002D30EF">
      <w:pPr>
        <w:pStyle w:val="Zkladntext"/>
        <w:spacing w:before="0"/>
        <w:ind w:left="1925" w:right="1640"/>
        <w:jc w:val="center"/>
        <w:rPr>
          <w:rFonts w:ascii="Arial" w:hAnsi="Arial" w:cs="Arial"/>
          <w:b/>
          <w:sz w:val="24"/>
          <w:szCs w:val="24"/>
        </w:rPr>
      </w:pPr>
      <w:r w:rsidRPr="008C5A0F">
        <w:rPr>
          <w:rFonts w:ascii="Arial" w:hAnsi="Arial" w:cs="Arial"/>
          <w:b/>
          <w:sz w:val="24"/>
          <w:szCs w:val="24"/>
        </w:rPr>
        <w:t>Technická pomoc IROP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45"/>
        <w:gridCol w:w="2154"/>
        <w:gridCol w:w="5295"/>
        <w:gridCol w:w="1544"/>
        <w:gridCol w:w="1157"/>
        <w:gridCol w:w="3341"/>
      </w:tblGrid>
      <w:tr w:rsidR="004B5B76" w:rsidRPr="008C5A0F" w:rsidTr="008C5A0F">
        <w:trPr>
          <w:tblHeader/>
        </w:trPr>
        <w:tc>
          <w:tcPr>
            <w:tcW w:w="64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proofErr w:type="spellStart"/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P.č</w:t>
            </w:r>
            <w:proofErr w:type="spellEnd"/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.</w:t>
            </w:r>
          </w:p>
        </w:tc>
        <w:tc>
          <w:tcPr>
            <w:tcW w:w="215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Kritérium</w:t>
            </w:r>
          </w:p>
        </w:tc>
        <w:tc>
          <w:tcPr>
            <w:tcW w:w="5295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Predmet hodnotenia</w:t>
            </w:r>
          </w:p>
        </w:tc>
        <w:tc>
          <w:tcPr>
            <w:tcW w:w="1544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hanging="3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Typ kritéria</w:t>
            </w:r>
          </w:p>
        </w:tc>
        <w:tc>
          <w:tcPr>
            <w:tcW w:w="1149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Hodno-tenie</w:t>
            </w:r>
          </w:p>
        </w:tc>
        <w:tc>
          <w:tcPr>
            <w:tcW w:w="3341" w:type="dxa"/>
            <w:shd w:val="clear" w:color="auto" w:fill="9CC2E5" w:themeFill="accent1" w:themeFillTint="99"/>
          </w:tcPr>
          <w:p w:rsidR="001D1A22" w:rsidRPr="008C5A0F" w:rsidRDefault="001D1A22" w:rsidP="001D1A22">
            <w:pPr>
              <w:pStyle w:val="TableParagraph"/>
              <w:ind w:left="143" w:right="136" w:hanging="3"/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Spôsob aplikácie hodnotiaceho kritéria</w:t>
            </w:r>
          </w:p>
        </w:tc>
      </w:tr>
      <w:tr w:rsidR="00297E2A" w:rsidRPr="008C5A0F" w:rsidTr="00133A41">
        <w:tc>
          <w:tcPr>
            <w:tcW w:w="645" w:type="dxa"/>
            <w:shd w:val="clear" w:color="auto" w:fill="DEEAF6" w:themeFill="accent1" w:themeFillTint="33"/>
          </w:tcPr>
          <w:p w:rsidR="001D1A22" w:rsidRPr="008C5A0F" w:rsidRDefault="001D1A22" w:rsidP="001D1A22">
            <w:pPr>
              <w:pStyle w:val="TableParagraph"/>
              <w:spacing w:line="269" w:lineRule="exact"/>
              <w:ind w:right="2"/>
              <w:rPr>
                <w:rFonts w:ascii="Arial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sk-SK"/>
              </w:rPr>
              <w:t>1.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D1A22" w:rsidRPr="008C5A0F" w:rsidRDefault="00133A41" w:rsidP="001D1A22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Príspevok projektu k cieľom a výsledkom OP a prioritnej osi 6</w:t>
            </w:r>
          </w:p>
        </w:tc>
      </w:tr>
      <w:tr w:rsidR="00133A41" w:rsidRPr="008C5A0F" w:rsidTr="00133A41">
        <w:trPr>
          <w:trHeight w:val="571"/>
        </w:trPr>
        <w:tc>
          <w:tcPr>
            <w:tcW w:w="645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1.1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Súlad projektu s intervenčnou stratégiou operačného programu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124BF5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Posudzuje sa súlad projektu s intervenčnou stratégiou pre oblasť technickej pomoci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, t.j. súlad s: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príslušnými špecifickými cieľmi,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b) očakávanými výsledkami,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definovanými oprávnenými aktivitami.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 xml:space="preserve">Na rozdiel od administratívneho overenia ide o hĺbkové posúdenie vecnej (obsahovej) stránky projektu z hľadiska jeho súladu so stratégiou </w:t>
            </w:r>
            <w:r w:rsidR="00124BF5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oblasti.</w:t>
            </w:r>
          </w:p>
        </w:tc>
      </w:tr>
      <w:tr w:rsidR="00133A41" w:rsidRPr="008C5A0F" w:rsidTr="00133A41">
        <w:trPr>
          <w:trHeight w:val="733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1D1A2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F30380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133A41" w:rsidRPr="008C5A0F" w:rsidRDefault="00F30380" w:rsidP="005A1F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Zameranie projektu nie je v súlade s intervenčnou stratégiou </w:t>
            </w:r>
            <w:r w:rsidR="00124BF5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IROP </w:t>
            </w: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 danej oblasti, resp. jeho súlad je iba v deklaratívnej rovine</w:t>
            </w:r>
          </w:p>
        </w:tc>
      </w:tr>
      <w:tr w:rsidR="00133A41" w:rsidRPr="008C5A0F" w:rsidTr="00133A41">
        <w:trPr>
          <w:trHeight w:val="364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2.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133A41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Spôsob realizácie projektu</w:t>
            </w:r>
          </w:p>
        </w:tc>
      </w:tr>
      <w:tr w:rsidR="00133A41" w:rsidRPr="008C5A0F" w:rsidTr="00133A41">
        <w:trPr>
          <w:trHeight w:val="419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2.1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Vhodnosť a prepojenosť navrhovaných aktivít projektu vo vzťahu k východiskovej situácii a k stanoveným cieľom a výsledkom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V rámci hodnotiaceho kritéria sa posudzujú nasledovné aspekty: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a) či realizácia navrhovaného projektu rieši identifikované potreby (problémy) cieľových skupín,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br/>
              <w:t>b) či je prostredníctvom realizácie navrhovaných hlavných aktivít projektu možné reálne predpokladať dosiahnutie deklarovaných cieľových hodnôt merateľných ukazovateľov projektu s prihliadnutím na previazanosť hlavných aktivít projektu na ciele a výsledky projektu (vnútorná logika projektu),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c) či zameranie projektu nepredstavuje duplicitu k už zrealizovaným aktivitám z prostriedkov technickej pomoci </w:t>
            </w:r>
            <w:r w:rsidR="004517AE"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IROP</w:t>
            </w: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>.</w:t>
            </w:r>
          </w:p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</w:p>
          <w:p w:rsidR="00133A41" w:rsidRPr="008C5A0F" w:rsidRDefault="00133A41" w:rsidP="00461A6D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Pozn.: v prípade, ak hodnotiteľ vyhodnotí niektorú z hlavných aktivít projektu ako nevhodnú, resp. neúčelnú (z titulu neexistencie logického prepojenia na východiskovú situáciu alebo ciele a výsledky projektu), určí výdavky na takúto aktivitu ako neoprávnené a zadefinuje potrebu príp. ďalších súvisiacich úprav projektu (napr. časový rámec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realizácie aktivít projektu).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áno</w:t>
            </w:r>
          </w:p>
        </w:tc>
        <w:tc>
          <w:tcPr>
            <w:tcW w:w="3341" w:type="dxa"/>
          </w:tcPr>
          <w:p w:rsidR="00133A41" w:rsidRPr="008C5A0F" w:rsidRDefault="00EB2C0D" w:rsidP="00461A6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Projekt prispieva k riešeniu identifikovaných potrieb (problémov) cieľových skupín.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Deklarované cieľové hodnoty všetkých merateľných ukazovateľov projektu sú stanovené realisticky s ohľadom na hlavné aktivity projektu a navrhovaný spôsob realizácie projektu.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Projekt zohľadňuje a logicky nadväzuje na už realizované aktivity z prostriedkov technickej pomoci IROP (ak relevantné).</w:t>
            </w:r>
          </w:p>
        </w:tc>
      </w:tr>
      <w:tr w:rsidR="00133A41" w:rsidRPr="008C5A0F" w:rsidTr="006652C1">
        <w:trPr>
          <w:trHeight w:val="249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EB2C0D" w:rsidP="00676287">
            <w:pPr>
              <w:pStyle w:val="TableParagraph"/>
              <w:spacing w:before="125"/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  <w:bdr w:val="none" w:sz="0" w:space="0" w:color="auto"/>
                <w:lang w:val="sk-SK"/>
              </w:rPr>
              <w:t>nie</w:t>
            </w:r>
          </w:p>
        </w:tc>
        <w:tc>
          <w:tcPr>
            <w:tcW w:w="3341" w:type="dxa"/>
          </w:tcPr>
          <w:p w:rsidR="00EB2C0D" w:rsidRPr="008C5A0F" w:rsidRDefault="00EB2C0D" w:rsidP="00EB2C0D">
            <w:pPr>
              <w:pStyle w:val="Zkladntext"/>
              <w:spacing w:before="0" w:after="0"/>
              <w:jc w:val="left"/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Theme="minorHAnsi" w:hAnsi="Arial" w:cs="Arial"/>
                <w:color w:val="000000" w:themeColor="text1"/>
                <w:sz w:val="19"/>
                <w:szCs w:val="19"/>
              </w:rPr>
              <w:t xml:space="preserve">Aktivity projektu vykazujú aspoň jeden z nasledovných závažných nedostatkov: </w:t>
            </w:r>
          </w:p>
          <w:p w:rsidR="00EB2C0D" w:rsidRPr="008C5A0F" w:rsidRDefault="00EB2C0D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a) projekt neprispieva k riešeniu identifikovaných potrieb (problémov) cieľových skupín,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b) deklarované cieľové hodnoty merateľných ukazovateľov projektu nie sú stanovené realisticky, resp. nie sú dosiahnuteľné prostredníctvom realizácie navrhovaných aktivít projektu,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br/>
              <w:t>c) realizácia projektu je nevhodná, resp. neúčelná vo vzťahu k už realizovaným aktivitám z prostriedkov technickej pomoci IROP (ak relevantné).</w:t>
            </w:r>
          </w:p>
          <w:p w:rsidR="00133A41" w:rsidRPr="008C5A0F" w:rsidRDefault="00133A41" w:rsidP="00EB2C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DF024A">
        <w:trPr>
          <w:trHeight w:val="385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2.2.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Reálnosť aktivít projektu vo vzťahu k navrhovanému časovému harmonogramu projektu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Posudzuje sa reálnosť časového harmonogramu realizácie všetkých aktivít projektu (hlavných aj podporných). Predmetom hodnotenia je posúdenie, či </w:t>
            </w:r>
            <w:proofErr w:type="spellStart"/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etapizácia</w:t>
            </w:r>
            <w:proofErr w:type="spellEnd"/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aktivít je: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a)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logická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z hľadiska časovej následnosti realizácie aktivít projektu;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b)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realistická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 vo vzťahu k trvaniu jednotlivých aktivít a k ich výstupom (dodržanie lehôt schvaľovacích konaní, postupov, verejného obstarávania a pod).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 xml:space="preserve">áno </w:t>
            </w:r>
          </w:p>
        </w:tc>
        <w:tc>
          <w:tcPr>
            <w:tcW w:w="3341" w:type="dxa"/>
          </w:tcPr>
          <w:p w:rsidR="00133A41" w:rsidRPr="008C5A0F" w:rsidRDefault="004517AE" w:rsidP="004517AE">
            <w:pPr>
              <w:pStyle w:val="Zkladntext"/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Aktivity projektu sú logicky nadväzujúce a nastavené realisticky z hľadiska ich trvania. Časový harmonogram projektu je realistický z hľadiska dosiahnutia výstupov projektu.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Časový harmonogram môže obsahovať formálne nedostatky, ktoré nemajú vplyv na dodržanie celkovej žiadateľom stanovenej dĺžky realizácie projektu a dosiahnutie výstupov projektu.</w:t>
            </w:r>
          </w:p>
        </w:tc>
      </w:tr>
      <w:tr w:rsidR="00133A41" w:rsidRPr="008C5A0F" w:rsidTr="00DF024A">
        <w:trPr>
          <w:trHeight w:val="447"/>
        </w:trPr>
        <w:tc>
          <w:tcPr>
            <w:tcW w:w="64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133A41" w:rsidRPr="008C5A0F" w:rsidRDefault="00133A41" w:rsidP="000944C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proofErr w:type="spellStart"/>
            <w:r w:rsidRPr="008C5A0F">
              <w:rPr>
                <w:rFonts w:ascii="Arial" w:hAnsi="Arial" w:cs="Arial"/>
                <w:sz w:val="19"/>
                <w:szCs w:val="19"/>
              </w:rPr>
              <w:t>Etapizácia</w:t>
            </w:r>
            <w:proofErr w:type="spellEnd"/>
            <w:r w:rsidRPr="008C5A0F">
              <w:rPr>
                <w:rFonts w:ascii="Arial" w:hAnsi="Arial" w:cs="Arial"/>
                <w:sz w:val="19"/>
                <w:szCs w:val="19"/>
              </w:rPr>
              <w:t xml:space="preserve"> projektu obsa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huje aspoň jeden z nasledovných nedostatkov, ktorý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u w:val="single"/>
              </w:rPr>
              <w:t>môže mať vplyv na dodržanie celkovej žiadateľom stanovenej dĺžky realizácie projektu a/alebo ohrozenie dosiahnutia cieľa a výsledkov projektu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:</w:t>
            </w:r>
          </w:p>
          <w:p w:rsidR="00133A41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a) obsahuje časovo nevhodne (nelogicky) nadväzujúce aktivity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 xml:space="preserve">b) dĺžka realizácie aspoň jednej z aktivít projektu nerešpektuje predpismi stanovené lehoty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realizácie (ak relevantné).</w:t>
            </w:r>
          </w:p>
        </w:tc>
      </w:tr>
      <w:tr w:rsidR="00133A41" w:rsidRPr="008C5A0F" w:rsidTr="00C21A23">
        <w:trPr>
          <w:trHeight w:val="843"/>
        </w:trPr>
        <w:tc>
          <w:tcPr>
            <w:tcW w:w="645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lastRenderedPageBreak/>
              <w:t>2.3</w:t>
            </w:r>
          </w:p>
        </w:tc>
        <w:tc>
          <w:tcPr>
            <w:tcW w:w="2154" w:type="dxa"/>
            <w:vMerge w:val="restart"/>
          </w:tcPr>
          <w:p w:rsidR="00133A41" w:rsidRPr="008C5A0F" w:rsidRDefault="00133A41" w:rsidP="000029A1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Vhodnosť a uskutočniteľnosť aktivít projektu z hľadiska navrhovaných postupov</w:t>
            </w:r>
          </w:p>
        </w:tc>
        <w:tc>
          <w:tcPr>
            <w:tcW w:w="5295" w:type="dxa"/>
            <w:vMerge w:val="restart"/>
          </w:tcPr>
          <w:p w:rsidR="00133A41" w:rsidRPr="008C5A0F" w:rsidRDefault="00133A41" w:rsidP="009D2B57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Posudzuje sa vhodnosť a 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uskutočniteľnosť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hlavných aktivít projektu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z hľadiska navrhovaných postupov a riešení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a z toho vyplývajúca: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a) kvalitatívna úroveň výstupov projektu,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b) využiteľnosť výsledkov projektu po ukončení realizácie projektu(ak relevantné),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br/>
              <w:t>c) účinnosť a efektívnosť riešenia vo vzťahu k stanoveným cieľom a výsledkom projektu.</w:t>
            </w:r>
          </w:p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V rámci toho sa v závislosti od oblasti podpory v rámci technickej pomoci </w:t>
            </w:r>
            <w:r w:rsidR="00124BF5" w:rsidRPr="008C5A0F">
              <w:rPr>
                <w:rFonts w:ascii="Arial" w:hAnsi="Arial" w:cs="Arial"/>
                <w:color w:val="000000"/>
                <w:sz w:val="19"/>
                <w:szCs w:val="19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posudzuje aj súlad navrhovaných aktivít z hľadiska organizačných postupov RO/SO (napr. vo vzťahu k obstarávaniu tovarov, prác a služieb, systému vzdelávania, pravidlám odmeňovania zamestnancov, realizácii informačných a komunikačných aktivít).</w:t>
            </w:r>
          </w:p>
        </w:tc>
        <w:tc>
          <w:tcPr>
            <w:tcW w:w="1544" w:type="dxa"/>
            <w:vMerge w:val="restart"/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Spôsob realizácie hlavných aktivít projektu umožní pri navrhovaných postupoch/riešeniach dosiahnutie zodpovedajúcej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(štandardnej) </w:t>
            </w:r>
            <w:r w:rsidRPr="008C5A0F">
              <w:rPr>
                <w:rFonts w:ascii="Arial" w:hAnsi="Arial" w:cs="Arial"/>
                <w:sz w:val="19"/>
                <w:szCs w:val="19"/>
              </w:rPr>
              <w:t>kvalitatívnej úrovne výstupov projektu,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minimálne na úrovni kvalitatívnych štandardov vyplývajúcich z platných postupov, noriem, alebo metodík (ak relevantné)</w:t>
            </w:r>
            <w:r w:rsidRPr="008C5A0F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</w:rPr>
              <w:t xml:space="preserve">Navrhované riešenie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je zároveň 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dáva predpoklad pre využiteľnosť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výsledkov projektu po ukončení realizácie projektu</w:t>
            </w:r>
            <w:r w:rsidRPr="008C5A0F">
              <w:rPr>
                <w:rFonts w:ascii="Arial" w:hAnsi="Arial" w:cs="Arial"/>
                <w:sz w:val="19"/>
                <w:szCs w:val="19"/>
              </w:rPr>
              <w:t xml:space="preserve"> (ak relevantné).</w:t>
            </w:r>
          </w:p>
          <w:p w:rsidR="00133A41" w:rsidRPr="008C5A0F" w:rsidRDefault="00133A41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133A41" w:rsidRPr="008C5A0F" w:rsidTr="00706EF2">
        <w:trPr>
          <w:trHeight w:val="841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133A41" w:rsidRPr="008C5A0F" w:rsidRDefault="00133A41" w:rsidP="000944CC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133A41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Spôsob realizácie hlavných aktivít projektu pri navrhovaných postupoch/riešeniach: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  <w:t xml:space="preserve">a) neumožní dosiahnuť stanovené výstupy projektu, resp. neumožní ich dosiahnutie na zodpovedajúcej kvalitatívnej úrovni, minimálne na úrovni kvalitatívnych štandardov vyplývajúcich z platných postupov, noriem, alebo metodík (ak relevantné), a/alebo </w:t>
            </w:r>
          </w:p>
          <w:p w:rsidR="004517AE" w:rsidRPr="008C5A0F" w:rsidRDefault="004517AE" w:rsidP="004517AE">
            <w:pPr>
              <w:pStyle w:val="Zkladntext"/>
              <w:spacing w:before="0" w:after="0"/>
              <w:jc w:val="left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b) navrhované riešenie nie je vhodné z hľadiska využiteľnosti výsledkov projektu po ukončení realizácie projektu (ak relevantné),</w:t>
            </w:r>
          </w:p>
          <w:p w:rsidR="00133A41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c)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navrhované riešenie nie 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účinné a efektívne vo vzťahu k stanoveným cieľom a výsledkom projektu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</w:t>
            </w:r>
          </w:p>
        </w:tc>
      </w:tr>
      <w:tr w:rsidR="00133A41" w:rsidRPr="008C5A0F" w:rsidTr="00706EF2">
        <w:trPr>
          <w:trHeight w:val="370"/>
        </w:trPr>
        <w:tc>
          <w:tcPr>
            <w:tcW w:w="645" w:type="dxa"/>
            <w:shd w:val="clear" w:color="auto" w:fill="DEEAF6" w:themeFill="accent1" w:themeFillTint="33"/>
          </w:tcPr>
          <w:p w:rsidR="00133A41" w:rsidRPr="008C5A0F" w:rsidRDefault="00706EF2" w:rsidP="000029A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lastRenderedPageBreak/>
              <w:t xml:space="preserve">3.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133A41" w:rsidRPr="008C5A0F" w:rsidRDefault="00706EF2" w:rsidP="00133A41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Administratívna a prevádzková kapacita žiadateľa</w:t>
            </w:r>
          </w:p>
        </w:tc>
      </w:tr>
      <w:tr w:rsidR="00706EF2" w:rsidRPr="008C5A0F" w:rsidTr="009F788A">
        <w:trPr>
          <w:trHeight w:val="416"/>
        </w:trPr>
        <w:tc>
          <w:tcPr>
            <w:tcW w:w="645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3.1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F573D9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riadenie projektu</w:t>
            </w:r>
          </w:p>
        </w:tc>
        <w:tc>
          <w:tcPr>
            <w:tcW w:w="5295" w:type="dxa"/>
            <w:vMerge w:val="restart"/>
          </w:tcPr>
          <w:p w:rsidR="00706EF2" w:rsidRPr="008C5A0F" w:rsidRDefault="00706EF2" w:rsidP="00706EF2">
            <w:pPr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administratívna kapacita žiadateľa na riadenie projektu v súlade s podmienkami definovanými v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príslušnej riadiacej dokumentácii pre implementáciu projektov technickej pomoci v rámci </w:t>
            </w:r>
            <w:r w:rsidR="00124BF5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IROP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(administrácia projektu spolufinancovaného z EŠIF). V rámci toho sa posudzujú aj skúsenosti žiadateľa s riadením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obdobných/porovnateľných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projektov. Riadenie projektu môže byť zabezpečené internými kapacitami žiadateľa.</w:t>
            </w:r>
          </w:p>
          <w:p w:rsidR="00706EF2" w:rsidRPr="008C5A0F" w:rsidRDefault="00706EF2" w:rsidP="00F573D9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</w:tcPr>
          <w:p w:rsidR="006B78F9" w:rsidRPr="008C5A0F" w:rsidRDefault="004517AE" w:rsidP="006B78F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>sú dostatočné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. Žiadateľ má zabezpečené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, resp. deklaruje zabezpečenie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riadenia projektu: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  <w:r w:rsidR="006B78F9" w:rsidRPr="008C5A0F">
              <w:rPr>
                <w:rFonts w:ascii="Arial" w:hAnsi="Arial" w:cs="Arial"/>
                <w:sz w:val="19"/>
                <w:szCs w:val="19"/>
                <w:lang w:eastAsia="sk-SK"/>
              </w:rPr>
              <w:t>a) internými kapacitami primeranými rozsahu projektu, ktoré majú skúsenosti s riadením aspoň jedného obdobného/porovnateľného projektu.</w:t>
            </w:r>
          </w:p>
          <w:p w:rsidR="00706EF2" w:rsidRPr="008C5A0F" w:rsidRDefault="006B78F9" w:rsidP="0064312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b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>) externými kapacitami so skúsenosťami v oblasti riadenia obdobných/porovnateľných projektov</w:t>
            </w:r>
            <w:r w:rsidR="0064312B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 ak relevantné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, alebo </w:t>
            </w:r>
            <w:r w:rsidR="004517AE" w:rsidRPr="008C5A0F">
              <w:rPr>
                <w:rFonts w:ascii="Arial" w:hAnsi="Arial" w:cs="Arial"/>
                <w:sz w:val="19"/>
                <w:szCs w:val="19"/>
                <w:lang w:eastAsia="sk-SK"/>
              </w:rPr>
              <w:br/>
            </w:r>
          </w:p>
        </w:tc>
      </w:tr>
      <w:tr w:rsidR="00706EF2" w:rsidRPr="008C5A0F" w:rsidTr="009F788A">
        <w:trPr>
          <w:trHeight w:val="458"/>
        </w:trPr>
        <w:tc>
          <w:tcPr>
            <w:tcW w:w="645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C318FB">
            <w:pPr>
              <w:rPr>
                <w:rFonts w:ascii="Arial" w:eastAsia="Helvetica" w:hAnsi="Arial" w:cs="Arial"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C318FB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nie</w:t>
            </w:r>
          </w:p>
        </w:tc>
        <w:tc>
          <w:tcPr>
            <w:tcW w:w="3341" w:type="dxa"/>
            <w:vAlign w:val="center"/>
          </w:tcPr>
          <w:p w:rsidR="004517AE" w:rsidRPr="008C5A0F" w:rsidRDefault="004517AE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 xml:space="preserve">Administratívne kapacity žiadateľa na riadenie projektu podľa podmienok definovaných v príslušnej riadiacej dokumentácii pre implementáciu projektov technickej pomoci v rámci IROP </w:t>
            </w:r>
            <w:r w:rsidRPr="008C5A0F">
              <w:rPr>
                <w:rFonts w:ascii="Arial" w:hAnsi="Arial" w:cs="Arial"/>
                <w:b/>
                <w:bCs/>
                <w:sz w:val="19"/>
                <w:szCs w:val="19"/>
                <w:lang w:eastAsia="sk-SK"/>
              </w:rPr>
              <w:t xml:space="preserve">sú nedostatočné </w:t>
            </w:r>
            <w:r w:rsidRPr="008C5A0F">
              <w:rPr>
                <w:rFonts w:ascii="Arial" w:hAnsi="Arial" w:cs="Arial"/>
                <w:sz w:val="19"/>
                <w:szCs w:val="19"/>
                <w:lang w:eastAsia="sk-SK"/>
              </w:rPr>
              <w:t>z hľadiska ich počtu a/alebo skúseností s riadením obdobných/porovnateľných projektov.</w:t>
            </w:r>
          </w:p>
          <w:p w:rsidR="00706EF2" w:rsidRPr="008C5A0F" w:rsidRDefault="00706EF2" w:rsidP="005A1FF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161AF0">
        <w:trPr>
          <w:trHeight w:val="655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3.2</w:t>
            </w:r>
          </w:p>
        </w:tc>
        <w:tc>
          <w:tcPr>
            <w:tcW w:w="2154" w:type="dxa"/>
            <w:vMerge w:val="restart"/>
          </w:tcPr>
          <w:p w:rsidR="00706EF2" w:rsidRPr="008C5A0F" w:rsidRDefault="00706EF2" w:rsidP="00525CA7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Kapacita žiadateľa na realizáciu projektu</w:t>
            </w:r>
          </w:p>
        </w:tc>
        <w:tc>
          <w:tcPr>
            <w:tcW w:w="5295" w:type="dxa"/>
            <w:vMerge w:val="restart"/>
          </w:tcPr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Posudzuje sa kapacita žiadateľa na realizáciu projektu z hľadiska vecného zamerania projektu. </w:t>
            </w:r>
          </w:p>
          <w:p w:rsidR="003C011E" w:rsidRPr="008C5A0F" w:rsidRDefault="003C011E" w:rsidP="003C011E">
            <w:pPr>
              <w:pStyle w:val="Zkladntext"/>
              <w:spacing w:before="0" w:after="0"/>
              <w:jc w:val="left"/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V rámci toho sa posudzuje, či žiadateľ disponuje dostatočnými administratívnymi kapacitami s potrebnou odbornou spôsobilosťou a know-how a potrebným materiálno-technickým zázemím pre realizáciu projektu v danej oblasti (ak relevantné). Realizácia projektu môže byť zabezpečená internými kapacitami žiadateľa alebo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lastRenderedPageBreak/>
              <w:t>externými kapacitami, ktoré si žiadateľ na tento účel obstará.</w:t>
            </w:r>
          </w:p>
          <w:p w:rsidR="00706EF2" w:rsidRPr="008C5A0F" w:rsidRDefault="00706EF2" w:rsidP="00525CA7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4517AE" w:rsidP="004517A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 xml:space="preserve">disponuje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adekvátnym  materiálno-technickým zázemím a dostatočnými internými administratívnymi kapacitami s náležitou odbornou spôsobilosťou a know-how pre realizáciu projektu v danej oblasti, alebo má uvedené zázemie a kapacity zabezpečené 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lastRenderedPageBreak/>
              <w:t>prostredníctvom externého dodávateľa.</w:t>
            </w: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:rsidR="00706EF2" w:rsidRPr="008C5A0F" w:rsidRDefault="004517AE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Žiadateľ </w:t>
            </w: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nedisponuje</w:t>
            </w: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 adekvátnym  materiálno-technickým zázemím a/alebo dostatočnými administratívnymi kapacitami s náležitou odbornou spôsobilosťou a know-how pre realizáciu projektu v danej oblasti a uvedené zázemie a kapacity nemá zabezpečené ani prostredníctvom externého dodávateľa.</w:t>
            </w:r>
          </w:p>
        </w:tc>
      </w:tr>
      <w:tr w:rsidR="00706EF2" w:rsidRPr="008C5A0F" w:rsidTr="00706EF2">
        <w:trPr>
          <w:trHeight w:val="440"/>
        </w:trPr>
        <w:tc>
          <w:tcPr>
            <w:tcW w:w="645" w:type="dxa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 xml:space="preserve">4. </w:t>
            </w:r>
          </w:p>
        </w:tc>
        <w:tc>
          <w:tcPr>
            <w:tcW w:w="13483" w:type="dxa"/>
            <w:gridSpan w:val="5"/>
            <w:shd w:val="clear" w:color="auto" w:fill="DEEAF6" w:themeFill="accent1" w:themeFillTint="33"/>
          </w:tcPr>
          <w:p w:rsidR="00706EF2" w:rsidRPr="008C5A0F" w:rsidRDefault="00706EF2" w:rsidP="00F21090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</w:rPr>
              <w:t>Finančná a ekonomická stránka projektu</w:t>
            </w:r>
          </w:p>
        </w:tc>
      </w:tr>
      <w:tr w:rsidR="00706EF2" w:rsidRPr="008C5A0F" w:rsidTr="005C756A">
        <w:trPr>
          <w:trHeight w:val="1463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4.1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Vecná oprávnenosť výdavkov projektu - obsahová oprávnenosť, účelnosť a účinnosť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pStyle w:val="Normlnywebov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 xml:space="preserve">Posudzuje sa, či sú žiadané výdavky projektu vecne (obsahovo) oprávnené v zmysle riadiacej dokumentácie IROP upravujúcej oblasť oprávnenosti výdavkov, resp. výzvy, či sú účelné z pohľadu dosahovania stanovených cieľov projektu (t.j. či sú potrebné/nevyhnutné na realizáciu aktivít projektu) a či spĺňajú zásadu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účinnosti (t.j. plnenie stanovených cieľov a dosahovanie plánovaných výsledkov).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 xml:space="preserve">Pozn.: </w:t>
            </w:r>
          </w:p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</w:rPr>
              <w:t>V prípade identifikácie neoprávnených výdavkov projektu sa v procese odborného hodnotenia výška celkových oprávnených výdavkov projektu adekvátne zníži.</w:t>
            </w:r>
          </w:p>
        </w:tc>
        <w:tc>
          <w:tcPr>
            <w:tcW w:w="154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Vylučujúce kritérium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706EF2" w:rsidRPr="008C5A0F" w:rsidRDefault="00A83242" w:rsidP="004517AE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70% a viac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86425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  <w:vAlign w:val="center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706EF2" w:rsidRPr="008C5A0F" w:rsidRDefault="00A83242" w:rsidP="005C756A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Menej ako 70% finančnej hodnoty žiadateľom definovaných celkových oprávnených výdavkov projektu je vecne oprávnených (obsahová oprávnenosť, účelnosť a účinnosť).</w:t>
            </w:r>
          </w:p>
        </w:tc>
      </w:tr>
      <w:tr w:rsidR="00706EF2" w:rsidRPr="008C5A0F" w:rsidTr="008275D3">
        <w:trPr>
          <w:trHeight w:val="697"/>
        </w:trPr>
        <w:tc>
          <w:tcPr>
            <w:tcW w:w="645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4.2</w:t>
            </w:r>
          </w:p>
        </w:tc>
        <w:tc>
          <w:tcPr>
            <w:tcW w:w="2154" w:type="dxa"/>
            <w:vMerge w:val="restart"/>
          </w:tcPr>
          <w:p w:rsidR="00706EF2" w:rsidRPr="008C5A0F" w:rsidRDefault="00A8324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Efektívnosť a hospodárnosť výdavkov projektu </w:t>
            </w:r>
          </w:p>
        </w:tc>
        <w:tc>
          <w:tcPr>
            <w:tcW w:w="5295" w:type="dxa"/>
            <w:vMerge w:val="restart"/>
          </w:tcPr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Posudzuje sa, či navrhnuté výdavky projektu spĺňajú podmienku hospodárnosti a efektívnosti a či zodpovedajú obvyklým cenám v danom mieste a čase.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lastRenderedPageBreak/>
              <w:t>Pozn.:</w:t>
            </w: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br/>
              <w:t xml:space="preserve">V prípade </w:t>
            </w:r>
            <w:proofErr w:type="spellStart"/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benchmarkov</w:t>
            </w:r>
            <w:proofErr w:type="spellEnd"/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 xml:space="preserve"> (t.j. smerných ukazovateľov, ktoré sa vzťahujú na výstupy  projektu) a finančných limitov (t.j. jednotkových cien, ktoré sa vzťahujú na konkrétne typy výdavkov, napr. informačná tabuľa), budú stanovené konkrétne hodnoty, ktoré budú pravidelne aktualizované podľa vývoja trhových cien. 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V prípade prekročenia stanovených benchmarkov (alebo iných spôsobov overovania hospodárnosti a efektívnosti výdavkov viažucich sa na výstupy projektu) sa posúdi, či toto prekročenie zodpovedá navrhnutému riešeniu a sťaženým podmienkam realizácie projektu. To znamená, že výdavky nad referenčnú hodnotu benchmarku budú akceptovateľné ako oprávnené iba v odôvodnených objektívnych prípadoch vyplývajúcich zo stavebno-technických, technologických, prírodných, časových alebo iných špecifík. V prípade prekročenia stanovených finančných limitov, alebo v prípade konkrétnych výdavkov, ktoré budú nadhodnotené, budú tieto výdavky znížené a projekt nebude diskvalifikovaný.</w:t>
            </w:r>
          </w:p>
          <w:p w:rsidR="00A83242" w:rsidRPr="008C5A0F" w:rsidRDefault="00A83242" w:rsidP="00A83242">
            <w:pPr>
              <w:widowControl w:val="0"/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  <w:r w:rsidRPr="008C5A0F"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  <w:t>Pri posudzovaní hospodárnosti a efektívnosti výdavkov projektu sa berie do úvahy výška výdavkov projektu po ich prípadnom znížení odborným hodnotiteľom.</w:t>
            </w:r>
          </w:p>
          <w:p w:rsidR="00A83242" w:rsidRPr="008C5A0F" w:rsidRDefault="00A83242" w:rsidP="00A83242">
            <w:pPr>
              <w:pStyle w:val="Zkladntext"/>
              <w:spacing w:before="0" w:after="0"/>
              <w:jc w:val="lef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8C5A0F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Pozn.: pre objektívne posúdenie tohto kritéria bude v písomnom vyzvaní na predloženie žiadosti o NFP a v Príručke pre hodnotiteľa uvedený spôsob preukazovania a postup overovania hospodárnosti a efektívnosti výdavkov. </w:t>
            </w: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A83242" w:rsidRPr="008C5A0F" w:rsidRDefault="00A83242" w:rsidP="00A83242">
            <w:pPr>
              <w:rPr>
                <w:rFonts w:ascii="Arial" w:hAnsi="Arial" w:cs="Arial"/>
                <w:i/>
                <w:color w:val="000000" w:themeColor="text1"/>
                <w:sz w:val="19"/>
                <w:szCs w:val="19"/>
                <w:bdr w:val="none" w:sz="0" w:space="0" w:color="auto" w:frame="1"/>
              </w:rPr>
            </w:pPr>
          </w:p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 w:val="restart"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vylučujúce</w:t>
            </w: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/>
              </w:rPr>
              <w:t>áno</w:t>
            </w:r>
          </w:p>
        </w:tc>
        <w:tc>
          <w:tcPr>
            <w:tcW w:w="3341" w:type="dxa"/>
            <w:vAlign w:val="center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  <w:tr w:rsidR="00706EF2" w:rsidRPr="008C5A0F" w:rsidTr="00706EF2">
        <w:trPr>
          <w:trHeight w:val="697"/>
        </w:trPr>
        <w:tc>
          <w:tcPr>
            <w:tcW w:w="64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215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5295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44" w:type="dxa"/>
            <w:vMerge/>
          </w:tcPr>
          <w:p w:rsidR="00706EF2" w:rsidRPr="008C5A0F" w:rsidRDefault="00706EF2" w:rsidP="00F21090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149" w:type="dxa"/>
          </w:tcPr>
          <w:p w:rsidR="00706EF2" w:rsidRPr="008C5A0F" w:rsidRDefault="004517AE" w:rsidP="00676287">
            <w:pPr>
              <w:pStyle w:val="Table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5"/>
              <w:rPr>
                <w:rFonts w:ascii="Arial" w:eastAsia="Helvetica" w:hAnsi="Arial" w:cs="Arial"/>
                <w:color w:val="000000" w:themeColor="text1"/>
                <w:sz w:val="19"/>
                <w:szCs w:val="19"/>
                <w:lang w:val="sk-SK"/>
              </w:rPr>
            </w:pPr>
            <w:r w:rsidRPr="008C5A0F">
              <w:rPr>
                <w:rFonts w:ascii="Arial" w:hAnsi="Arial" w:cs="Arial"/>
                <w:sz w:val="19"/>
                <w:szCs w:val="19"/>
                <w:lang w:val="sk-SK" w:eastAsia="sk-SK"/>
              </w:rPr>
              <w:t>nie</w:t>
            </w:r>
          </w:p>
        </w:tc>
        <w:tc>
          <w:tcPr>
            <w:tcW w:w="3341" w:type="dxa"/>
          </w:tcPr>
          <w:p w:rsidR="00A83242" w:rsidRPr="008C5A0F" w:rsidRDefault="00A83242" w:rsidP="00A83242">
            <w:pPr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t xml:space="preserve">Žiadané výdavky projektu nie sú hospodárne a efektívne, nezodpovedajú obvyklým cenám v danom čase a mieste, nespĺňajú cieľ </w:t>
            </w: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  <w:u w:color="000000"/>
              </w:rPr>
              <w:lastRenderedPageBreak/>
              <w:t>minimalizácie nákladov pri dodržaní požadovanej kvality výstupov.</w:t>
            </w:r>
          </w:p>
          <w:p w:rsidR="00706EF2" w:rsidRPr="008C5A0F" w:rsidRDefault="00706EF2" w:rsidP="00F21090">
            <w:pPr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</w:pPr>
          </w:p>
        </w:tc>
      </w:tr>
    </w:tbl>
    <w:p w:rsidR="00B97FA2" w:rsidRDefault="00B97FA2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8C5A0F" w:rsidRPr="008C5A0F" w:rsidRDefault="008C5A0F">
      <w:pPr>
        <w:rPr>
          <w:rFonts w:ascii="Arial" w:hAnsi="Arial" w:cs="Arial"/>
          <w:color w:val="000000" w:themeColor="text1"/>
          <w:sz w:val="19"/>
          <w:szCs w:val="19"/>
        </w:rPr>
      </w:pPr>
    </w:p>
    <w:p w:rsidR="0066125B" w:rsidRPr="008C5A0F" w:rsidRDefault="0066125B" w:rsidP="008C5A0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5A0F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Sumarizačný prehľad hodnotiacich kritérií </w:t>
      </w:r>
    </w:p>
    <w:tbl>
      <w:tblPr>
        <w:tblStyle w:val="Mriekatabuky"/>
        <w:tblW w:w="12839" w:type="dxa"/>
        <w:tblLayout w:type="fixed"/>
        <w:tblLook w:val="04A0" w:firstRow="1" w:lastRow="0" w:firstColumn="1" w:lastColumn="0" w:noHBand="0" w:noVBand="1"/>
      </w:tblPr>
      <w:tblGrid>
        <w:gridCol w:w="2802"/>
        <w:gridCol w:w="7512"/>
        <w:gridCol w:w="1276"/>
        <w:gridCol w:w="1249"/>
      </w:tblGrid>
      <w:tr w:rsidR="00706EF2" w:rsidRPr="008C5A0F" w:rsidTr="00706EF2">
        <w:tc>
          <w:tcPr>
            <w:tcW w:w="280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Hodnotené oblasti</w:t>
            </w:r>
          </w:p>
        </w:tc>
        <w:tc>
          <w:tcPr>
            <w:tcW w:w="7512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Hodnotiace kritériá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Typ kritéria</w:t>
            </w:r>
          </w:p>
        </w:tc>
        <w:tc>
          <w:tcPr>
            <w:tcW w:w="1249" w:type="dxa"/>
            <w:shd w:val="clear" w:color="auto" w:fill="9CC2E5" w:themeFill="accent1" w:themeFillTint="99"/>
          </w:tcPr>
          <w:p w:rsidR="00706EF2" w:rsidRPr="008C5A0F" w:rsidRDefault="00706EF2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Hodnotenie/bodová škála</w:t>
            </w:r>
          </w:p>
        </w:tc>
      </w:tr>
      <w:tr w:rsidR="00706EF2" w:rsidRPr="008C5A0F" w:rsidTr="00706EF2">
        <w:trPr>
          <w:trHeight w:val="180"/>
        </w:trPr>
        <w:tc>
          <w:tcPr>
            <w:tcW w:w="2802" w:type="dxa"/>
            <w:shd w:val="clear" w:color="auto" w:fill="DEEAF6" w:themeFill="accent1" w:themeFillTint="33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1. Príspevok projektu k cieľom a výsledkom operačného programu a prioritnej osi</w:t>
            </w:r>
          </w:p>
        </w:tc>
        <w:tc>
          <w:tcPr>
            <w:tcW w:w="7512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1.1 Súlad projektu s intervenčnou stratégiou operačného programu</w:t>
            </w:r>
          </w:p>
        </w:tc>
        <w:tc>
          <w:tcPr>
            <w:tcW w:w="1276" w:type="dxa"/>
          </w:tcPr>
          <w:p w:rsidR="00706EF2" w:rsidRPr="008C5A0F" w:rsidRDefault="00706EF2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706EF2" w:rsidRPr="008C5A0F" w:rsidRDefault="004517AE" w:rsidP="00A92BA3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13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2. Spôsob realizácie projektu</w:t>
            </w:r>
          </w:p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2.1 Vhodnosť a prepojenosť navrhovaných aktivít projektu vo vzťahu k východiskovej situácii a k stanoveným cieľom a výsledkom projektu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433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2.2 Reálnosť aktivít projektu vo vzťahu k navrhovanému časovému harmonogramu projektu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76"/>
        </w:trPr>
        <w:tc>
          <w:tcPr>
            <w:tcW w:w="2802" w:type="dxa"/>
            <w:vMerge/>
            <w:shd w:val="clear" w:color="auto" w:fill="DEEAF6" w:themeFill="accent1" w:themeFillTint="33"/>
            <w:vAlign w:val="center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2.3 Vhodnosť a uskutočniteľnosť aktivít projektu z hľadiska navrhovaných postupov</w:t>
            </w:r>
          </w:p>
        </w:tc>
        <w:tc>
          <w:tcPr>
            <w:tcW w:w="1276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7201C9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2B5A5D">
        <w:trPr>
          <w:trHeight w:val="180"/>
        </w:trPr>
        <w:tc>
          <w:tcPr>
            <w:tcW w:w="2802" w:type="dxa"/>
            <w:vMerge w:val="restart"/>
            <w:shd w:val="clear" w:color="auto" w:fill="DEEAF6" w:themeFill="accent1" w:themeFillTint="33"/>
            <w:vAlign w:val="center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3. Administratívna a prevádzková kapacita žiadateľa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3.1 Kapacita žiadateľa na riadenie projektu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25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>3.2 Kapacita žiadateľa na realizáciu projektu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315"/>
        </w:trPr>
        <w:tc>
          <w:tcPr>
            <w:tcW w:w="2802" w:type="dxa"/>
            <w:vMerge w:val="restart"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b/>
                <w:bCs/>
                <w:color w:val="000000"/>
                <w:sz w:val="19"/>
                <w:szCs w:val="19"/>
                <w:lang w:eastAsia="sk-SK"/>
              </w:rPr>
              <w:t>4. Finančná a ekonomická stránka projektu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4.1 </w:t>
            </w:r>
            <w:r w:rsidR="00A83242" w:rsidRPr="008C5A0F">
              <w:rPr>
                <w:rFonts w:ascii="Arial" w:eastAsia="Helvetica" w:hAnsi="Arial" w:cs="Arial"/>
                <w:color w:val="000000" w:themeColor="text1"/>
                <w:sz w:val="19"/>
                <w:szCs w:val="19"/>
              </w:rPr>
              <w:t>Vecná oprávnenosť výdavkov projektu - obsahová oprávnenosť, účelnosť a účinnosť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  <w:tr w:rsidR="004517AE" w:rsidRPr="008C5A0F" w:rsidTr="00706EF2">
        <w:trPr>
          <w:trHeight w:val="270"/>
        </w:trPr>
        <w:tc>
          <w:tcPr>
            <w:tcW w:w="2802" w:type="dxa"/>
            <w:vMerge/>
            <w:shd w:val="clear" w:color="auto" w:fill="DEEAF6" w:themeFill="accent1" w:themeFillTint="33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7512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/>
                <w:sz w:val="19"/>
                <w:szCs w:val="19"/>
                <w:lang w:eastAsia="sk-SK"/>
              </w:rPr>
              <w:t xml:space="preserve">4.2 </w:t>
            </w:r>
            <w:r w:rsidR="00A83242"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 Efektívnosť a hospodárnosť výdavkov projektu</w:t>
            </w:r>
          </w:p>
        </w:tc>
        <w:tc>
          <w:tcPr>
            <w:tcW w:w="1276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Vylučovacie</w:t>
            </w:r>
          </w:p>
        </w:tc>
        <w:tc>
          <w:tcPr>
            <w:tcW w:w="1249" w:type="dxa"/>
          </w:tcPr>
          <w:p w:rsidR="004517AE" w:rsidRPr="008C5A0F" w:rsidRDefault="004517AE" w:rsidP="00AA3D58">
            <w:pPr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C5A0F">
              <w:rPr>
                <w:rFonts w:ascii="Arial" w:hAnsi="Arial" w:cs="Arial"/>
                <w:color w:val="000000" w:themeColor="text1"/>
                <w:sz w:val="19"/>
                <w:szCs w:val="19"/>
              </w:rPr>
              <w:t>áno/nie</w:t>
            </w:r>
          </w:p>
        </w:tc>
      </w:tr>
    </w:tbl>
    <w:p w:rsidR="007730D9" w:rsidRPr="008C5A0F" w:rsidRDefault="003C011E" w:rsidP="003C011E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  <w:r w:rsidRPr="008C5A0F">
        <w:rPr>
          <w:rFonts w:ascii="Arial" w:hAnsi="Arial" w:cs="Arial"/>
          <w:b/>
          <w:color w:val="000000"/>
          <w:sz w:val="19"/>
          <w:szCs w:val="19"/>
          <w:lang w:eastAsia="sk-SK"/>
        </w:rPr>
        <w:t>Na splnenie kritérií odborného hodnotenia je potrebné splniť (hodnotenie „áno“) všetky hodnotiace kritériá.</w:t>
      </w:r>
    </w:p>
    <w:p w:rsidR="006B78F9" w:rsidRPr="008C5A0F" w:rsidRDefault="006B78F9" w:rsidP="00E95C27">
      <w:pPr>
        <w:pStyle w:val="Zkladntext"/>
        <w:spacing w:before="120" w:after="0"/>
        <w:rPr>
          <w:rFonts w:ascii="Arial" w:hAnsi="Arial" w:cs="Arial"/>
          <w:b/>
          <w:color w:val="000000"/>
          <w:sz w:val="19"/>
          <w:szCs w:val="19"/>
          <w:lang w:eastAsia="sk-SK"/>
        </w:rPr>
      </w:pPr>
    </w:p>
    <w:sectPr w:rsidR="006B78F9" w:rsidRPr="008C5A0F" w:rsidSect="00133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42" w:rsidRDefault="00095B42" w:rsidP="00DF766D">
      <w:pPr>
        <w:spacing w:after="0" w:line="240" w:lineRule="auto"/>
      </w:pPr>
      <w:r>
        <w:separator/>
      </w:r>
    </w:p>
  </w:endnote>
  <w:endnote w:type="continuationSeparator" w:id="0">
    <w:p w:rsidR="00095B42" w:rsidRDefault="00095B42" w:rsidP="00DF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42" w:rsidRDefault="00095B42" w:rsidP="00DF766D">
      <w:pPr>
        <w:spacing w:after="0" w:line="240" w:lineRule="auto"/>
      </w:pPr>
      <w:r>
        <w:separator/>
      </w:r>
    </w:p>
  </w:footnote>
  <w:footnote w:type="continuationSeparator" w:id="0">
    <w:p w:rsidR="00095B42" w:rsidRDefault="00095B42" w:rsidP="00DF7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 w:rsidP="00DF766D">
    <w:pPr>
      <w:pStyle w:val="Hlavik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Príloha č. </w:t>
    </w:r>
    <w:r>
      <w:rPr>
        <w:rFonts w:ascii="Arial" w:hAnsi="Arial" w:cs="Arial"/>
        <w:sz w:val="20"/>
        <w:szCs w:val="20"/>
      </w:rPr>
      <w:t xml:space="preserve">4 Písomného </w:t>
    </w:r>
    <w:r>
      <w:rPr>
        <w:rFonts w:ascii="Arial" w:hAnsi="Arial" w:cs="Arial"/>
        <w:sz w:val="20"/>
        <w:szCs w:val="20"/>
      </w:rPr>
      <w:t>vyzvania</w:t>
    </w:r>
    <w:bookmarkStart w:id="0" w:name="_GoBack"/>
    <w:bookmarkEnd w:id="0"/>
  </w:p>
  <w:p w:rsidR="00DF766D" w:rsidRDefault="00DF766D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66D" w:rsidRDefault="00DF766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05DE"/>
    <w:multiLevelType w:val="hybridMultilevel"/>
    <w:tmpl w:val="83A60BD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33B"/>
    <w:multiLevelType w:val="hybridMultilevel"/>
    <w:tmpl w:val="BDC275E0"/>
    <w:lvl w:ilvl="0" w:tplc="078E40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50CF7"/>
    <w:multiLevelType w:val="hybridMultilevel"/>
    <w:tmpl w:val="A34416C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2A5AD3"/>
    <w:multiLevelType w:val="hybridMultilevel"/>
    <w:tmpl w:val="31562E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1F3"/>
    <w:multiLevelType w:val="hybridMultilevel"/>
    <w:tmpl w:val="B6B4C414"/>
    <w:lvl w:ilvl="0" w:tplc="B4246096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12A9C"/>
    <w:multiLevelType w:val="hybridMultilevel"/>
    <w:tmpl w:val="B2AACE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568DD"/>
    <w:multiLevelType w:val="hybridMultilevel"/>
    <w:tmpl w:val="7480B2B0"/>
    <w:lvl w:ilvl="0" w:tplc="4CDC179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C6C6F"/>
    <w:multiLevelType w:val="hybridMultilevel"/>
    <w:tmpl w:val="412A5B4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5E3850"/>
    <w:multiLevelType w:val="hybridMultilevel"/>
    <w:tmpl w:val="6D3E727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A22"/>
    <w:rsid w:val="00001DA4"/>
    <w:rsid w:val="000029A1"/>
    <w:rsid w:val="00006BDC"/>
    <w:rsid w:val="00011A8B"/>
    <w:rsid w:val="00012037"/>
    <w:rsid w:val="0001588A"/>
    <w:rsid w:val="00050427"/>
    <w:rsid w:val="00052711"/>
    <w:rsid w:val="00052CA7"/>
    <w:rsid w:val="00053DF4"/>
    <w:rsid w:val="000632F6"/>
    <w:rsid w:val="00063C1E"/>
    <w:rsid w:val="0006402A"/>
    <w:rsid w:val="000671D7"/>
    <w:rsid w:val="00067C9F"/>
    <w:rsid w:val="00073386"/>
    <w:rsid w:val="000944CC"/>
    <w:rsid w:val="00095B42"/>
    <w:rsid w:val="000972A2"/>
    <w:rsid w:val="00097AE6"/>
    <w:rsid w:val="000A00C2"/>
    <w:rsid w:val="000B38D3"/>
    <w:rsid w:val="000C34FD"/>
    <w:rsid w:val="000D5B35"/>
    <w:rsid w:val="000D7FBA"/>
    <w:rsid w:val="000E080D"/>
    <w:rsid w:val="000E10C6"/>
    <w:rsid w:val="000E46FD"/>
    <w:rsid w:val="000E6636"/>
    <w:rsid w:val="000F5E7A"/>
    <w:rsid w:val="00100061"/>
    <w:rsid w:val="00100191"/>
    <w:rsid w:val="0010352D"/>
    <w:rsid w:val="001075E6"/>
    <w:rsid w:val="001159D0"/>
    <w:rsid w:val="001221B5"/>
    <w:rsid w:val="00123D25"/>
    <w:rsid w:val="00124BF5"/>
    <w:rsid w:val="00133A41"/>
    <w:rsid w:val="0013600D"/>
    <w:rsid w:val="00142FD9"/>
    <w:rsid w:val="00144A79"/>
    <w:rsid w:val="001521EF"/>
    <w:rsid w:val="00163EB8"/>
    <w:rsid w:val="001665EA"/>
    <w:rsid w:val="00167757"/>
    <w:rsid w:val="001809F1"/>
    <w:rsid w:val="0018641E"/>
    <w:rsid w:val="001A205E"/>
    <w:rsid w:val="001B3D2A"/>
    <w:rsid w:val="001C01BC"/>
    <w:rsid w:val="001C7020"/>
    <w:rsid w:val="001D1A22"/>
    <w:rsid w:val="001E1C77"/>
    <w:rsid w:val="001E4EE8"/>
    <w:rsid w:val="001E6757"/>
    <w:rsid w:val="001F6175"/>
    <w:rsid w:val="001F6D5B"/>
    <w:rsid w:val="00234CAD"/>
    <w:rsid w:val="0023557B"/>
    <w:rsid w:val="0024030A"/>
    <w:rsid w:val="00242E02"/>
    <w:rsid w:val="00265A60"/>
    <w:rsid w:val="00266DA6"/>
    <w:rsid w:val="002954DF"/>
    <w:rsid w:val="00297E2A"/>
    <w:rsid w:val="002A0F60"/>
    <w:rsid w:val="002A6965"/>
    <w:rsid w:val="002C6D76"/>
    <w:rsid w:val="002D30EF"/>
    <w:rsid w:val="002D48DE"/>
    <w:rsid w:val="002E1DF1"/>
    <w:rsid w:val="002E52F1"/>
    <w:rsid w:val="002F2752"/>
    <w:rsid w:val="002F32F7"/>
    <w:rsid w:val="002F39E7"/>
    <w:rsid w:val="00300097"/>
    <w:rsid w:val="00306D13"/>
    <w:rsid w:val="00321211"/>
    <w:rsid w:val="00332DAE"/>
    <w:rsid w:val="00332E9E"/>
    <w:rsid w:val="00335907"/>
    <w:rsid w:val="003508DA"/>
    <w:rsid w:val="0035144C"/>
    <w:rsid w:val="003734EE"/>
    <w:rsid w:val="00377EC6"/>
    <w:rsid w:val="0038512E"/>
    <w:rsid w:val="003940A4"/>
    <w:rsid w:val="003A7A62"/>
    <w:rsid w:val="003C011E"/>
    <w:rsid w:val="003C5193"/>
    <w:rsid w:val="003D68F6"/>
    <w:rsid w:val="003E52E1"/>
    <w:rsid w:val="00400E3E"/>
    <w:rsid w:val="00402ABD"/>
    <w:rsid w:val="00404055"/>
    <w:rsid w:val="0041027B"/>
    <w:rsid w:val="00413F22"/>
    <w:rsid w:val="004343C4"/>
    <w:rsid w:val="00450852"/>
    <w:rsid w:val="004517AE"/>
    <w:rsid w:val="0045441A"/>
    <w:rsid w:val="00456DFE"/>
    <w:rsid w:val="00461A6D"/>
    <w:rsid w:val="00463585"/>
    <w:rsid w:val="00474D5E"/>
    <w:rsid w:val="00474FA9"/>
    <w:rsid w:val="00480D9F"/>
    <w:rsid w:val="00492C48"/>
    <w:rsid w:val="004936CC"/>
    <w:rsid w:val="00494091"/>
    <w:rsid w:val="004A6A8D"/>
    <w:rsid w:val="004B0FC1"/>
    <w:rsid w:val="004B4B65"/>
    <w:rsid w:val="004B5B76"/>
    <w:rsid w:val="004C5BDB"/>
    <w:rsid w:val="004D123C"/>
    <w:rsid w:val="004D3EF2"/>
    <w:rsid w:val="004D4B5C"/>
    <w:rsid w:val="004E0818"/>
    <w:rsid w:val="004E184E"/>
    <w:rsid w:val="004E6552"/>
    <w:rsid w:val="004F40BE"/>
    <w:rsid w:val="004F4BEA"/>
    <w:rsid w:val="004F5941"/>
    <w:rsid w:val="004F652D"/>
    <w:rsid w:val="00502825"/>
    <w:rsid w:val="00506D80"/>
    <w:rsid w:val="00514CD2"/>
    <w:rsid w:val="005206DA"/>
    <w:rsid w:val="00525CA7"/>
    <w:rsid w:val="00530212"/>
    <w:rsid w:val="00533DD1"/>
    <w:rsid w:val="005446ED"/>
    <w:rsid w:val="00557320"/>
    <w:rsid w:val="00564C25"/>
    <w:rsid w:val="00564FB2"/>
    <w:rsid w:val="005659EF"/>
    <w:rsid w:val="00566A08"/>
    <w:rsid w:val="005672EA"/>
    <w:rsid w:val="00571B7A"/>
    <w:rsid w:val="00584F09"/>
    <w:rsid w:val="005907A2"/>
    <w:rsid w:val="005A1FFB"/>
    <w:rsid w:val="005A2843"/>
    <w:rsid w:val="005A28DC"/>
    <w:rsid w:val="005B674E"/>
    <w:rsid w:val="005C14B1"/>
    <w:rsid w:val="005C1B4C"/>
    <w:rsid w:val="005C3887"/>
    <w:rsid w:val="005C4EE2"/>
    <w:rsid w:val="005C5161"/>
    <w:rsid w:val="005C6136"/>
    <w:rsid w:val="005C756A"/>
    <w:rsid w:val="005D4376"/>
    <w:rsid w:val="005D5820"/>
    <w:rsid w:val="005E0478"/>
    <w:rsid w:val="005E1DE5"/>
    <w:rsid w:val="005F092D"/>
    <w:rsid w:val="005F277B"/>
    <w:rsid w:val="005F2BF5"/>
    <w:rsid w:val="00611A9C"/>
    <w:rsid w:val="006135E7"/>
    <w:rsid w:val="00620092"/>
    <w:rsid w:val="00633169"/>
    <w:rsid w:val="0064312B"/>
    <w:rsid w:val="006436E8"/>
    <w:rsid w:val="00647C54"/>
    <w:rsid w:val="0066125B"/>
    <w:rsid w:val="00676287"/>
    <w:rsid w:val="006874E7"/>
    <w:rsid w:val="00694A53"/>
    <w:rsid w:val="006A0492"/>
    <w:rsid w:val="006A0BF9"/>
    <w:rsid w:val="006A377B"/>
    <w:rsid w:val="006B445E"/>
    <w:rsid w:val="006B78F9"/>
    <w:rsid w:val="006C0E70"/>
    <w:rsid w:val="006C13BD"/>
    <w:rsid w:val="006C3092"/>
    <w:rsid w:val="006D4BDB"/>
    <w:rsid w:val="006E5EF6"/>
    <w:rsid w:val="006E7751"/>
    <w:rsid w:val="006F1B9D"/>
    <w:rsid w:val="006F6E4B"/>
    <w:rsid w:val="006F7551"/>
    <w:rsid w:val="00706EF2"/>
    <w:rsid w:val="00711A82"/>
    <w:rsid w:val="007201C9"/>
    <w:rsid w:val="00724D27"/>
    <w:rsid w:val="0072536D"/>
    <w:rsid w:val="00730BA3"/>
    <w:rsid w:val="00737FE6"/>
    <w:rsid w:val="00761F55"/>
    <w:rsid w:val="007671C1"/>
    <w:rsid w:val="007677A7"/>
    <w:rsid w:val="007730D9"/>
    <w:rsid w:val="00776A0A"/>
    <w:rsid w:val="00782154"/>
    <w:rsid w:val="00787E29"/>
    <w:rsid w:val="007963E6"/>
    <w:rsid w:val="007A21D8"/>
    <w:rsid w:val="007B0512"/>
    <w:rsid w:val="007C554D"/>
    <w:rsid w:val="007D1DD7"/>
    <w:rsid w:val="007D5E41"/>
    <w:rsid w:val="007F07F0"/>
    <w:rsid w:val="00806EE5"/>
    <w:rsid w:val="00810CA0"/>
    <w:rsid w:val="00832644"/>
    <w:rsid w:val="008344F0"/>
    <w:rsid w:val="0084209D"/>
    <w:rsid w:val="00850010"/>
    <w:rsid w:val="00866379"/>
    <w:rsid w:val="0087676B"/>
    <w:rsid w:val="008830BE"/>
    <w:rsid w:val="0088319A"/>
    <w:rsid w:val="00884096"/>
    <w:rsid w:val="00884E2B"/>
    <w:rsid w:val="008868FC"/>
    <w:rsid w:val="00897FB1"/>
    <w:rsid w:val="008A16D1"/>
    <w:rsid w:val="008A526E"/>
    <w:rsid w:val="008C0F98"/>
    <w:rsid w:val="008C3491"/>
    <w:rsid w:val="008C5A0F"/>
    <w:rsid w:val="008D6E6B"/>
    <w:rsid w:val="008E6E93"/>
    <w:rsid w:val="0090377F"/>
    <w:rsid w:val="00904C1B"/>
    <w:rsid w:val="009053CD"/>
    <w:rsid w:val="0091653B"/>
    <w:rsid w:val="00917948"/>
    <w:rsid w:val="009205E5"/>
    <w:rsid w:val="00924D71"/>
    <w:rsid w:val="0093308D"/>
    <w:rsid w:val="00936112"/>
    <w:rsid w:val="00936E74"/>
    <w:rsid w:val="00937559"/>
    <w:rsid w:val="009409E0"/>
    <w:rsid w:val="00946D6B"/>
    <w:rsid w:val="0094785A"/>
    <w:rsid w:val="009945EE"/>
    <w:rsid w:val="00997057"/>
    <w:rsid w:val="0099710F"/>
    <w:rsid w:val="009A369D"/>
    <w:rsid w:val="009C0042"/>
    <w:rsid w:val="009C4230"/>
    <w:rsid w:val="009C4244"/>
    <w:rsid w:val="009E077A"/>
    <w:rsid w:val="009E2275"/>
    <w:rsid w:val="009F3EF1"/>
    <w:rsid w:val="009F7E32"/>
    <w:rsid w:val="00A00471"/>
    <w:rsid w:val="00A1383A"/>
    <w:rsid w:val="00A1512A"/>
    <w:rsid w:val="00A15A65"/>
    <w:rsid w:val="00A338A0"/>
    <w:rsid w:val="00A350A3"/>
    <w:rsid w:val="00A408C5"/>
    <w:rsid w:val="00A4205B"/>
    <w:rsid w:val="00A46333"/>
    <w:rsid w:val="00A70AD7"/>
    <w:rsid w:val="00A80E36"/>
    <w:rsid w:val="00A82432"/>
    <w:rsid w:val="00A83242"/>
    <w:rsid w:val="00A8557A"/>
    <w:rsid w:val="00A86F4D"/>
    <w:rsid w:val="00A87D14"/>
    <w:rsid w:val="00A92BA3"/>
    <w:rsid w:val="00AA3396"/>
    <w:rsid w:val="00AA3D58"/>
    <w:rsid w:val="00AA5A4D"/>
    <w:rsid w:val="00AA6A84"/>
    <w:rsid w:val="00AB4309"/>
    <w:rsid w:val="00AC5089"/>
    <w:rsid w:val="00AD0BD3"/>
    <w:rsid w:val="00AD3A2C"/>
    <w:rsid w:val="00AD7D8F"/>
    <w:rsid w:val="00AE12AB"/>
    <w:rsid w:val="00AE2053"/>
    <w:rsid w:val="00AE3BB4"/>
    <w:rsid w:val="00AE6EA5"/>
    <w:rsid w:val="00AE7306"/>
    <w:rsid w:val="00AF1927"/>
    <w:rsid w:val="00AF28C6"/>
    <w:rsid w:val="00B002CF"/>
    <w:rsid w:val="00B31F1F"/>
    <w:rsid w:val="00B34267"/>
    <w:rsid w:val="00B36FD1"/>
    <w:rsid w:val="00B442F9"/>
    <w:rsid w:val="00B45C27"/>
    <w:rsid w:val="00B51367"/>
    <w:rsid w:val="00B52B16"/>
    <w:rsid w:val="00B55B1D"/>
    <w:rsid w:val="00B56B95"/>
    <w:rsid w:val="00B57DBC"/>
    <w:rsid w:val="00B60AC2"/>
    <w:rsid w:val="00B61709"/>
    <w:rsid w:val="00B7464C"/>
    <w:rsid w:val="00B8286E"/>
    <w:rsid w:val="00B84148"/>
    <w:rsid w:val="00B863A2"/>
    <w:rsid w:val="00B97FA2"/>
    <w:rsid w:val="00BA04DA"/>
    <w:rsid w:val="00BE0415"/>
    <w:rsid w:val="00BE2537"/>
    <w:rsid w:val="00BF4036"/>
    <w:rsid w:val="00BF73A1"/>
    <w:rsid w:val="00C10274"/>
    <w:rsid w:val="00C166AE"/>
    <w:rsid w:val="00C318FB"/>
    <w:rsid w:val="00C31AB1"/>
    <w:rsid w:val="00C32219"/>
    <w:rsid w:val="00C4203C"/>
    <w:rsid w:val="00C7770C"/>
    <w:rsid w:val="00C7787D"/>
    <w:rsid w:val="00C80F70"/>
    <w:rsid w:val="00C8244B"/>
    <w:rsid w:val="00C9162D"/>
    <w:rsid w:val="00C94654"/>
    <w:rsid w:val="00C95D9D"/>
    <w:rsid w:val="00CA5EA1"/>
    <w:rsid w:val="00CB435D"/>
    <w:rsid w:val="00CB7E6A"/>
    <w:rsid w:val="00CC5BBA"/>
    <w:rsid w:val="00CD3CF6"/>
    <w:rsid w:val="00CD7013"/>
    <w:rsid w:val="00CE71C7"/>
    <w:rsid w:val="00CF16E2"/>
    <w:rsid w:val="00CF7D09"/>
    <w:rsid w:val="00D00921"/>
    <w:rsid w:val="00D01FD5"/>
    <w:rsid w:val="00D1062A"/>
    <w:rsid w:val="00D26DB4"/>
    <w:rsid w:val="00D27008"/>
    <w:rsid w:val="00D32760"/>
    <w:rsid w:val="00D412D9"/>
    <w:rsid w:val="00D60082"/>
    <w:rsid w:val="00D60740"/>
    <w:rsid w:val="00D6199A"/>
    <w:rsid w:val="00D63371"/>
    <w:rsid w:val="00D64AC5"/>
    <w:rsid w:val="00D93C54"/>
    <w:rsid w:val="00D95960"/>
    <w:rsid w:val="00D966AC"/>
    <w:rsid w:val="00D96775"/>
    <w:rsid w:val="00DA53AF"/>
    <w:rsid w:val="00DB7640"/>
    <w:rsid w:val="00DC153C"/>
    <w:rsid w:val="00DC36C6"/>
    <w:rsid w:val="00DD2D69"/>
    <w:rsid w:val="00DD7129"/>
    <w:rsid w:val="00DE38DF"/>
    <w:rsid w:val="00DF766D"/>
    <w:rsid w:val="00E31C53"/>
    <w:rsid w:val="00E362F1"/>
    <w:rsid w:val="00E45BD9"/>
    <w:rsid w:val="00E47E4E"/>
    <w:rsid w:val="00E56953"/>
    <w:rsid w:val="00E56D2F"/>
    <w:rsid w:val="00E67696"/>
    <w:rsid w:val="00E67B2B"/>
    <w:rsid w:val="00E72CA9"/>
    <w:rsid w:val="00E7412D"/>
    <w:rsid w:val="00E75483"/>
    <w:rsid w:val="00E80073"/>
    <w:rsid w:val="00E940C1"/>
    <w:rsid w:val="00E95C27"/>
    <w:rsid w:val="00E974D2"/>
    <w:rsid w:val="00EA479B"/>
    <w:rsid w:val="00EB0343"/>
    <w:rsid w:val="00EB1365"/>
    <w:rsid w:val="00EB2C0D"/>
    <w:rsid w:val="00EC6B78"/>
    <w:rsid w:val="00ED180B"/>
    <w:rsid w:val="00ED22F7"/>
    <w:rsid w:val="00ED534F"/>
    <w:rsid w:val="00ED540B"/>
    <w:rsid w:val="00EF2D3B"/>
    <w:rsid w:val="00F04E95"/>
    <w:rsid w:val="00F076B2"/>
    <w:rsid w:val="00F152B3"/>
    <w:rsid w:val="00F167CE"/>
    <w:rsid w:val="00F17060"/>
    <w:rsid w:val="00F21090"/>
    <w:rsid w:val="00F30380"/>
    <w:rsid w:val="00F3197C"/>
    <w:rsid w:val="00F320A4"/>
    <w:rsid w:val="00F424BE"/>
    <w:rsid w:val="00F44AD3"/>
    <w:rsid w:val="00F4675B"/>
    <w:rsid w:val="00F46F7E"/>
    <w:rsid w:val="00F573D9"/>
    <w:rsid w:val="00F6344B"/>
    <w:rsid w:val="00F71137"/>
    <w:rsid w:val="00F73B52"/>
    <w:rsid w:val="00F74F91"/>
    <w:rsid w:val="00F774EA"/>
    <w:rsid w:val="00F84F8D"/>
    <w:rsid w:val="00F86C21"/>
    <w:rsid w:val="00F87137"/>
    <w:rsid w:val="00F90199"/>
    <w:rsid w:val="00F90749"/>
    <w:rsid w:val="00FA10DA"/>
    <w:rsid w:val="00FA416E"/>
    <w:rsid w:val="00FB1F26"/>
    <w:rsid w:val="00FB74B1"/>
    <w:rsid w:val="00FD023B"/>
    <w:rsid w:val="00FE053E"/>
    <w:rsid w:val="00FE34DB"/>
    <w:rsid w:val="00FF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1D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D412D9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412D9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412D9"/>
  </w:style>
  <w:style w:type="paragraph" w:styleId="Revzia">
    <w:name w:val="Revision"/>
    <w:hidden/>
    <w:uiPriority w:val="99"/>
    <w:semiHidden/>
    <w:rsid w:val="00530212"/>
    <w:pPr>
      <w:spacing w:after="0" w:line="240" w:lineRule="auto"/>
    </w:pPr>
  </w:style>
  <w:style w:type="paragraph" w:customStyle="1" w:styleId="Rub3">
    <w:name w:val="Rub3"/>
    <w:basedOn w:val="Normlny"/>
    <w:next w:val="Normlny"/>
    <w:rsid w:val="00CE71C7"/>
    <w:pPr>
      <w:widowControl w:val="0"/>
      <w:tabs>
        <w:tab w:val="left" w:pos="709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en-GB" w:eastAsia="cs-CZ"/>
    </w:rPr>
  </w:style>
  <w:style w:type="paragraph" w:styleId="Zoznamsodrkami">
    <w:name w:val="List Bullet"/>
    <w:basedOn w:val="Zkladntext"/>
    <w:qFormat/>
    <w:rsid w:val="002A6965"/>
    <w:pPr>
      <w:numPr>
        <w:numId w:val="15"/>
      </w:numPr>
    </w:pPr>
  </w:style>
  <w:style w:type="paragraph" w:styleId="Normlnywebov">
    <w:name w:val="Normal (Web)"/>
    <w:basedOn w:val="Normlny"/>
    <w:uiPriority w:val="99"/>
    <w:unhideWhenUsed/>
    <w:rsid w:val="00A8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F766D"/>
  </w:style>
  <w:style w:type="paragraph" w:styleId="Pta">
    <w:name w:val="footer"/>
    <w:basedOn w:val="Normlny"/>
    <w:link w:val="PtaChar"/>
    <w:uiPriority w:val="99"/>
    <w:unhideWhenUsed/>
    <w:rsid w:val="00DF7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7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5D8BC-0511-4954-B677-A51B77A5D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13042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Geschwandtner Michal</cp:lastModifiedBy>
  <cp:revision>3</cp:revision>
  <dcterms:created xsi:type="dcterms:W3CDTF">2015-09-14T05:51:00Z</dcterms:created>
  <dcterms:modified xsi:type="dcterms:W3CDTF">2016-07-21T07:26:00Z</dcterms:modified>
</cp:coreProperties>
</file>