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8E391" w14:textId="01E202FA" w:rsidR="004D1396" w:rsidRPr="006A44B6" w:rsidRDefault="00F045BE" w:rsidP="00034E4D">
      <w:pPr>
        <w:tabs>
          <w:tab w:val="left" w:pos="6663"/>
        </w:tabs>
        <w:jc w:val="right"/>
        <w:outlineLvl w:val="0"/>
        <w:rPr>
          <w:rFonts w:asciiTheme="majorHAnsi" w:hAnsiTheme="majorHAnsi" w:cstheme="majorHAnsi"/>
          <w:b/>
          <w:color w:val="000000" w:themeColor="text1"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color w:val="000000" w:themeColor="text1"/>
          <w:sz w:val="20"/>
          <w:szCs w:val="20"/>
          <w:lang w:val="sk-SK"/>
        </w:rPr>
        <w:t xml:space="preserve">Príloha výzvy č. </w:t>
      </w:r>
      <w:r w:rsidR="006C15D0">
        <w:rPr>
          <w:rFonts w:asciiTheme="majorHAnsi" w:hAnsiTheme="majorHAnsi" w:cstheme="majorHAnsi"/>
          <w:b/>
          <w:color w:val="000000" w:themeColor="text1"/>
          <w:sz w:val="20"/>
          <w:szCs w:val="20"/>
          <w:lang w:val="sk-SK"/>
        </w:rPr>
        <w:t>5</w:t>
      </w:r>
    </w:p>
    <w:p w14:paraId="218F2691" w14:textId="77777777" w:rsidR="005C4BFE" w:rsidRPr="0062294A" w:rsidRDefault="005C4BFE" w:rsidP="005C4BFE">
      <w:pPr>
        <w:jc w:val="center"/>
        <w:rPr>
          <w:rFonts w:asciiTheme="majorHAnsi" w:hAnsiTheme="majorHAnsi" w:cstheme="majorHAnsi"/>
          <w:b/>
          <w:color w:val="002776" w:themeColor="text2"/>
          <w:szCs w:val="19"/>
          <w:lang w:val="sk-SK"/>
        </w:rPr>
      </w:pPr>
    </w:p>
    <w:p w14:paraId="67D76229" w14:textId="5698ED23" w:rsidR="00796B44" w:rsidRDefault="00796B44" w:rsidP="00796B44">
      <w:pPr>
        <w:jc w:val="center"/>
        <w:outlineLvl w:val="0"/>
        <w:rPr>
          <w:b/>
          <w:color w:val="002776" w:themeColor="text2"/>
          <w:sz w:val="24"/>
          <w:szCs w:val="16"/>
          <w:lang w:val="sk-SK"/>
        </w:rPr>
      </w:pPr>
      <w:r>
        <w:rPr>
          <w:b/>
          <w:color w:val="002776" w:themeColor="text2"/>
          <w:sz w:val="24"/>
          <w:szCs w:val="16"/>
          <w:lang w:val="sk-SK"/>
        </w:rPr>
        <w:t>Zoznam</w:t>
      </w:r>
      <w:r w:rsidRPr="005C4BFE">
        <w:rPr>
          <w:b/>
          <w:color w:val="002776" w:themeColor="text2"/>
          <w:sz w:val="24"/>
          <w:szCs w:val="16"/>
          <w:lang w:val="sk-SK"/>
        </w:rPr>
        <w:t xml:space="preserve"> oprávnen</w:t>
      </w:r>
      <w:r>
        <w:rPr>
          <w:b/>
          <w:color w:val="002776" w:themeColor="text2"/>
          <w:sz w:val="24"/>
          <w:szCs w:val="16"/>
          <w:lang w:val="sk-SK"/>
        </w:rPr>
        <w:t>ých</w:t>
      </w:r>
      <w:r w:rsidRPr="005C4BFE">
        <w:rPr>
          <w:b/>
          <w:color w:val="002776" w:themeColor="text2"/>
          <w:sz w:val="24"/>
          <w:szCs w:val="16"/>
          <w:lang w:val="sk-SK"/>
        </w:rPr>
        <w:t xml:space="preserve"> výdavkov</w:t>
      </w:r>
      <w:r>
        <w:rPr>
          <w:b/>
          <w:color w:val="002776" w:themeColor="text2"/>
          <w:sz w:val="24"/>
          <w:szCs w:val="16"/>
          <w:lang w:val="sk-SK"/>
        </w:rPr>
        <w:br/>
        <w:t xml:space="preserve">k výzve na predkladanie </w:t>
      </w:r>
      <w:proofErr w:type="spellStart"/>
      <w:r>
        <w:rPr>
          <w:b/>
          <w:color w:val="002776" w:themeColor="text2"/>
          <w:sz w:val="24"/>
          <w:szCs w:val="16"/>
          <w:lang w:val="sk-SK"/>
        </w:rPr>
        <w:t>ŽoNFP</w:t>
      </w:r>
      <w:proofErr w:type="spellEnd"/>
      <w:r>
        <w:rPr>
          <w:b/>
          <w:color w:val="002776" w:themeColor="text2"/>
          <w:sz w:val="24"/>
          <w:szCs w:val="16"/>
          <w:lang w:val="sk-SK"/>
        </w:rPr>
        <w:t xml:space="preserve"> č</w:t>
      </w:r>
      <w:r w:rsidRPr="00DC7B15">
        <w:rPr>
          <w:b/>
          <w:color w:val="002776" w:themeColor="text2"/>
          <w:sz w:val="24"/>
          <w:szCs w:val="16"/>
          <w:lang w:val="sk-SK"/>
        </w:rPr>
        <w:t>. IROP-PO</w:t>
      </w:r>
      <w:r>
        <w:rPr>
          <w:b/>
          <w:color w:val="002776" w:themeColor="text2"/>
          <w:sz w:val="24"/>
          <w:szCs w:val="16"/>
          <w:lang w:val="sk-SK"/>
        </w:rPr>
        <w:t>1</w:t>
      </w:r>
      <w:r w:rsidRPr="00DC7B15">
        <w:rPr>
          <w:b/>
          <w:color w:val="002776" w:themeColor="text2"/>
          <w:sz w:val="24"/>
          <w:szCs w:val="16"/>
          <w:lang w:val="sk-SK"/>
        </w:rPr>
        <w:t>-SC</w:t>
      </w:r>
      <w:r>
        <w:rPr>
          <w:b/>
          <w:color w:val="002776" w:themeColor="text2"/>
          <w:sz w:val="24"/>
          <w:szCs w:val="16"/>
          <w:lang w:val="sk-SK"/>
        </w:rPr>
        <w:t>11</w:t>
      </w:r>
      <w:r w:rsidRPr="00DC7B15">
        <w:rPr>
          <w:b/>
          <w:color w:val="002776" w:themeColor="text2"/>
          <w:sz w:val="24"/>
          <w:szCs w:val="16"/>
          <w:lang w:val="sk-SK"/>
        </w:rPr>
        <w:t>-</w:t>
      </w:r>
      <w:r w:rsidRPr="00396F20">
        <w:rPr>
          <w:b/>
          <w:color w:val="002776" w:themeColor="text2"/>
          <w:sz w:val="24"/>
          <w:szCs w:val="16"/>
          <w:lang w:val="sk-SK"/>
        </w:rPr>
        <w:t>2016-</w:t>
      </w:r>
      <w:r w:rsidR="00240703">
        <w:rPr>
          <w:b/>
          <w:color w:val="002776" w:themeColor="text2"/>
          <w:sz w:val="24"/>
          <w:szCs w:val="16"/>
          <w:lang w:val="sk-SK"/>
        </w:rPr>
        <w:t>11</w:t>
      </w:r>
    </w:p>
    <w:p w14:paraId="24819695" w14:textId="77777777" w:rsidR="00796B44" w:rsidRDefault="00796B44" w:rsidP="00796B44">
      <w:pPr>
        <w:jc w:val="center"/>
        <w:outlineLvl w:val="0"/>
        <w:rPr>
          <w:b/>
          <w:color w:val="002776" w:themeColor="text2"/>
          <w:sz w:val="24"/>
          <w:szCs w:val="16"/>
          <w:lang w:val="sk-SK"/>
        </w:rPr>
      </w:pPr>
    </w:p>
    <w:p w14:paraId="008FB78F" w14:textId="77777777" w:rsidR="00796B44" w:rsidRPr="00796B44" w:rsidRDefault="00796B44" w:rsidP="00EA5DA2">
      <w:pPr>
        <w:pStyle w:val="Odsekzoznamu"/>
        <w:numPr>
          <w:ilvl w:val="0"/>
          <w:numId w:val="11"/>
        </w:numPr>
        <w:ind w:left="426" w:firstLine="0"/>
        <w:rPr>
          <w:b/>
          <w:color w:val="002776" w:themeColor="text2"/>
          <w:sz w:val="20"/>
          <w:szCs w:val="20"/>
          <w:lang w:val="sk-SK"/>
        </w:rPr>
      </w:pPr>
      <w:r w:rsidRPr="00796B44">
        <w:rPr>
          <w:b/>
          <w:color w:val="002776" w:themeColor="text2"/>
          <w:sz w:val="20"/>
          <w:szCs w:val="20"/>
          <w:lang w:val="sk-SK"/>
        </w:rPr>
        <w:t>Oprávnené výdavky</w:t>
      </w:r>
    </w:p>
    <w:p w14:paraId="776C5E0A" w14:textId="77777777" w:rsidR="001B75B2" w:rsidRPr="0062294A" w:rsidRDefault="001B75B2" w:rsidP="006F71E5">
      <w:pPr>
        <w:rPr>
          <w:rFonts w:asciiTheme="majorHAnsi" w:hAnsiTheme="majorHAnsi" w:cstheme="majorHAnsi"/>
          <w:b/>
          <w:szCs w:val="19"/>
          <w:lang w:val="sk-SK"/>
        </w:rPr>
      </w:pPr>
    </w:p>
    <w:tbl>
      <w:tblPr>
        <w:tblStyle w:val="Mriekatabuky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18"/>
        <w:gridCol w:w="5381"/>
        <w:gridCol w:w="2976"/>
      </w:tblGrid>
      <w:tr w:rsidR="00034E4D" w:rsidRPr="0062294A" w14:paraId="01A104C2" w14:textId="77777777" w:rsidTr="00034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shd w:val="clear" w:color="auto" w:fill="4F81BD"/>
            <w:vAlign w:val="center"/>
          </w:tcPr>
          <w:p w14:paraId="7F0E85BE" w14:textId="63B5CC4D" w:rsidR="00034E4D" w:rsidRPr="0062294A" w:rsidRDefault="00034E4D" w:rsidP="00E743CC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Skupina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 xml:space="preserve"> oprávnených výdavkov</w:t>
            </w:r>
          </w:p>
        </w:tc>
        <w:tc>
          <w:tcPr>
            <w:tcW w:w="5381" w:type="dxa"/>
            <w:shd w:val="clear" w:color="auto" w:fill="4F81BD"/>
            <w:vAlign w:val="center"/>
          </w:tcPr>
          <w:p w14:paraId="6B2DC74D" w14:textId="77777777" w:rsidR="00034E4D" w:rsidRPr="0062294A" w:rsidRDefault="00034E4D" w:rsidP="006F71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Oprávnené výdavky</w:t>
            </w:r>
          </w:p>
        </w:tc>
        <w:tc>
          <w:tcPr>
            <w:tcW w:w="2976" w:type="dxa"/>
            <w:shd w:val="clear" w:color="auto" w:fill="4F81BD"/>
            <w:vAlign w:val="center"/>
          </w:tcPr>
          <w:p w14:paraId="5643C9C9" w14:textId="122B42C7" w:rsidR="00034E4D" w:rsidRPr="0062294A" w:rsidRDefault="00034E4D" w:rsidP="006F71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Špecifikácia oprávnených </w:t>
            </w:r>
            <w:r w:rsidRPr="001B75B2">
              <w:rPr>
                <w:sz w:val="18"/>
                <w:szCs w:val="18"/>
                <w:lang w:val="sk-SK"/>
              </w:rPr>
              <w:t>výdavkov</w:t>
            </w:r>
            <w:r>
              <w:rPr>
                <w:sz w:val="18"/>
                <w:szCs w:val="18"/>
                <w:lang w:val="sk-SK"/>
              </w:rPr>
              <w:t xml:space="preserve"> v zmysle EKRK</w:t>
            </w:r>
          </w:p>
        </w:tc>
      </w:tr>
      <w:tr w:rsidR="00034E4D" w:rsidRPr="0062294A" w14:paraId="257E559D" w14:textId="77777777" w:rsidTr="00034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  <w:tblHeader/>
        </w:trPr>
        <w:tc>
          <w:tcPr>
            <w:tcW w:w="1418" w:type="dxa"/>
            <w:shd w:val="clear" w:color="auto" w:fill="4F81BD"/>
            <w:vAlign w:val="center"/>
          </w:tcPr>
          <w:p w14:paraId="690320CC" w14:textId="7CB3EA43" w:rsidR="00034E4D" w:rsidRPr="0062294A" w:rsidRDefault="00034E4D" w:rsidP="001B75B2">
            <w:pPr>
              <w:ind w:left="-416" w:firstLine="416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Trieda</w:t>
            </w:r>
          </w:p>
        </w:tc>
        <w:tc>
          <w:tcPr>
            <w:tcW w:w="8357" w:type="dxa"/>
            <w:gridSpan w:val="2"/>
            <w:shd w:val="clear" w:color="auto" w:fill="4F81BD"/>
            <w:vAlign w:val="center"/>
          </w:tcPr>
          <w:p w14:paraId="10659E80" w14:textId="32D6D2B9" w:rsidR="00034E4D" w:rsidRPr="0062294A" w:rsidRDefault="00034E4D" w:rsidP="006F71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01 - Dlhodobý nehmotný majetok</w:t>
            </w:r>
          </w:p>
        </w:tc>
      </w:tr>
      <w:tr w:rsidR="00034E4D" w:rsidRPr="0062294A" w14:paraId="646B8FEA" w14:textId="77777777" w:rsidTr="00034E4D">
        <w:tc>
          <w:tcPr>
            <w:tcW w:w="1418" w:type="dxa"/>
          </w:tcPr>
          <w:p w14:paraId="28D83DED" w14:textId="3F1A9AA7" w:rsidR="00034E4D" w:rsidRPr="00034E4D" w:rsidRDefault="00034E4D" w:rsidP="00AA573A">
            <w:pPr>
              <w:ind w:left="102" w:hanging="102"/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CA5D6A">
              <w:rPr>
                <w:rFonts w:asciiTheme="majorHAnsi" w:hAnsiTheme="majorHAnsi" w:cstheme="majorHAnsi"/>
                <w:b/>
                <w:szCs w:val="19"/>
                <w:lang w:val="sk-SK"/>
              </w:rPr>
              <w:t>013 - Softvér</w:t>
            </w:r>
            <w:r w:rsidRPr="00CA5D6A">
              <w:rPr>
                <w:rStyle w:val="Odkaznapoznmkupodiarou"/>
                <w:szCs w:val="18"/>
                <w:lang w:val="sk-SK"/>
              </w:rPr>
              <w:footnoteReference w:id="1"/>
            </w:r>
          </w:p>
        </w:tc>
        <w:tc>
          <w:tcPr>
            <w:tcW w:w="5381" w:type="dxa"/>
          </w:tcPr>
          <w:p w14:paraId="4AEB01E7" w14:textId="47CE7D18" w:rsidR="00034E4D" w:rsidRPr="0062294A" w:rsidRDefault="00843F8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n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ákup softvéru – výdavky na obstaranie softvéru vrátane výdavkov na obstaranie licencií súvisiacich s používaním softvéru - napr. multilic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encie, skupinové licencie, atď.,</w:t>
            </w:r>
          </w:p>
          <w:p w14:paraId="0ACC7FAC" w14:textId="78E67DCE" w:rsidR="00034E4D" w:rsidRPr="0062294A" w:rsidRDefault="00843F8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m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odernizácia softvéru – napr. upgrade (pridávanie nových funkcionalít zhodnocujúcich softvér).</w:t>
            </w:r>
          </w:p>
        </w:tc>
        <w:tc>
          <w:tcPr>
            <w:tcW w:w="2976" w:type="dxa"/>
          </w:tcPr>
          <w:p w14:paraId="01B27E79" w14:textId="77777777" w:rsidR="00034E4D" w:rsidRPr="00E743CC" w:rsidRDefault="00034E4D" w:rsidP="00BE110E">
            <w:pPr>
              <w:numPr>
                <w:ilvl w:val="0"/>
                <w:numId w:val="10"/>
              </w:numPr>
              <w:tabs>
                <w:tab w:val="left" w:pos="81"/>
              </w:tabs>
              <w:ind w:left="221" w:right="113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E743CC">
              <w:rPr>
                <w:rFonts w:asciiTheme="majorHAnsi" w:hAnsiTheme="majorHAnsi" w:cstheme="majorHAnsi"/>
                <w:szCs w:val="19"/>
                <w:lang w:val="sk-SK"/>
              </w:rPr>
              <w:t>711003  Nákup softvéru</w:t>
            </w:r>
          </w:p>
          <w:p w14:paraId="624AA367" w14:textId="736060D0" w:rsidR="00034E4D" w:rsidRPr="0062294A" w:rsidRDefault="00034E4D" w:rsidP="00552B76">
            <w:pPr>
              <w:numPr>
                <w:ilvl w:val="0"/>
                <w:numId w:val="10"/>
              </w:numPr>
              <w:tabs>
                <w:tab w:val="left" w:pos="81"/>
              </w:tabs>
              <w:ind w:left="221" w:right="113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718006</w:t>
            </w:r>
            <w:r w:rsidR="004B7888">
              <w:rPr>
                <w:rFonts w:asciiTheme="majorHAnsi" w:hAnsiTheme="majorHAnsi" w:cstheme="majorHAnsi"/>
                <w:szCs w:val="19"/>
                <w:lang w:val="sk-SK"/>
              </w:rPr>
              <w:t xml:space="preserve"> </w:t>
            </w: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Modernizácia softvéru</w:t>
            </w:r>
          </w:p>
        </w:tc>
      </w:tr>
      <w:tr w:rsidR="00034E4D" w:rsidRPr="0062294A" w14:paraId="05C0D0A1" w14:textId="77777777" w:rsidTr="00034E4D">
        <w:trPr>
          <w:trHeight w:val="155"/>
        </w:trPr>
        <w:tc>
          <w:tcPr>
            <w:tcW w:w="1418" w:type="dxa"/>
            <w:shd w:val="clear" w:color="auto" w:fill="4F81BD"/>
          </w:tcPr>
          <w:p w14:paraId="498BB7B2" w14:textId="79B759C2" w:rsidR="00034E4D" w:rsidRPr="00034E4D" w:rsidRDefault="00034E4D" w:rsidP="00E743CC">
            <w:pPr>
              <w:ind w:left="-416" w:firstLine="416"/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Trieda</w:t>
            </w:r>
          </w:p>
        </w:tc>
        <w:tc>
          <w:tcPr>
            <w:tcW w:w="5381" w:type="dxa"/>
            <w:shd w:val="clear" w:color="auto" w:fill="4F81BD"/>
          </w:tcPr>
          <w:p w14:paraId="1012F8F7" w14:textId="2E35F82B" w:rsidR="00034E4D" w:rsidRPr="00E743CC" w:rsidRDefault="00034E4D" w:rsidP="00E743CC">
            <w:pPr>
              <w:tabs>
                <w:tab w:val="left" w:pos="223"/>
              </w:tabs>
              <w:ind w:left="-416" w:right="116" w:firstLine="416"/>
              <w:jc w:val="both"/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</w:pPr>
            <w:r w:rsidRPr="00E743CC"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02 – Dlhodobý hmotný majetok</w:t>
            </w:r>
          </w:p>
        </w:tc>
        <w:tc>
          <w:tcPr>
            <w:tcW w:w="2976" w:type="dxa"/>
            <w:shd w:val="clear" w:color="auto" w:fill="4F81BD"/>
          </w:tcPr>
          <w:p w14:paraId="42E5D247" w14:textId="77777777" w:rsidR="00034E4D" w:rsidRPr="00E743CC" w:rsidRDefault="00034E4D" w:rsidP="00E743CC">
            <w:pPr>
              <w:ind w:left="-416" w:firstLine="416"/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</w:pPr>
          </w:p>
        </w:tc>
      </w:tr>
      <w:tr w:rsidR="00034E4D" w:rsidRPr="0062294A" w14:paraId="31447286" w14:textId="77777777" w:rsidTr="00034E4D">
        <w:tc>
          <w:tcPr>
            <w:tcW w:w="1418" w:type="dxa"/>
          </w:tcPr>
          <w:p w14:paraId="596DD4A3" w14:textId="2A13B066" w:rsidR="00034E4D" w:rsidRPr="00034E4D" w:rsidRDefault="00034E4D" w:rsidP="00843F8D">
            <w:pPr>
              <w:ind w:left="102" w:hanging="102"/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szCs w:val="19"/>
                <w:lang w:val="sk-SK"/>
              </w:rPr>
              <w:t>021 - Stavby</w:t>
            </w:r>
            <w:r w:rsidRPr="00B91032">
              <w:rPr>
                <w:rStyle w:val="Odkaznapoznmkupodiarou"/>
                <w:b/>
                <w:szCs w:val="18"/>
                <w:lang w:val="sk-SK"/>
              </w:rPr>
              <w:footnoteReference w:id="2"/>
            </w:r>
          </w:p>
        </w:tc>
        <w:tc>
          <w:tcPr>
            <w:tcW w:w="5381" w:type="dxa"/>
          </w:tcPr>
          <w:p w14:paraId="1DBB1049" w14:textId="5B87A2D2" w:rsidR="00843F8D" w:rsidRPr="00843F8D" w:rsidRDefault="00843F8D" w:rsidP="00EA5DA2">
            <w:pPr>
              <w:numPr>
                <w:ilvl w:val="0"/>
                <w:numId w:val="9"/>
              </w:numPr>
              <w:ind w:left="223" w:right="59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843F8D">
              <w:rPr>
                <w:rFonts w:asciiTheme="minorHAnsi" w:hAnsiTheme="minorHAnsi" w:cstheme="minorHAnsi"/>
                <w:szCs w:val="19"/>
                <w:lang w:val="sk-SK"/>
              </w:rPr>
              <w:t>rekonštrukcia a modernizácia ciest II. triedy (výnimočne ciest III. triedy)</w:t>
            </w:r>
            <w:r>
              <w:rPr>
                <w:rFonts w:asciiTheme="minorHAnsi" w:hAnsiTheme="minorHAnsi" w:cstheme="minorHAnsi"/>
                <w:szCs w:val="19"/>
                <w:lang w:val="sk-SK"/>
              </w:rPr>
              <w:t>,</w:t>
            </w:r>
          </w:p>
          <w:p w14:paraId="31C46185" w14:textId="6CA37D54" w:rsidR="00034E4D" w:rsidRPr="0062294A" w:rsidRDefault="00843F8D" w:rsidP="00EA5DA2">
            <w:pPr>
              <w:numPr>
                <w:ilvl w:val="0"/>
                <w:numId w:val="9"/>
              </w:numPr>
              <w:ind w:left="223" w:right="59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s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tavebný dozor</w:t>
            </w:r>
            <w:r>
              <w:rPr>
                <w:rStyle w:val="Odkaznapoznmkupodiarou"/>
                <w:szCs w:val="18"/>
                <w:lang w:val="sk-SK"/>
              </w:rPr>
              <w:footnoteReference w:id="3"/>
            </w:r>
            <w:r>
              <w:rPr>
                <w:sz w:val="18"/>
                <w:szCs w:val="18"/>
                <w:lang w:val="sk-SK"/>
              </w:rPr>
              <w:t>,</w:t>
            </w:r>
          </w:p>
          <w:p w14:paraId="656081DB" w14:textId="449C4563" w:rsidR="00034E4D" w:rsidRPr="0062294A" w:rsidRDefault="00843F8D" w:rsidP="00EA5DA2">
            <w:pPr>
              <w:numPr>
                <w:ilvl w:val="0"/>
                <w:numId w:val="9"/>
              </w:numPr>
              <w:ind w:left="223" w:right="59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n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ákup stavieb - nákup budov, objektov alebo ich častí, </w:t>
            </w:r>
            <w:r w:rsidR="00034E4D" w:rsidRPr="000A6A30">
              <w:rPr>
                <w:rFonts w:asciiTheme="majorHAnsi" w:hAnsiTheme="majorHAnsi" w:cstheme="majorHAnsi"/>
                <w:color w:val="000000" w:themeColor="text1"/>
                <w:szCs w:val="19"/>
                <w:lang w:val="sk-SK"/>
              </w:rPr>
              <w:t>ktoré sú nevyhnutné v súvislosti s realizáciou rekonštr</w:t>
            </w:r>
            <w:r w:rsidR="00034E4D">
              <w:rPr>
                <w:rFonts w:asciiTheme="majorHAnsi" w:hAnsiTheme="majorHAnsi" w:cstheme="majorHAnsi"/>
                <w:color w:val="000000" w:themeColor="text1"/>
                <w:szCs w:val="19"/>
                <w:lang w:val="sk-SK"/>
              </w:rPr>
              <w:t>ukcie ciest II. a III. triedy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,</w:t>
            </w:r>
          </w:p>
          <w:p w14:paraId="4262A804" w14:textId="0D06B13C" w:rsidR="00034E4D" w:rsidRPr="0062294A" w:rsidRDefault="00843F8D" w:rsidP="00EA5DA2">
            <w:pPr>
              <w:numPr>
                <w:ilvl w:val="0"/>
                <w:numId w:val="9"/>
              </w:numPr>
              <w:ind w:left="223" w:right="59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p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rípravná a projektová dokumentácia - vypracovanie projektovej dokumentácie vrátane zmien, variantných riešení a doplnkov (pre územné rozhodnutie, stavebné povolenie, realizačná dokumentácia, dokumentácia skutočného vyhotovenia stavby, </w:t>
            </w:r>
            <w:proofErr w:type="spellStart"/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porealizačné</w:t>
            </w:r>
            <w:proofErr w:type="spellEnd"/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 geodetické zameranie); prieskumné práce (geologický prieskum, </w:t>
            </w:r>
            <w:proofErr w:type="spellStart"/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hydrotechnické</w:t>
            </w:r>
            <w:proofErr w:type="spellEnd"/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 posúdenie) potrebné na spracovanie projektu; zameriavacie práce (vytýčenie stavby, zameranie súčasného stavu stavby a iné); </w:t>
            </w:r>
            <w:proofErr w:type="spellStart"/>
            <w:r w:rsidR="00034E4D" w:rsidRPr="0083653E">
              <w:rPr>
                <w:rFonts w:asciiTheme="majorHAnsi" w:hAnsiTheme="majorHAnsi" w:cstheme="majorHAnsi"/>
                <w:szCs w:val="19"/>
                <w:lang w:val="sk-SK"/>
              </w:rPr>
              <w:t>expertízne</w:t>
            </w:r>
            <w:proofErr w:type="spellEnd"/>
            <w:r w:rsidR="00034E4D" w:rsidRPr="0083653E">
              <w:rPr>
                <w:rFonts w:asciiTheme="majorHAnsi" w:hAnsiTheme="majorHAnsi" w:cstheme="majorHAnsi"/>
                <w:szCs w:val="19"/>
                <w:lang w:val="sk-SK"/>
              </w:rPr>
              <w:t xml:space="preserve"> posudzovania (napr. bezpečnostná inšpekcia a bezpečnostný audit),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 manipulačné a prevádzkové poriadky; plán organizácie výstavby vrátan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e projektu dopravného značenia,</w:t>
            </w:r>
            <w:r w:rsidR="00CA5D6A">
              <w:rPr>
                <w:rFonts w:asciiTheme="majorHAnsi" w:hAnsiTheme="majorHAnsi" w:cstheme="majorHAnsi"/>
                <w:szCs w:val="19"/>
                <w:lang w:val="sk-SK"/>
              </w:rPr>
              <w:t xml:space="preserve"> dokumentácia skutočného vyhotovenia stavby,</w:t>
            </w:r>
          </w:p>
          <w:p w14:paraId="658366B3" w14:textId="636CECAF" w:rsidR="00034E4D" w:rsidRPr="0062294A" w:rsidRDefault="00843F8D" w:rsidP="00EA5DA2">
            <w:pPr>
              <w:numPr>
                <w:ilvl w:val="0"/>
                <w:numId w:val="9"/>
              </w:numPr>
              <w:ind w:left="223" w:right="59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o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dborný autorský dohľad. </w:t>
            </w:r>
          </w:p>
        </w:tc>
        <w:tc>
          <w:tcPr>
            <w:tcW w:w="2976" w:type="dxa"/>
          </w:tcPr>
          <w:p w14:paraId="357F49F6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717001  Realizácia nových stavieb</w:t>
            </w:r>
          </w:p>
          <w:p w14:paraId="6F452C05" w14:textId="77777777" w:rsidR="00034E4D" w:rsidRPr="00E90C07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717002  Rekonštrukcia a </w:t>
            </w:r>
            <w:r w:rsidRPr="00E90C07">
              <w:rPr>
                <w:rFonts w:asciiTheme="majorHAnsi" w:hAnsiTheme="majorHAnsi" w:cstheme="majorHAnsi"/>
                <w:szCs w:val="19"/>
                <w:lang w:val="sk-SK"/>
              </w:rPr>
              <w:t>modernizácia stavieb</w:t>
            </w:r>
          </w:p>
          <w:p w14:paraId="4BB6B87F" w14:textId="77777777" w:rsidR="00034E4D" w:rsidRPr="00E90C07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E90C07">
              <w:rPr>
                <w:rFonts w:asciiTheme="majorHAnsi" w:hAnsiTheme="majorHAnsi" w:cstheme="majorHAnsi"/>
                <w:szCs w:val="19"/>
                <w:lang w:val="sk-SK"/>
              </w:rPr>
              <w:t>717003  Prístavby, nadstavby, stavebné úpravy</w:t>
            </w:r>
          </w:p>
          <w:p w14:paraId="7B926594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E90C07">
              <w:rPr>
                <w:rFonts w:asciiTheme="majorHAnsi" w:hAnsiTheme="majorHAnsi" w:cstheme="majorHAnsi"/>
                <w:szCs w:val="19"/>
                <w:lang w:val="sk-SK"/>
              </w:rPr>
              <w:t>712002</w:t>
            </w: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  Nákup budov alebo objektov určených na likvidáciu</w:t>
            </w:r>
          </w:p>
          <w:p w14:paraId="0726E072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716  Prípravná a projektová dokumentácia</w:t>
            </w:r>
          </w:p>
          <w:p w14:paraId="7D07DA08" w14:textId="6567DED9" w:rsidR="00034E4D" w:rsidRPr="0062294A" w:rsidRDefault="00034E4D" w:rsidP="00762BA6">
            <w:pPr>
              <w:rPr>
                <w:rFonts w:asciiTheme="majorHAnsi" w:hAnsiTheme="majorHAnsi" w:cstheme="majorHAnsi"/>
                <w:szCs w:val="19"/>
                <w:lang w:val="sk-SK"/>
              </w:rPr>
            </w:pPr>
          </w:p>
        </w:tc>
      </w:tr>
      <w:tr w:rsidR="00034E4D" w:rsidRPr="0062294A" w14:paraId="6BD1E491" w14:textId="77777777" w:rsidTr="00762BA6">
        <w:trPr>
          <w:trHeight w:val="5910"/>
        </w:trPr>
        <w:tc>
          <w:tcPr>
            <w:tcW w:w="1418" w:type="dxa"/>
          </w:tcPr>
          <w:p w14:paraId="5DEF0C34" w14:textId="77777777" w:rsidR="00034E4D" w:rsidRPr="00034E4D" w:rsidRDefault="00034E4D" w:rsidP="00843F8D">
            <w:pPr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szCs w:val="19"/>
                <w:lang w:val="sk-SK"/>
              </w:rPr>
              <w:lastRenderedPageBreak/>
              <w:t>022 – Samostatné hnuteľné veci a súbory hnuteľných vecí</w:t>
            </w:r>
          </w:p>
        </w:tc>
        <w:tc>
          <w:tcPr>
            <w:tcW w:w="5381" w:type="dxa"/>
          </w:tcPr>
          <w:p w14:paraId="6E66604E" w14:textId="6D0BD462" w:rsidR="00034E4D" w:rsidRPr="0062294A" w:rsidRDefault="00BF2D3B" w:rsidP="00EA5DA2">
            <w:pPr>
              <w:pStyle w:val="Odsekzoznamu"/>
              <w:numPr>
                <w:ilvl w:val="0"/>
                <w:numId w:val="7"/>
              </w:numPr>
              <w:ind w:left="209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n</w:t>
            </w:r>
            <w:r w:rsidR="00034E4D" w:rsidRPr="000A6A30">
              <w:rPr>
                <w:rFonts w:asciiTheme="majorHAnsi" w:hAnsiTheme="majorHAnsi" w:cstheme="majorHAnsi"/>
                <w:szCs w:val="19"/>
                <w:lang w:val="sk-SK"/>
              </w:rPr>
              <w:t>ákup a modernizácia výpočtovej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 </w:t>
            </w:r>
            <w:r w:rsidR="00762BA6">
              <w:rPr>
                <w:rFonts w:asciiTheme="majorHAnsi" w:hAnsiTheme="majorHAnsi" w:cstheme="majorHAnsi"/>
                <w:szCs w:val="19"/>
                <w:lang w:val="sk-SK"/>
              </w:rPr>
              <w:t>techniky, vrátane príslušenstva,</w:t>
            </w:r>
          </w:p>
          <w:p w14:paraId="68898692" w14:textId="4B045425" w:rsidR="00034E4D" w:rsidRPr="0062294A" w:rsidRDefault="00BF2D3B" w:rsidP="00EA5DA2">
            <w:pPr>
              <w:pStyle w:val="Odsekzoznamu"/>
              <w:numPr>
                <w:ilvl w:val="0"/>
                <w:numId w:val="7"/>
              </w:numPr>
              <w:ind w:left="209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n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ákup a modernizácia telekomunikačnej techniky;</w:t>
            </w:r>
          </w:p>
          <w:p w14:paraId="7EFC8127" w14:textId="3A1EADEC" w:rsidR="00034E4D" w:rsidRPr="0062294A" w:rsidRDefault="00BF2D3B" w:rsidP="00EA5DA2">
            <w:pPr>
              <w:pStyle w:val="Odsekzoznamu"/>
              <w:numPr>
                <w:ilvl w:val="0"/>
                <w:numId w:val="7"/>
              </w:numPr>
              <w:ind w:left="209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n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ákup a modernizácia prevádzkových / špeciálnych strojov, prístrojov, zariadení, techniky a náradia (napr. v súvislosti s kontrolou a dozorom nad premávkou, meracie a monitorovacie technické prostriedky / zariadenia vrátane prvého zaškolenia obsluhy, ak verejné obstarávanie je realizované s</w:t>
            </w:r>
            <w:r w:rsidR="00762BA6">
              <w:rPr>
                <w:rFonts w:asciiTheme="majorHAnsi" w:hAnsiTheme="majorHAnsi" w:cstheme="majorHAnsi"/>
                <w:szCs w:val="19"/>
                <w:lang w:val="sk-SK"/>
              </w:rPr>
              <w:t>amostatne mimo stavebných prác),</w:t>
            </w:r>
          </w:p>
          <w:p w14:paraId="4F4FCDE8" w14:textId="08D510A5" w:rsidR="00034E4D" w:rsidRDefault="00BF2D3B" w:rsidP="00EA5DA2">
            <w:pPr>
              <w:pStyle w:val="Odsekzoznamu"/>
              <w:numPr>
                <w:ilvl w:val="0"/>
                <w:numId w:val="7"/>
              </w:numPr>
              <w:ind w:left="209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m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odernizá</w:t>
            </w:r>
            <w:r w:rsidR="00EE67F2">
              <w:rPr>
                <w:rFonts w:asciiTheme="majorHAnsi" w:hAnsiTheme="majorHAnsi" w:cstheme="majorHAnsi"/>
                <w:szCs w:val="19"/>
                <w:lang w:val="sk-SK"/>
              </w:rPr>
              <w:t>cia komunikačnej infraštruktúry.</w:t>
            </w:r>
          </w:p>
          <w:p w14:paraId="0B3171DF" w14:textId="77777777" w:rsidR="00BF2D3B" w:rsidRDefault="00BF2D3B" w:rsidP="00843F8D">
            <w:pPr>
              <w:pStyle w:val="Odsekzoznamu"/>
              <w:ind w:left="209"/>
              <w:rPr>
                <w:rFonts w:asciiTheme="majorHAnsi" w:hAnsiTheme="majorHAnsi" w:cstheme="majorHAnsi"/>
                <w:szCs w:val="19"/>
                <w:lang w:val="sk-SK"/>
              </w:rPr>
            </w:pPr>
          </w:p>
          <w:p w14:paraId="02EA33BC" w14:textId="77777777" w:rsidR="00BF2D3B" w:rsidRDefault="00BF2D3B" w:rsidP="00843F8D">
            <w:pPr>
              <w:pStyle w:val="Odsekzoznamu"/>
              <w:ind w:left="209"/>
              <w:rPr>
                <w:rFonts w:asciiTheme="majorHAnsi" w:hAnsiTheme="majorHAnsi" w:cstheme="majorHAnsi"/>
                <w:szCs w:val="19"/>
                <w:lang w:val="sk-SK"/>
              </w:rPr>
            </w:pPr>
          </w:p>
          <w:p w14:paraId="3145707A" w14:textId="3A532192" w:rsidR="00A36509" w:rsidRPr="00A36509" w:rsidRDefault="00A36509" w:rsidP="00A36509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 xml:space="preserve">V skupine 022 ide najmä o </w:t>
            </w:r>
            <w:r w:rsidRPr="00A36509">
              <w:rPr>
                <w:rFonts w:asciiTheme="majorHAnsi" w:hAnsiTheme="majorHAnsi" w:cstheme="majorHAnsi"/>
                <w:szCs w:val="19"/>
                <w:lang w:val="sk-SK"/>
              </w:rPr>
              <w:t>výdavky na nákup, rekonštrukciu a modernizáciu strojov a zariadení, ktoré priamo súvisia s realizáciou rekonštrukcie ciest II. a III. triedy ale nie sú súčasťou stavby - ide najmä o výdavky súvisiace s odstraňovaním nehodových lokalít a zvýšením bezpečnosti na cestách a križovatkách zavádzaním inteligentných riadiacich systémov (merače rýchlosti, signalizácia, mimoúrovňové križovanie, signalizačné zariadenia, ktoré reag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ujú na rýchlosť vozidiel, atď.).</w:t>
            </w:r>
          </w:p>
          <w:p w14:paraId="63B83EF5" w14:textId="5CBC6975" w:rsidR="00BF2D3B" w:rsidRPr="00A36509" w:rsidRDefault="00BF2D3B" w:rsidP="00A36509">
            <w:pPr>
              <w:rPr>
                <w:rFonts w:asciiTheme="majorHAnsi" w:hAnsiTheme="majorHAnsi" w:cstheme="majorHAnsi"/>
                <w:szCs w:val="19"/>
                <w:lang w:val="sk-SK"/>
              </w:rPr>
            </w:pPr>
          </w:p>
        </w:tc>
        <w:tc>
          <w:tcPr>
            <w:tcW w:w="2976" w:type="dxa"/>
          </w:tcPr>
          <w:p w14:paraId="0C734E2B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713002  Nákup výpočtovej techniky</w:t>
            </w:r>
          </w:p>
          <w:p w14:paraId="3E8A84EA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713003  Nákup telekomunikačnej techniky</w:t>
            </w:r>
          </w:p>
          <w:p w14:paraId="6319CECF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713004  Nákup prevádzkových strojov, prístrojov, zariadení, techniky a náradia</w:t>
            </w:r>
          </w:p>
          <w:p w14:paraId="701FD82D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713005  Nákup špeciálnych strojov, prístrojov, zariadení, techniky, náradia a materiálu</w:t>
            </w:r>
          </w:p>
          <w:p w14:paraId="10B535A7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713006  Nákup komunikačnej infraštruktúry</w:t>
            </w:r>
          </w:p>
          <w:p w14:paraId="12D81286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718002  Modernizácia Výpočtovej techniky</w:t>
            </w:r>
          </w:p>
          <w:p w14:paraId="064B63C4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718003  Modernizácia Telekomunikačnej techniky</w:t>
            </w:r>
          </w:p>
          <w:p w14:paraId="153F1BD0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718004  Modernizácia Prevádzkových strojov, prístrojov, zariadení, techniky a náradia</w:t>
            </w:r>
          </w:p>
          <w:p w14:paraId="311ACA96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718005  Modernizácia Špeciálnych strojov, prístrojov, zariadení, techniky a náradia</w:t>
            </w:r>
          </w:p>
          <w:p w14:paraId="2E541C64" w14:textId="2A69E7DA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718007  Modernizácia Komunikačnej infraštruktúry</w:t>
            </w:r>
          </w:p>
        </w:tc>
      </w:tr>
      <w:tr w:rsidR="00034E4D" w:rsidRPr="0062294A" w14:paraId="49F7E20D" w14:textId="77777777" w:rsidTr="00034E4D">
        <w:trPr>
          <w:trHeight w:val="102"/>
        </w:trPr>
        <w:tc>
          <w:tcPr>
            <w:tcW w:w="1418" w:type="dxa"/>
          </w:tcPr>
          <w:p w14:paraId="13B5B0E1" w14:textId="77777777" w:rsidR="00034E4D" w:rsidRPr="00034E4D" w:rsidRDefault="00034E4D" w:rsidP="00843F8D">
            <w:pPr>
              <w:jc w:val="both"/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szCs w:val="19"/>
                <w:lang w:val="sk-SK"/>
              </w:rPr>
              <w:t xml:space="preserve">027 - Pozemky  </w:t>
            </w:r>
          </w:p>
          <w:p w14:paraId="1A0E9C2C" w14:textId="77777777" w:rsidR="00034E4D" w:rsidRPr="00034E4D" w:rsidRDefault="00034E4D" w:rsidP="00843F8D">
            <w:pPr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</w:p>
        </w:tc>
        <w:tc>
          <w:tcPr>
            <w:tcW w:w="5381" w:type="dxa"/>
          </w:tcPr>
          <w:p w14:paraId="3D8A0D01" w14:textId="770C1BE7" w:rsidR="00034E4D" w:rsidRPr="0062294A" w:rsidRDefault="00762BA6" w:rsidP="00FF1E73">
            <w:pPr>
              <w:pStyle w:val="Odsekzoznamu"/>
              <w:numPr>
                <w:ilvl w:val="0"/>
                <w:numId w:val="7"/>
              </w:numPr>
              <w:ind w:left="257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n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ákup pozemkov</w:t>
            </w:r>
            <w:r w:rsidR="00FF1E73">
              <w:rPr>
                <w:rFonts w:asciiTheme="majorHAnsi" w:hAnsiTheme="majorHAnsi" w:cstheme="majorHAnsi"/>
                <w:szCs w:val="19"/>
                <w:lang w:val="sk-SK"/>
              </w:rPr>
              <w:t xml:space="preserve"> 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v rozsahu </w:t>
            </w:r>
            <w:r w:rsidR="00034E4D" w:rsidRPr="000A6A30">
              <w:rPr>
                <w:rFonts w:asciiTheme="majorHAnsi" w:hAnsiTheme="majorHAnsi" w:cstheme="majorHAnsi"/>
                <w:szCs w:val="19"/>
                <w:lang w:val="sk-SK"/>
              </w:rPr>
              <w:t>nevyhnutnom pre realizáciu rekonštrukciu ciest II. a III. triedy</w:t>
            </w:r>
            <w:r w:rsidR="00FF1E73">
              <w:rPr>
                <w:rStyle w:val="Odkaznapoznmkupodiarou"/>
                <w:szCs w:val="18"/>
                <w:lang w:val="sk-SK"/>
              </w:rPr>
              <w:footnoteReference w:id="4"/>
            </w:r>
            <w:r w:rsidR="00FF1E73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 </w:t>
            </w:r>
            <w:r w:rsidR="00034E4D" w:rsidRPr="000A6A30">
              <w:rPr>
                <w:rFonts w:asciiTheme="majorHAnsi" w:hAnsiTheme="majorHAnsi" w:cstheme="majorHAnsi"/>
                <w:szCs w:val="19"/>
                <w:lang w:val="sk-SK"/>
              </w:rPr>
              <w:t xml:space="preserve"> </w:t>
            </w:r>
          </w:p>
        </w:tc>
        <w:tc>
          <w:tcPr>
            <w:tcW w:w="2976" w:type="dxa"/>
          </w:tcPr>
          <w:p w14:paraId="7CD2E802" w14:textId="77777777" w:rsidR="00034E4D" w:rsidRPr="0062294A" w:rsidRDefault="00034E4D" w:rsidP="00EA5DA2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color w:val="000000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color w:val="000000"/>
                <w:szCs w:val="19"/>
                <w:lang w:val="sk-SK"/>
              </w:rPr>
              <w:t>711001  Nákup pozemkov</w:t>
            </w:r>
          </w:p>
          <w:p w14:paraId="7421A65B" w14:textId="01DEE900" w:rsidR="00034E4D" w:rsidRPr="00551E77" w:rsidRDefault="00034E4D" w:rsidP="00843F8D">
            <w:pPr>
              <w:rPr>
                <w:rFonts w:asciiTheme="majorHAnsi" w:hAnsiTheme="majorHAnsi" w:cstheme="majorHAnsi"/>
                <w:szCs w:val="19"/>
                <w:lang w:val="sk-SK"/>
              </w:rPr>
            </w:pPr>
          </w:p>
        </w:tc>
      </w:tr>
      <w:tr w:rsidR="00034E4D" w:rsidRPr="0062294A" w14:paraId="63080EA0" w14:textId="77777777" w:rsidTr="001516A5">
        <w:trPr>
          <w:trHeight w:val="933"/>
        </w:trPr>
        <w:tc>
          <w:tcPr>
            <w:tcW w:w="1418" w:type="dxa"/>
          </w:tcPr>
          <w:p w14:paraId="71B716D5" w14:textId="1107773B" w:rsidR="00034E4D" w:rsidRPr="00034E4D" w:rsidRDefault="00034E4D" w:rsidP="001516A5">
            <w:pPr>
              <w:jc w:val="both"/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szCs w:val="19"/>
                <w:lang w:val="sk-SK"/>
              </w:rPr>
              <w:t xml:space="preserve">029 - Ostatný dlhodobý hmotný majetok </w:t>
            </w:r>
          </w:p>
        </w:tc>
        <w:tc>
          <w:tcPr>
            <w:tcW w:w="5381" w:type="dxa"/>
          </w:tcPr>
          <w:p w14:paraId="17F3E90F" w14:textId="1BA7D79E" w:rsidR="00034E4D" w:rsidRPr="0062294A" w:rsidRDefault="00BE110E" w:rsidP="001516A5">
            <w:pPr>
              <w:pStyle w:val="Odsekzoznamu"/>
              <w:numPr>
                <w:ilvl w:val="0"/>
                <w:numId w:val="7"/>
              </w:numPr>
              <w:ind w:left="209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t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echnické rekultivácie (ako sú terénne úpravy, odstránenie následkov vodnej erózie, zdevastovania pô</w:t>
            </w:r>
            <w:r w:rsidR="001516A5">
              <w:rPr>
                <w:rFonts w:asciiTheme="majorHAnsi" w:hAnsiTheme="majorHAnsi" w:cstheme="majorHAnsi"/>
                <w:szCs w:val="19"/>
                <w:lang w:val="sk-SK"/>
              </w:rPr>
              <w:t>dy po stavebnej činnosti atď.).</w:t>
            </w:r>
          </w:p>
        </w:tc>
        <w:tc>
          <w:tcPr>
            <w:tcW w:w="2976" w:type="dxa"/>
          </w:tcPr>
          <w:p w14:paraId="0340ABB6" w14:textId="1B12508F" w:rsidR="00034E4D" w:rsidRPr="0062294A" w:rsidRDefault="00034E4D" w:rsidP="001516A5">
            <w:pPr>
              <w:numPr>
                <w:ilvl w:val="0"/>
                <w:numId w:val="10"/>
              </w:numPr>
              <w:tabs>
                <w:tab w:val="left" w:pos="81"/>
              </w:tabs>
              <w:ind w:left="223" w:right="116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E90C07">
              <w:rPr>
                <w:rFonts w:asciiTheme="majorHAnsi" w:hAnsiTheme="majorHAnsi" w:cstheme="majorHAnsi"/>
                <w:color w:val="000000"/>
                <w:szCs w:val="19"/>
                <w:lang w:val="sk-SK"/>
              </w:rPr>
              <w:t>719200  Ostatné</w:t>
            </w:r>
          </w:p>
        </w:tc>
      </w:tr>
      <w:tr w:rsidR="00034E4D" w:rsidRPr="0062294A" w14:paraId="7F27C35F" w14:textId="77777777" w:rsidTr="00034E4D">
        <w:trPr>
          <w:trHeight w:val="162"/>
        </w:trPr>
        <w:tc>
          <w:tcPr>
            <w:tcW w:w="1418" w:type="dxa"/>
            <w:shd w:val="clear" w:color="auto" w:fill="4F81BD"/>
          </w:tcPr>
          <w:p w14:paraId="7E82BEB4" w14:textId="4B4658D1" w:rsidR="00034E4D" w:rsidRPr="00034E4D" w:rsidRDefault="00034E4D" w:rsidP="00843F8D">
            <w:pPr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Trieda</w:t>
            </w:r>
          </w:p>
        </w:tc>
        <w:tc>
          <w:tcPr>
            <w:tcW w:w="8357" w:type="dxa"/>
            <w:gridSpan w:val="2"/>
            <w:shd w:val="clear" w:color="auto" w:fill="4F81BD"/>
          </w:tcPr>
          <w:p w14:paraId="01E3119F" w14:textId="5013D3F1" w:rsidR="00034E4D" w:rsidRPr="00034E4D" w:rsidRDefault="00034E4D" w:rsidP="00843F8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11 – Zásoby</w:t>
            </w:r>
          </w:p>
        </w:tc>
      </w:tr>
      <w:tr w:rsidR="00034E4D" w:rsidRPr="0062294A" w14:paraId="2C1BFCE6" w14:textId="77777777" w:rsidTr="00546541">
        <w:trPr>
          <w:trHeight w:val="3086"/>
        </w:trPr>
        <w:tc>
          <w:tcPr>
            <w:tcW w:w="1418" w:type="dxa"/>
          </w:tcPr>
          <w:p w14:paraId="46328974" w14:textId="10748A4C" w:rsidR="00034E4D" w:rsidRPr="00034E4D" w:rsidRDefault="00034E4D" w:rsidP="00843F8D">
            <w:pPr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szCs w:val="19"/>
                <w:lang w:val="sk-SK"/>
              </w:rPr>
              <w:t>112 – Zásoby</w:t>
            </w:r>
          </w:p>
        </w:tc>
        <w:tc>
          <w:tcPr>
            <w:tcW w:w="5381" w:type="dxa"/>
          </w:tcPr>
          <w:p w14:paraId="0014D4D1" w14:textId="7C5FD077" w:rsidR="00034E4D" w:rsidRPr="00CA42B0" w:rsidRDefault="00FC7279" w:rsidP="00EA5DA2">
            <w:pPr>
              <w:numPr>
                <w:ilvl w:val="0"/>
                <w:numId w:val="5"/>
              </w:numPr>
              <w:tabs>
                <w:tab w:val="left" w:pos="223"/>
              </w:tabs>
              <w:ind w:left="223" w:right="116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 xml:space="preserve">nákup 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prevádzkov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ých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 stroj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ov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, prístroj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ov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, zariaden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í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, telekomunikačn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ej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 a výpočtov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ej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 technik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y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>, špeciáln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ej</w:t>
            </w:r>
            <w:r w:rsidR="00034E4D" w:rsidRPr="0062294A">
              <w:rPr>
                <w:rFonts w:asciiTheme="majorHAnsi" w:hAnsiTheme="majorHAnsi" w:cstheme="majorHAnsi"/>
                <w:szCs w:val="19"/>
                <w:lang w:val="sk-SK"/>
              </w:rPr>
              <w:t xml:space="preserve"> </w:t>
            </w:r>
            <w:r w:rsidR="00034E4D" w:rsidRPr="00CA42B0">
              <w:rPr>
                <w:rFonts w:asciiTheme="majorHAnsi" w:hAnsiTheme="majorHAnsi" w:cstheme="majorHAnsi"/>
                <w:szCs w:val="19"/>
                <w:lang w:val="sk-SK"/>
              </w:rPr>
              <w:t>technik</w:t>
            </w:r>
            <w:r w:rsidRPr="00CA42B0">
              <w:rPr>
                <w:rFonts w:asciiTheme="majorHAnsi" w:hAnsiTheme="majorHAnsi" w:cstheme="majorHAnsi"/>
                <w:szCs w:val="19"/>
                <w:lang w:val="sk-SK"/>
              </w:rPr>
              <w:t>y</w:t>
            </w:r>
            <w:r w:rsidR="00034E4D" w:rsidRPr="00CA42B0">
              <w:rPr>
                <w:rFonts w:asciiTheme="majorHAnsi" w:hAnsiTheme="majorHAnsi" w:cstheme="majorHAnsi"/>
                <w:szCs w:val="19"/>
                <w:lang w:val="sk-SK"/>
              </w:rPr>
              <w:t>, komunikačn</w:t>
            </w:r>
            <w:r w:rsidRPr="00CA42B0">
              <w:rPr>
                <w:rFonts w:asciiTheme="majorHAnsi" w:hAnsiTheme="majorHAnsi" w:cstheme="majorHAnsi"/>
                <w:szCs w:val="19"/>
                <w:lang w:val="sk-SK"/>
              </w:rPr>
              <w:t>ej</w:t>
            </w:r>
            <w:r w:rsidR="00034E4D" w:rsidRPr="00CA42B0">
              <w:rPr>
                <w:rFonts w:asciiTheme="majorHAnsi" w:hAnsiTheme="majorHAnsi" w:cstheme="majorHAnsi"/>
                <w:szCs w:val="19"/>
                <w:lang w:val="sk-SK"/>
              </w:rPr>
              <w:t xml:space="preserve"> infraštruktúr</w:t>
            </w:r>
            <w:r w:rsidRPr="00CA42B0">
              <w:rPr>
                <w:rFonts w:asciiTheme="majorHAnsi" w:hAnsiTheme="majorHAnsi" w:cstheme="majorHAnsi"/>
                <w:szCs w:val="19"/>
                <w:lang w:val="sk-SK"/>
              </w:rPr>
              <w:t>y</w:t>
            </w:r>
            <w:r w:rsidR="00034E4D" w:rsidRPr="00CA42B0">
              <w:rPr>
                <w:rFonts w:asciiTheme="majorHAnsi" w:hAnsiTheme="majorHAnsi" w:cstheme="majorHAnsi"/>
                <w:szCs w:val="19"/>
                <w:lang w:val="sk-SK"/>
              </w:rPr>
              <w:t>, technik</w:t>
            </w:r>
            <w:r w:rsidRPr="00CA42B0">
              <w:rPr>
                <w:rFonts w:asciiTheme="majorHAnsi" w:hAnsiTheme="majorHAnsi" w:cstheme="majorHAnsi"/>
                <w:szCs w:val="19"/>
                <w:lang w:val="sk-SK"/>
              </w:rPr>
              <w:t>y</w:t>
            </w:r>
            <w:r w:rsidR="00034E4D" w:rsidRPr="00CA42B0">
              <w:rPr>
                <w:rFonts w:asciiTheme="majorHAnsi" w:hAnsiTheme="majorHAnsi" w:cstheme="majorHAnsi"/>
                <w:szCs w:val="19"/>
                <w:lang w:val="sk-SK"/>
              </w:rPr>
              <w:t xml:space="preserve"> a</w:t>
            </w:r>
            <w:r w:rsidR="00FF1E73" w:rsidRPr="00CA42B0">
              <w:rPr>
                <w:rFonts w:asciiTheme="majorHAnsi" w:hAnsiTheme="majorHAnsi" w:cstheme="majorHAnsi"/>
                <w:szCs w:val="19"/>
                <w:lang w:val="sk-SK"/>
              </w:rPr>
              <w:t> </w:t>
            </w:r>
            <w:r w:rsidR="00034E4D" w:rsidRPr="00CA42B0">
              <w:rPr>
                <w:rFonts w:asciiTheme="majorHAnsi" w:hAnsiTheme="majorHAnsi" w:cstheme="majorHAnsi"/>
                <w:szCs w:val="19"/>
                <w:lang w:val="sk-SK"/>
              </w:rPr>
              <w:t>náradi</w:t>
            </w:r>
            <w:r w:rsidRPr="00CA42B0">
              <w:rPr>
                <w:rFonts w:asciiTheme="majorHAnsi" w:hAnsiTheme="majorHAnsi" w:cstheme="majorHAnsi"/>
                <w:szCs w:val="19"/>
                <w:lang w:val="sk-SK"/>
              </w:rPr>
              <w:t>a</w:t>
            </w:r>
            <w:r w:rsidR="00FF1E73" w:rsidRPr="00CA42B0">
              <w:rPr>
                <w:rFonts w:asciiTheme="majorHAnsi" w:hAnsiTheme="majorHAnsi" w:cstheme="majorHAnsi"/>
                <w:szCs w:val="19"/>
                <w:lang w:val="sk-SK"/>
              </w:rPr>
              <w:t>,</w:t>
            </w:r>
          </w:p>
          <w:p w14:paraId="7D678BD8" w14:textId="4DD5F89E" w:rsidR="00034E4D" w:rsidRPr="00CA42B0" w:rsidRDefault="00FC7279" w:rsidP="00EA5DA2">
            <w:pPr>
              <w:numPr>
                <w:ilvl w:val="0"/>
                <w:numId w:val="5"/>
              </w:numPr>
              <w:tabs>
                <w:tab w:val="left" w:pos="223"/>
              </w:tabs>
              <w:ind w:left="223" w:right="116" w:hanging="142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CA42B0">
              <w:rPr>
                <w:rFonts w:asciiTheme="majorHAnsi" w:hAnsiTheme="majorHAnsi" w:cstheme="majorHAnsi"/>
                <w:szCs w:val="19"/>
                <w:lang w:val="sk-SK"/>
              </w:rPr>
              <w:t xml:space="preserve">nákup </w:t>
            </w:r>
            <w:r w:rsidR="00034E4D" w:rsidRPr="00CA42B0">
              <w:rPr>
                <w:rFonts w:asciiTheme="majorHAnsi" w:hAnsiTheme="majorHAnsi" w:cstheme="majorHAnsi"/>
                <w:szCs w:val="19"/>
                <w:lang w:val="sk-SK"/>
              </w:rPr>
              <w:t>materiál</w:t>
            </w:r>
            <w:r w:rsidRPr="00CA42B0">
              <w:rPr>
                <w:rFonts w:asciiTheme="majorHAnsi" w:hAnsiTheme="majorHAnsi" w:cstheme="majorHAnsi"/>
                <w:szCs w:val="19"/>
                <w:lang w:val="sk-SK"/>
              </w:rPr>
              <w:t>u</w:t>
            </w:r>
            <w:r w:rsidR="00034E4D" w:rsidRPr="00CA42B0">
              <w:rPr>
                <w:rFonts w:asciiTheme="majorHAnsi" w:hAnsiTheme="majorHAnsi" w:cstheme="majorHAnsi"/>
                <w:szCs w:val="19"/>
                <w:lang w:val="sk-SK"/>
              </w:rPr>
              <w:t xml:space="preserve"> (</w:t>
            </w:r>
            <w:r w:rsidR="001A2642">
              <w:rPr>
                <w:rFonts w:asciiTheme="majorHAnsi" w:hAnsiTheme="majorHAnsi" w:cstheme="majorHAnsi"/>
                <w:szCs w:val="19"/>
                <w:lang w:val="sk-SK"/>
              </w:rPr>
              <w:t xml:space="preserve">napr. </w:t>
            </w:r>
            <w:r w:rsidR="00CA42B0">
              <w:rPr>
                <w:rFonts w:asciiTheme="majorHAnsi" w:hAnsiTheme="majorHAnsi" w:cstheme="majorHAnsi"/>
                <w:szCs w:val="19"/>
                <w:lang w:val="sk-SK"/>
              </w:rPr>
              <w:t>dopravné značky</w:t>
            </w:r>
            <w:r w:rsidR="001A2642">
              <w:rPr>
                <w:rFonts w:asciiTheme="majorHAnsi" w:hAnsiTheme="majorHAnsi" w:cstheme="majorHAnsi"/>
                <w:szCs w:val="19"/>
                <w:lang w:val="sk-SK"/>
              </w:rPr>
              <w:t xml:space="preserve">, </w:t>
            </w:r>
            <w:r w:rsidR="00CA42B0">
              <w:rPr>
                <w:rFonts w:asciiTheme="majorHAnsi" w:hAnsiTheme="majorHAnsi" w:cstheme="majorHAnsi"/>
                <w:szCs w:val="19"/>
                <w:lang w:val="sk-SK"/>
              </w:rPr>
              <w:t>uličné tabule</w:t>
            </w:r>
            <w:r w:rsidR="00034E4D" w:rsidRPr="00CA42B0">
              <w:rPr>
                <w:rFonts w:asciiTheme="majorHAnsi" w:hAnsiTheme="majorHAnsi" w:cstheme="majorHAnsi"/>
                <w:szCs w:val="19"/>
                <w:lang w:val="sk-SK"/>
              </w:rPr>
              <w:t xml:space="preserve">). </w:t>
            </w:r>
          </w:p>
          <w:p w14:paraId="086CD5F5" w14:textId="77777777" w:rsidR="00A36331" w:rsidRDefault="00A36331" w:rsidP="00A36331">
            <w:pPr>
              <w:tabs>
                <w:tab w:val="left" w:pos="223"/>
              </w:tabs>
              <w:ind w:right="116"/>
              <w:jc w:val="both"/>
              <w:rPr>
                <w:rFonts w:asciiTheme="majorHAnsi" w:hAnsiTheme="majorHAnsi" w:cstheme="majorHAnsi"/>
                <w:szCs w:val="19"/>
                <w:lang w:val="sk-SK"/>
              </w:rPr>
            </w:pPr>
          </w:p>
          <w:p w14:paraId="1BCFFA2A" w14:textId="509F1C77" w:rsidR="00A36331" w:rsidRPr="0062294A" w:rsidRDefault="00A36331" w:rsidP="00546541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 xml:space="preserve">V skupine 112 ide najmä o </w:t>
            </w:r>
            <w:r w:rsidRPr="00A36509">
              <w:rPr>
                <w:rFonts w:asciiTheme="majorHAnsi" w:hAnsiTheme="majorHAnsi" w:cstheme="majorHAnsi"/>
                <w:szCs w:val="19"/>
                <w:lang w:val="sk-SK"/>
              </w:rPr>
              <w:t>výdavky súvisiace s odstraňovaním nehodových lokalít a zvýšením bezpečnosti na cestách a križovatkách zavádzaním inteligentných riadiacich systémov (merače rýchlosti, signalizácia, mimoúrovňové križovanie, signalizačné zariadenia, ktoré reag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ujú na rýchlosť vozidiel, atď.).</w:t>
            </w:r>
          </w:p>
        </w:tc>
        <w:tc>
          <w:tcPr>
            <w:tcW w:w="2976" w:type="dxa"/>
          </w:tcPr>
          <w:p w14:paraId="502BFC32" w14:textId="77777777" w:rsidR="00034E4D" w:rsidRPr="00BF2D3B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BF2D3B">
              <w:rPr>
                <w:rFonts w:asciiTheme="minorHAnsi" w:hAnsiTheme="minorHAnsi" w:cstheme="minorHAnsi"/>
                <w:bCs/>
                <w:szCs w:val="19"/>
                <w:lang w:val="sk-SK"/>
              </w:rPr>
              <w:t>633002  Materiál Výpočtová technika</w:t>
            </w:r>
          </w:p>
          <w:p w14:paraId="4276E6A0" w14:textId="77777777" w:rsidR="00034E4D" w:rsidRPr="00BF2D3B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BF2D3B">
              <w:rPr>
                <w:rFonts w:asciiTheme="minorHAnsi" w:hAnsiTheme="minorHAnsi" w:cstheme="minorHAnsi"/>
                <w:bCs/>
                <w:szCs w:val="19"/>
                <w:lang w:val="sk-SK"/>
              </w:rPr>
              <w:t>633003  Materiál Telekomunikačná technika</w:t>
            </w:r>
          </w:p>
          <w:p w14:paraId="667A6782" w14:textId="77777777" w:rsidR="00034E4D" w:rsidRPr="00BF2D3B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BF2D3B">
              <w:rPr>
                <w:rFonts w:asciiTheme="minorHAnsi" w:hAnsiTheme="minorHAnsi" w:cstheme="minorHAnsi"/>
                <w:bCs/>
                <w:szCs w:val="19"/>
                <w:lang w:val="sk-SK"/>
              </w:rPr>
              <w:t>633004  Materiál Prevádzkové stroje, prístroje, zariadenie, technika a náradie</w:t>
            </w:r>
          </w:p>
          <w:p w14:paraId="00E1C8D6" w14:textId="77777777" w:rsidR="00034E4D" w:rsidRPr="00F57DEB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BF2D3B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633005  </w:t>
            </w:r>
            <w:r w:rsidRPr="00CA42B0">
              <w:rPr>
                <w:rFonts w:asciiTheme="minorHAnsi" w:hAnsiTheme="minorHAnsi" w:cstheme="minorHAnsi"/>
                <w:bCs/>
                <w:szCs w:val="19"/>
                <w:lang w:val="sk-SK"/>
              </w:rPr>
              <w:t>Materiál Špeciálne stroje, prístroje, zariadenie, technika a náradie</w:t>
            </w:r>
          </w:p>
          <w:p w14:paraId="70E26EB7" w14:textId="77777777" w:rsidR="00034E4D" w:rsidRPr="00F57DEB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F57DEB">
              <w:rPr>
                <w:rFonts w:asciiTheme="minorHAnsi" w:hAnsiTheme="minorHAnsi" w:cstheme="minorHAnsi"/>
                <w:bCs/>
                <w:szCs w:val="19"/>
                <w:lang w:val="sk-SK"/>
              </w:rPr>
              <w:t>633006  Materiál Všeobecný</w:t>
            </w:r>
          </w:p>
          <w:p w14:paraId="5486F732" w14:textId="77777777" w:rsidR="00034E4D" w:rsidRPr="00BF2D3B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F57DEB">
              <w:rPr>
                <w:rFonts w:asciiTheme="minorHAnsi" w:hAnsiTheme="minorHAnsi" w:cstheme="minorHAnsi"/>
                <w:bCs/>
                <w:szCs w:val="19"/>
                <w:lang w:val="sk-SK"/>
              </w:rPr>
              <w:t>633013  Materiál</w:t>
            </w:r>
            <w:r w:rsidRPr="00BF2D3B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Softvér</w:t>
            </w:r>
          </w:p>
          <w:p w14:paraId="14BCDAA1" w14:textId="0A5D08D9" w:rsidR="00034E4D" w:rsidRPr="0062294A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BF2D3B">
              <w:rPr>
                <w:rFonts w:asciiTheme="minorHAnsi" w:hAnsiTheme="minorHAnsi" w:cstheme="minorHAnsi"/>
                <w:bCs/>
                <w:szCs w:val="19"/>
                <w:lang w:val="sk-SK"/>
              </w:rPr>
              <w:t>633019  Materiál Komunikačná infraštruktúra</w:t>
            </w:r>
          </w:p>
        </w:tc>
      </w:tr>
      <w:tr w:rsidR="00F57DEB" w:rsidRPr="0062294A" w14:paraId="4D703900" w14:textId="77777777" w:rsidTr="00546541">
        <w:trPr>
          <w:trHeight w:val="297"/>
        </w:trPr>
        <w:tc>
          <w:tcPr>
            <w:tcW w:w="1418" w:type="dxa"/>
            <w:shd w:val="clear" w:color="auto" w:fill="4F81BD"/>
          </w:tcPr>
          <w:p w14:paraId="6906C6AF" w14:textId="264AC5AB" w:rsidR="00F57DEB" w:rsidRPr="00034E4D" w:rsidRDefault="00F57DEB" w:rsidP="00843F8D">
            <w:pPr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Trieda</w:t>
            </w:r>
          </w:p>
        </w:tc>
        <w:tc>
          <w:tcPr>
            <w:tcW w:w="8357" w:type="dxa"/>
            <w:gridSpan w:val="2"/>
            <w:shd w:val="clear" w:color="auto" w:fill="4F81BD"/>
          </w:tcPr>
          <w:p w14:paraId="7882CFF1" w14:textId="3907778A" w:rsidR="00F57DEB" w:rsidRPr="0062294A" w:rsidRDefault="00F57DEB" w:rsidP="00843F8D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5</w:t>
            </w:r>
            <w:r w:rsidRPr="00034E4D"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1 – Služby</w:t>
            </w:r>
          </w:p>
        </w:tc>
      </w:tr>
      <w:tr w:rsidR="00034E4D" w:rsidRPr="0062294A" w14:paraId="13EF3BC6" w14:textId="77777777" w:rsidTr="00546541">
        <w:trPr>
          <w:trHeight w:val="2650"/>
        </w:trPr>
        <w:tc>
          <w:tcPr>
            <w:tcW w:w="1418" w:type="dxa"/>
          </w:tcPr>
          <w:p w14:paraId="10DA8009" w14:textId="10B765AF" w:rsidR="00034E4D" w:rsidRPr="00034E4D" w:rsidRDefault="00034E4D" w:rsidP="00843F8D">
            <w:pPr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szCs w:val="19"/>
                <w:lang w:val="sk-SK"/>
              </w:rPr>
              <w:lastRenderedPageBreak/>
              <w:t>518 – Ostatné služby</w:t>
            </w:r>
          </w:p>
        </w:tc>
        <w:tc>
          <w:tcPr>
            <w:tcW w:w="5381" w:type="dxa"/>
          </w:tcPr>
          <w:p w14:paraId="438AF252" w14:textId="4D8E65AC" w:rsidR="00034E4D" w:rsidRPr="00034E4D" w:rsidRDefault="00034E4D" w:rsidP="00EA5DA2">
            <w:pPr>
              <w:pStyle w:val="Odsekzoznamu"/>
              <w:numPr>
                <w:ilvl w:val="0"/>
                <w:numId w:val="8"/>
              </w:numPr>
              <w:ind w:left="209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szCs w:val="19"/>
                <w:lang w:val="sk-SK"/>
              </w:rPr>
              <w:t>všeobecné služby (len služby spojené so zabezpečením informovanosti a komunikácie – výroba a osadenie dočasného pútača a stálej tabule alebo plagátu</w:t>
            </w:r>
            <w:r>
              <w:rPr>
                <w:rStyle w:val="Odkaznapoznmkupodiarou"/>
                <w:szCs w:val="18"/>
                <w:lang w:val="sk-SK"/>
              </w:rPr>
              <w:footnoteReference w:id="5"/>
            </w:r>
            <w:r w:rsidRPr="00034E4D">
              <w:rPr>
                <w:rFonts w:asciiTheme="majorHAnsi" w:hAnsiTheme="majorHAnsi" w:cstheme="majorHAnsi"/>
                <w:szCs w:val="19"/>
                <w:lang w:val="sk-SK"/>
              </w:rPr>
              <w:t>),</w:t>
            </w:r>
          </w:p>
          <w:p w14:paraId="4D8D9CF3" w14:textId="62986D63" w:rsidR="002B56E1" w:rsidRDefault="00034E4D" w:rsidP="002B56E1">
            <w:pPr>
              <w:pStyle w:val="Odsekzoznamu"/>
              <w:numPr>
                <w:ilvl w:val="0"/>
                <w:numId w:val="8"/>
              </w:numPr>
              <w:ind w:left="209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2B56E1">
              <w:rPr>
                <w:rFonts w:asciiTheme="majorHAnsi" w:hAnsiTheme="majorHAnsi" w:cstheme="majorHAnsi"/>
                <w:szCs w:val="19"/>
                <w:lang w:val="sk-SK"/>
              </w:rPr>
              <w:t xml:space="preserve">špeciálne služby (dodávateľským spôsobom) – </w:t>
            </w:r>
            <w:r w:rsidR="002B56E1" w:rsidRPr="002B56E1">
              <w:rPr>
                <w:rFonts w:asciiTheme="majorHAnsi" w:hAnsiTheme="majorHAnsi" w:cstheme="majorHAnsi"/>
                <w:szCs w:val="19"/>
                <w:lang w:val="sk-SK"/>
              </w:rPr>
              <w:t>prieskumné a projektové práce, archeologický prieskum, geometrický plán</w:t>
            </w:r>
            <w:r w:rsidR="002B56E1">
              <w:rPr>
                <w:rFonts w:asciiTheme="majorHAnsi" w:hAnsiTheme="majorHAnsi" w:cstheme="majorHAnsi"/>
                <w:szCs w:val="19"/>
                <w:lang w:val="sk-SK"/>
              </w:rPr>
              <w:t>,</w:t>
            </w:r>
          </w:p>
          <w:p w14:paraId="296E8075" w14:textId="77227375" w:rsidR="00034E4D" w:rsidRPr="008A1A5A" w:rsidRDefault="002B56E1" w:rsidP="00552B76">
            <w:pPr>
              <w:pStyle w:val="Odsekzoznamu"/>
              <w:numPr>
                <w:ilvl w:val="0"/>
                <w:numId w:val="8"/>
              </w:numPr>
              <w:ind w:left="209" w:hanging="142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1946AB">
              <w:rPr>
                <w:rFonts w:asciiTheme="majorHAnsi" w:hAnsiTheme="majorHAnsi" w:cstheme="majorHAnsi"/>
                <w:szCs w:val="19"/>
                <w:lang w:val="sk-SK"/>
              </w:rPr>
              <w:t>štúdie, expertízy, posudky - výdavky za všetky druhy posudkov, odborných vyjadrení, napr. znalecké, expertízne,</w:t>
            </w:r>
            <w:r w:rsidR="001946AB" w:rsidRPr="001946AB">
              <w:rPr>
                <w:rFonts w:asciiTheme="majorHAnsi" w:hAnsiTheme="majorHAnsi" w:cstheme="majorHAnsi"/>
                <w:szCs w:val="19"/>
                <w:lang w:val="sk-SK"/>
              </w:rPr>
              <w:t xml:space="preserve"> </w:t>
            </w:r>
            <w:r w:rsidRPr="001946AB">
              <w:rPr>
                <w:rFonts w:asciiTheme="majorHAnsi" w:hAnsiTheme="majorHAnsi" w:cstheme="majorHAnsi"/>
                <w:szCs w:val="19"/>
                <w:lang w:val="sk-SK"/>
              </w:rPr>
              <w:t>ak nespĺňajú kritériá obstarania dlhodobého nehmotného majetku z kapitálových výdavkov.</w:t>
            </w:r>
          </w:p>
        </w:tc>
        <w:tc>
          <w:tcPr>
            <w:tcW w:w="2976" w:type="dxa"/>
          </w:tcPr>
          <w:p w14:paraId="3A192280" w14:textId="77777777" w:rsidR="00034E4D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034E4D">
              <w:rPr>
                <w:rFonts w:asciiTheme="minorHAnsi" w:hAnsiTheme="minorHAnsi" w:cstheme="minorHAnsi"/>
                <w:bCs/>
                <w:szCs w:val="19"/>
                <w:lang w:val="sk-SK"/>
              </w:rPr>
              <w:t>637004 Všeobecné služby</w:t>
            </w:r>
          </w:p>
          <w:p w14:paraId="714D5B71" w14:textId="77777777" w:rsidR="00034E4D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034E4D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637005 Špeciálne služby </w:t>
            </w:r>
          </w:p>
          <w:p w14:paraId="7FA41E70" w14:textId="094D990F" w:rsidR="008A1A5A" w:rsidRPr="00034E4D" w:rsidRDefault="008A1A5A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637011 </w:t>
            </w:r>
            <w:r w:rsidRPr="008A1A5A">
              <w:rPr>
                <w:rFonts w:asciiTheme="minorHAnsi" w:hAnsiTheme="minorHAnsi" w:cstheme="minorHAnsi"/>
                <w:bCs/>
                <w:szCs w:val="19"/>
                <w:lang w:val="sk-SK"/>
              </w:rPr>
              <w:t>Štúdie, expertízy, posudky</w:t>
            </w:r>
          </w:p>
          <w:p w14:paraId="2849606A" w14:textId="77777777" w:rsidR="00034E4D" w:rsidRPr="0062294A" w:rsidRDefault="00034E4D" w:rsidP="00843F8D">
            <w:pPr>
              <w:rPr>
                <w:rFonts w:asciiTheme="majorHAnsi" w:hAnsiTheme="majorHAnsi" w:cstheme="majorHAnsi"/>
                <w:bCs/>
                <w:szCs w:val="19"/>
                <w:lang w:val="sk-SK"/>
              </w:rPr>
            </w:pPr>
          </w:p>
          <w:p w14:paraId="22049DB3" w14:textId="77777777" w:rsidR="00034E4D" w:rsidRPr="0062294A" w:rsidRDefault="00034E4D" w:rsidP="00843F8D">
            <w:pPr>
              <w:rPr>
                <w:rFonts w:asciiTheme="majorHAnsi" w:hAnsiTheme="majorHAnsi" w:cstheme="majorHAnsi"/>
                <w:bCs/>
                <w:szCs w:val="19"/>
                <w:lang w:val="sk-SK"/>
              </w:rPr>
            </w:pPr>
          </w:p>
          <w:p w14:paraId="262291AE" w14:textId="77777777" w:rsidR="00034E4D" w:rsidRPr="0062294A" w:rsidRDefault="00034E4D" w:rsidP="00843F8D">
            <w:pPr>
              <w:rPr>
                <w:rFonts w:asciiTheme="majorHAnsi" w:hAnsiTheme="majorHAnsi" w:cstheme="majorHAnsi"/>
                <w:bCs/>
                <w:szCs w:val="19"/>
                <w:lang w:val="sk-SK"/>
              </w:rPr>
            </w:pPr>
          </w:p>
          <w:p w14:paraId="173B75CA" w14:textId="77777777" w:rsidR="00034E4D" w:rsidRPr="0062294A" w:rsidRDefault="00034E4D" w:rsidP="00843F8D">
            <w:pPr>
              <w:rPr>
                <w:rFonts w:asciiTheme="majorHAnsi" w:hAnsiTheme="majorHAnsi" w:cstheme="majorHAnsi"/>
                <w:bCs/>
                <w:szCs w:val="19"/>
                <w:lang w:val="sk-SK"/>
              </w:rPr>
            </w:pPr>
          </w:p>
          <w:p w14:paraId="5F2274FD" w14:textId="77777777" w:rsidR="00034E4D" w:rsidRPr="0062294A" w:rsidRDefault="00034E4D" w:rsidP="00843F8D">
            <w:pPr>
              <w:rPr>
                <w:rFonts w:asciiTheme="majorHAnsi" w:hAnsiTheme="majorHAnsi" w:cstheme="majorHAnsi"/>
                <w:bCs/>
                <w:szCs w:val="19"/>
                <w:lang w:val="sk-SK"/>
              </w:rPr>
            </w:pPr>
          </w:p>
          <w:p w14:paraId="47EEE700" w14:textId="77777777" w:rsidR="00034E4D" w:rsidRPr="0062294A" w:rsidRDefault="00034E4D" w:rsidP="00843F8D">
            <w:pPr>
              <w:rPr>
                <w:rFonts w:asciiTheme="majorHAnsi" w:hAnsiTheme="majorHAnsi" w:cstheme="majorHAnsi"/>
                <w:bCs/>
                <w:szCs w:val="19"/>
                <w:lang w:val="sk-SK"/>
              </w:rPr>
            </w:pPr>
          </w:p>
          <w:p w14:paraId="452AA053" w14:textId="77777777" w:rsidR="00034E4D" w:rsidRPr="0062294A" w:rsidRDefault="00034E4D" w:rsidP="00843F8D">
            <w:pPr>
              <w:rPr>
                <w:rFonts w:asciiTheme="majorHAnsi" w:hAnsiTheme="majorHAnsi" w:cstheme="majorHAnsi"/>
                <w:bCs/>
                <w:szCs w:val="19"/>
                <w:lang w:val="sk-SK"/>
              </w:rPr>
            </w:pPr>
          </w:p>
          <w:p w14:paraId="0F42E245" w14:textId="02B94562" w:rsidR="00034E4D" w:rsidRPr="0062294A" w:rsidRDefault="00034E4D" w:rsidP="00843F8D">
            <w:pPr>
              <w:rPr>
                <w:rFonts w:asciiTheme="majorHAnsi" w:hAnsiTheme="majorHAnsi" w:cstheme="majorHAnsi"/>
                <w:szCs w:val="19"/>
                <w:lang w:val="sk-SK"/>
              </w:rPr>
            </w:pPr>
          </w:p>
        </w:tc>
      </w:tr>
      <w:tr w:rsidR="00034E4D" w:rsidRPr="0062294A" w14:paraId="4BD9508E" w14:textId="77777777" w:rsidTr="00034E4D">
        <w:trPr>
          <w:trHeight w:val="163"/>
        </w:trPr>
        <w:tc>
          <w:tcPr>
            <w:tcW w:w="1418" w:type="dxa"/>
            <w:shd w:val="clear" w:color="auto" w:fill="4F81BD"/>
          </w:tcPr>
          <w:p w14:paraId="320DD62A" w14:textId="1AE0C1BF" w:rsidR="00034E4D" w:rsidRPr="00034E4D" w:rsidRDefault="00034E4D" w:rsidP="00843F8D">
            <w:pPr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Trieda</w:t>
            </w:r>
          </w:p>
        </w:tc>
        <w:tc>
          <w:tcPr>
            <w:tcW w:w="8357" w:type="dxa"/>
            <w:gridSpan w:val="2"/>
            <w:shd w:val="clear" w:color="auto" w:fill="4F81BD"/>
          </w:tcPr>
          <w:p w14:paraId="73E5A434" w14:textId="3F25C2E1" w:rsidR="00034E4D" w:rsidRPr="00034E4D" w:rsidRDefault="00034E4D" w:rsidP="00843F8D">
            <w:pPr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52 – Osobné výdavky</w:t>
            </w:r>
          </w:p>
        </w:tc>
      </w:tr>
      <w:tr w:rsidR="00034E4D" w:rsidRPr="0062294A" w14:paraId="5E8BAAE2" w14:textId="77777777" w:rsidTr="00034E4D">
        <w:tc>
          <w:tcPr>
            <w:tcW w:w="1418" w:type="dxa"/>
          </w:tcPr>
          <w:p w14:paraId="39B8DE5C" w14:textId="77777777" w:rsidR="00034E4D" w:rsidRPr="00034E4D" w:rsidRDefault="00034E4D" w:rsidP="00843F8D">
            <w:pPr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szCs w:val="19"/>
                <w:lang w:val="sk-SK"/>
              </w:rPr>
              <w:t>521 – Mzdové výdavky</w:t>
            </w:r>
          </w:p>
        </w:tc>
        <w:tc>
          <w:tcPr>
            <w:tcW w:w="5381" w:type="dxa"/>
          </w:tcPr>
          <w:p w14:paraId="2BEEC14B" w14:textId="77777777" w:rsidR="006F5AFB" w:rsidRPr="006F5AFB" w:rsidRDefault="006F5AFB" w:rsidP="00843F8D">
            <w:pPr>
              <w:ind w:left="67"/>
              <w:rPr>
                <w:szCs w:val="19"/>
                <w:lang w:val="sk-SK"/>
              </w:rPr>
            </w:pPr>
            <w:r w:rsidRPr="006F5AFB">
              <w:rPr>
                <w:szCs w:val="19"/>
                <w:lang w:val="sk-SK"/>
              </w:rPr>
              <w:t>Len výdavky bezprostredne súvisiace s prípravou a riadením projektu (nepriame výdavky)</w:t>
            </w:r>
            <w:r w:rsidRPr="006F5AFB">
              <w:rPr>
                <w:rStyle w:val="Odkaznapoznmkupodiarou"/>
                <w:sz w:val="19"/>
                <w:szCs w:val="19"/>
                <w:lang w:val="sk-SK"/>
              </w:rPr>
              <w:footnoteReference w:id="6"/>
            </w:r>
            <w:r w:rsidRPr="006F5AFB">
              <w:rPr>
                <w:szCs w:val="19"/>
                <w:lang w:val="sk-SK"/>
              </w:rPr>
              <w:t>:</w:t>
            </w:r>
          </w:p>
          <w:p w14:paraId="017A2734" w14:textId="0FEB6C35" w:rsidR="006F5AFB" w:rsidRPr="006F5AFB" w:rsidRDefault="006F5AFB" w:rsidP="00EA5DA2">
            <w:pPr>
              <w:pStyle w:val="Odsekzoznamu"/>
              <w:numPr>
                <w:ilvl w:val="0"/>
                <w:numId w:val="8"/>
              </w:numPr>
              <w:ind w:left="209" w:hanging="142"/>
              <w:rPr>
                <w:szCs w:val="19"/>
                <w:lang w:val="sk-SK"/>
              </w:rPr>
            </w:pPr>
            <w:r w:rsidRPr="006F5AFB">
              <w:rPr>
                <w:szCs w:val="19"/>
                <w:lang w:val="sk-SK"/>
              </w:rPr>
              <w:t>cena práce (hrubá mzda a zákonné odvody zamestnávateľa) za zamestnancov prijímateľa</w:t>
            </w:r>
            <w:r w:rsidR="001946AB">
              <w:rPr>
                <w:szCs w:val="19"/>
                <w:lang w:val="sk-SK"/>
              </w:rPr>
              <w:t xml:space="preserve"> a ostatné oprávnené výdavky v zmysle kap. 4.8.1 Pravidiel k OV</w:t>
            </w:r>
            <w:r w:rsidRPr="006F5AFB">
              <w:rPr>
                <w:szCs w:val="19"/>
                <w:lang w:val="sk-SK"/>
              </w:rPr>
              <w:t xml:space="preserve">, </w:t>
            </w:r>
          </w:p>
          <w:p w14:paraId="463E97E8" w14:textId="70BBF9B8" w:rsidR="006F5AFB" w:rsidRPr="006F5AFB" w:rsidRDefault="006F5AFB" w:rsidP="00EA5DA2">
            <w:pPr>
              <w:pStyle w:val="Odsekzoznamu"/>
              <w:numPr>
                <w:ilvl w:val="0"/>
                <w:numId w:val="8"/>
              </w:numPr>
              <w:ind w:left="209" w:hanging="142"/>
              <w:rPr>
                <w:szCs w:val="19"/>
                <w:lang w:val="sk-SK"/>
              </w:rPr>
            </w:pPr>
            <w:r w:rsidRPr="006F5AFB">
              <w:rPr>
                <w:szCs w:val="19"/>
                <w:lang w:val="sk-SK"/>
              </w:rPr>
              <w:t>cena p</w:t>
            </w:r>
            <w:bookmarkStart w:id="0" w:name="_GoBack"/>
            <w:bookmarkEnd w:id="0"/>
            <w:r w:rsidRPr="006F5AFB">
              <w:rPr>
                <w:szCs w:val="19"/>
                <w:lang w:val="sk-SK"/>
              </w:rPr>
              <w:t>ráce (odmeny za práce vykonané mimo pracovného pomeru a zákonné odvodov zamestnávateľa) za zamestnancov prijímateľa</w:t>
            </w:r>
            <w:r w:rsidR="001946AB">
              <w:rPr>
                <w:szCs w:val="19"/>
                <w:lang w:val="sk-SK"/>
              </w:rPr>
              <w:t xml:space="preserve"> a ostatné oprávnené výdavky v zmysle kap. 4.8.1 Pravidiel k OV</w:t>
            </w:r>
            <w:r w:rsidRPr="006F5AFB">
              <w:rPr>
                <w:szCs w:val="19"/>
                <w:lang w:val="sk-SK"/>
              </w:rPr>
              <w:t>, pričom mimo pracovným pomerom sa rozumejú vzťahy u</w:t>
            </w:r>
            <w:r w:rsidR="008F1726">
              <w:rPr>
                <w:szCs w:val="19"/>
                <w:lang w:val="sk-SK"/>
              </w:rPr>
              <w:t>zatvorené v zmysle ustanovení §</w:t>
            </w:r>
            <w:r w:rsidRPr="006F5AFB">
              <w:rPr>
                <w:szCs w:val="19"/>
                <w:lang w:val="sk-SK"/>
              </w:rPr>
              <w:t xml:space="preserve"> 223-228a z. č. 311/2001 Z. z. Zákonníka práce v znení neskorších predpisov. </w:t>
            </w:r>
          </w:p>
          <w:p w14:paraId="4322A183" w14:textId="77777777" w:rsidR="000C411F" w:rsidRDefault="000C411F" w:rsidP="00843F8D">
            <w:pPr>
              <w:widowControl w:val="0"/>
              <w:tabs>
                <w:tab w:val="left" w:pos="173"/>
                <w:tab w:val="left" w:pos="720"/>
              </w:tabs>
              <w:autoSpaceDE w:val="0"/>
              <w:autoSpaceDN w:val="0"/>
              <w:adjustRightInd w:val="0"/>
              <w:ind w:left="173"/>
              <w:rPr>
                <w:rFonts w:cs="Arial"/>
                <w:szCs w:val="19"/>
                <w:lang w:val="sk-SK"/>
              </w:rPr>
            </w:pPr>
          </w:p>
          <w:p w14:paraId="6A568AF4" w14:textId="7AB2A103" w:rsidR="006F5AFB" w:rsidRPr="006F5AFB" w:rsidRDefault="006F5AFB" w:rsidP="007953DB">
            <w:pPr>
              <w:widowControl w:val="0"/>
              <w:tabs>
                <w:tab w:val="left" w:pos="173"/>
                <w:tab w:val="left" w:pos="720"/>
              </w:tabs>
              <w:autoSpaceDE w:val="0"/>
              <w:autoSpaceDN w:val="0"/>
              <w:adjustRightInd w:val="0"/>
              <w:ind w:left="173"/>
              <w:jc w:val="both"/>
              <w:rPr>
                <w:rFonts w:cs="Arial"/>
                <w:szCs w:val="19"/>
                <w:lang w:val="sk-SK"/>
              </w:rPr>
            </w:pPr>
            <w:r w:rsidRPr="006F5AFB">
              <w:rPr>
                <w:rFonts w:cs="Arial"/>
                <w:szCs w:val="19"/>
                <w:lang w:val="sk-SK"/>
              </w:rPr>
              <w:t>Oprávnené sú iba výdavky priamo súvisiace s prípravou a riadením projektu (manažér prípravy projektu, manažér pre verejné obstarávanie, projektový manažér, finanč</w:t>
            </w:r>
            <w:r w:rsidRPr="006F5AFB">
              <w:rPr>
                <w:rFonts w:eastAsia="Calibri" w:cs="Arial"/>
                <w:szCs w:val="19"/>
                <w:lang w:val="sk-SK"/>
              </w:rPr>
              <w:t>n</w:t>
            </w:r>
            <w:r w:rsidRPr="006F5AFB">
              <w:rPr>
                <w:rFonts w:cs="Arial"/>
                <w:szCs w:val="19"/>
                <w:lang w:val="sk-SK"/>
              </w:rPr>
              <w:t>ý manažér)</w:t>
            </w:r>
            <w:r w:rsidRPr="006F5AFB">
              <w:rPr>
                <w:rStyle w:val="Odkaznapoznmkupodiarou"/>
                <w:rFonts w:cs="Arial"/>
                <w:sz w:val="19"/>
                <w:szCs w:val="19"/>
                <w:lang w:val="sk-SK"/>
              </w:rPr>
              <w:footnoteReference w:id="7"/>
            </w:r>
            <w:r w:rsidR="00221C54">
              <w:rPr>
                <w:rFonts w:cs="Arial"/>
                <w:szCs w:val="19"/>
                <w:lang w:val="sk-SK"/>
              </w:rPr>
              <w:t>.</w:t>
            </w:r>
          </w:p>
          <w:p w14:paraId="2422AA64" w14:textId="3C08674D" w:rsidR="00034E4D" w:rsidRPr="0062294A" w:rsidRDefault="006F5AFB" w:rsidP="00CA5D6A">
            <w:pPr>
              <w:widowControl w:val="0"/>
              <w:tabs>
                <w:tab w:val="left" w:pos="173"/>
                <w:tab w:val="left" w:pos="720"/>
              </w:tabs>
              <w:autoSpaceDE w:val="0"/>
              <w:autoSpaceDN w:val="0"/>
              <w:adjustRightInd w:val="0"/>
              <w:ind w:left="173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F5AFB">
              <w:rPr>
                <w:rFonts w:cs="Arial"/>
                <w:szCs w:val="19"/>
                <w:lang w:val="sk-SK"/>
              </w:rPr>
              <w:t>Výdavky sú oprávnené výluč</w:t>
            </w:r>
            <w:r w:rsidRPr="006F5AFB">
              <w:rPr>
                <w:rFonts w:eastAsia="Calibri" w:cs="Arial"/>
                <w:szCs w:val="19"/>
                <w:lang w:val="sk-SK"/>
              </w:rPr>
              <w:t>n</w:t>
            </w:r>
            <w:r w:rsidRPr="006F5AFB">
              <w:rPr>
                <w:rFonts w:cs="Arial"/>
                <w:szCs w:val="19"/>
                <w:lang w:val="sk-SK"/>
              </w:rPr>
              <w:t>e na uvedené pozície a musia výlučne súvisieť s prípravou žiadosti o NFP a implementáciou projektu.</w:t>
            </w:r>
          </w:p>
        </w:tc>
        <w:tc>
          <w:tcPr>
            <w:tcW w:w="2976" w:type="dxa"/>
          </w:tcPr>
          <w:p w14:paraId="64EA247C" w14:textId="77777777" w:rsidR="00034E4D" w:rsidRPr="00034E4D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034E4D">
              <w:rPr>
                <w:rFonts w:asciiTheme="minorHAnsi" w:hAnsiTheme="minorHAnsi" w:cstheme="minorHAnsi"/>
                <w:bCs/>
                <w:szCs w:val="19"/>
                <w:lang w:val="sk-SK"/>
              </w:rPr>
              <w:t>610 Mzdy, platy, služobné príjmy a ostatné osobné vyrovnania</w:t>
            </w:r>
          </w:p>
          <w:p w14:paraId="0586922D" w14:textId="77777777" w:rsidR="00034E4D" w:rsidRPr="00034E4D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034E4D">
              <w:rPr>
                <w:rFonts w:asciiTheme="minorHAnsi" w:hAnsiTheme="minorHAnsi" w:cstheme="minorHAnsi"/>
                <w:bCs/>
                <w:szCs w:val="19"/>
                <w:lang w:val="sk-SK"/>
              </w:rPr>
              <w:t>620 Poistné a príspevok do poisťovní</w:t>
            </w:r>
          </w:p>
          <w:p w14:paraId="16A275C2" w14:textId="77777777" w:rsidR="00034E4D" w:rsidRPr="00034E4D" w:rsidRDefault="00034E4D" w:rsidP="00EA5DA2">
            <w:pPr>
              <w:pStyle w:val="Odsekzoznamu"/>
              <w:numPr>
                <w:ilvl w:val="0"/>
                <w:numId w:val="6"/>
              </w:numPr>
              <w:ind w:left="209" w:hanging="142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034E4D">
              <w:rPr>
                <w:rFonts w:asciiTheme="minorHAnsi" w:hAnsiTheme="minorHAnsi" w:cstheme="minorHAnsi"/>
                <w:bCs/>
                <w:szCs w:val="19"/>
                <w:lang w:val="sk-SK"/>
              </w:rPr>
              <w:t>637027 Odmeny zamestnancov mimopracovného pomeru</w:t>
            </w:r>
          </w:p>
          <w:p w14:paraId="60EF7C98" w14:textId="52857519" w:rsidR="00034E4D" w:rsidRPr="0062294A" w:rsidRDefault="00034E4D" w:rsidP="00843F8D">
            <w:pPr>
              <w:rPr>
                <w:rFonts w:asciiTheme="majorHAnsi" w:hAnsiTheme="majorHAnsi" w:cstheme="majorHAnsi"/>
                <w:szCs w:val="19"/>
                <w:lang w:val="sk-SK"/>
              </w:rPr>
            </w:pPr>
          </w:p>
        </w:tc>
      </w:tr>
      <w:tr w:rsidR="00267588" w:rsidRPr="00034E4D" w14:paraId="382C18D4" w14:textId="77777777" w:rsidTr="00CC0A1B">
        <w:trPr>
          <w:trHeight w:val="98"/>
        </w:trPr>
        <w:tc>
          <w:tcPr>
            <w:tcW w:w="1418" w:type="dxa"/>
            <w:shd w:val="clear" w:color="auto" w:fill="4F81BD"/>
          </w:tcPr>
          <w:p w14:paraId="30F575AF" w14:textId="77777777" w:rsidR="00267588" w:rsidRPr="00034E4D" w:rsidRDefault="00267588" w:rsidP="00CC0A1B">
            <w:pPr>
              <w:jc w:val="both"/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Trieda</w:t>
            </w:r>
          </w:p>
        </w:tc>
        <w:tc>
          <w:tcPr>
            <w:tcW w:w="8357" w:type="dxa"/>
            <w:gridSpan w:val="2"/>
            <w:shd w:val="clear" w:color="auto" w:fill="4F81BD"/>
          </w:tcPr>
          <w:p w14:paraId="53B0940A" w14:textId="77777777" w:rsidR="00267588" w:rsidRPr="00034E4D" w:rsidRDefault="00267588" w:rsidP="00CC0A1B">
            <w:pPr>
              <w:ind w:left="27"/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color w:val="FFFFFF" w:themeColor="background1"/>
                <w:szCs w:val="19"/>
                <w:lang w:val="sk-SK"/>
              </w:rPr>
              <w:t>90 - Zjednodušené vykazovanie výdavkov a rezerva</w:t>
            </w:r>
          </w:p>
        </w:tc>
      </w:tr>
      <w:tr w:rsidR="00267588" w:rsidRPr="0062294A" w14:paraId="781F0738" w14:textId="77777777" w:rsidTr="00CC0A1B">
        <w:trPr>
          <w:trHeight w:val="684"/>
        </w:trPr>
        <w:tc>
          <w:tcPr>
            <w:tcW w:w="1418" w:type="dxa"/>
          </w:tcPr>
          <w:p w14:paraId="0EC144A7" w14:textId="77777777" w:rsidR="00267588" w:rsidRPr="00034E4D" w:rsidRDefault="00267588" w:rsidP="00CC0A1B">
            <w:pPr>
              <w:rPr>
                <w:rFonts w:asciiTheme="majorHAnsi" w:hAnsiTheme="majorHAnsi" w:cstheme="majorHAnsi"/>
                <w:b/>
                <w:szCs w:val="19"/>
                <w:lang w:val="sk-SK"/>
              </w:rPr>
            </w:pPr>
            <w:r w:rsidRPr="00034E4D">
              <w:rPr>
                <w:rFonts w:asciiTheme="majorHAnsi" w:hAnsiTheme="majorHAnsi" w:cstheme="majorHAnsi"/>
                <w:b/>
                <w:szCs w:val="19"/>
                <w:lang w:val="sk-SK"/>
              </w:rPr>
              <w:t xml:space="preserve">930 – Rezerva na nepredvídané  výdavky </w:t>
            </w:r>
          </w:p>
        </w:tc>
        <w:tc>
          <w:tcPr>
            <w:tcW w:w="5381" w:type="dxa"/>
          </w:tcPr>
          <w:p w14:paraId="27BB7470" w14:textId="7652BA6E" w:rsidR="00156042" w:rsidRPr="0062294A" w:rsidRDefault="00156042" w:rsidP="00156042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V súvislosti s rezervou na nepredvídané  výdavky sú oprávnenými dodatočnými výdavkami</w:t>
            </w:r>
            <w:r w:rsidR="000C411F" w:rsidRPr="006F5AFB">
              <w:rPr>
                <w:rStyle w:val="Odkaznapoznmkupodiarou"/>
                <w:rFonts w:cs="Arial"/>
                <w:sz w:val="19"/>
                <w:szCs w:val="19"/>
                <w:lang w:val="sk-SK"/>
              </w:rPr>
              <w:footnoteReference w:id="8"/>
            </w:r>
            <w:r w:rsidR="000C411F">
              <w:rPr>
                <w:rFonts w:asciiTheme="majorHAnsi" w:hAnsiTheme="majorHAnsi" w:cstheme="majorHAnsi"/>
                <w:szCs w:val="19"/>
                <w:lang w:val="sk-SK"/>
              </w:rPr>
              <w:t xml:space="preserve"> </w:t>
            </w:r>
            <w:r w:rsidRPr="0062294A">
              <w:rPr>
                <w:rFonts w:asciiTheme="majorHAnsi" w:hAnsiTheme="majorHAnsi" w:cstheme="majorHAnsi"/>
                <w:szCs w:val="19"/>
                <w:lang w:val="sk-SK"/>
              </w:rPr>
              <w:t>:</w:t>
            </w:r>
          </w:p>
          <w:p w14:paraId="00AF1569" w14:textId="77777777" w:rsidR="00F57DEB" w:rsidRPr="00B44266" w:rsidRDefault="00F57DEB" w:rsidP="00F57DEB">
            <w:pPr>
              <w:pStyle w:val="Odsekzoznamu"/>
              <w:numPr>
                <w:ilvl w:val="0"/>
                <w:numId w:val="12"/>
              </w:numPr>
              <w:ind w:left="392" w:hanging="283"/>
              <w:rPr>
                <w:rFonts w:asciiTheme="majorHAnsi" w:hAnsiTheme="majorHAnsi" w:cstheme="majorHAnsi"/>
                <w:color w:val="000000" w:themeColor="text1"/>
                <w:szCs w:val="19"/>
                <w:lang w:val="sk-SK"/>
              </w:rPr>
            </w:pPr>
            <w:r w:rsidRPr="00CA5D6A">
              <w:rPr>
                <w:rFonts w:asciiTheme="majorHAnsi" w:hAnsiTheme="majorHAnsi" w:cstheme="majorHAnsi"/>
                <w:szCs w:val="19"/>
                <w:lang w:val="sk-SK"/>
              </w:rPr>
              <w:t xml:space="preserve">dodatočné výdavky za stavebné práce (tzv. naviac práce) – stavebné práce, ktoré neboli pôvodne zahrnuté v zmluve o dielo, (napr. v projektovej dokumentácii), pričom priamo súvisia s cieľmi a aktivitami projektu a ich uskutočnenie je nevyhnutné </w:t>
            </w:r>
            <w:r w:rsidRPr="00CA5D6A">
              <w:rPr>
                <w:rFonts w:asciiTheme="majorHAnsi" w:hAnsiTheme="majorHAnsi" w:cstheme="majorHAnsi"/>
                <w:color w:val="000000" w:themeColor="text1"/>
                <w:szCs w:val="19"/>
                <w:lang w:val="sk-SK"/>
              </w:rPr>
              <w:t>na realizáciu projektu (napr. rezerva pre prípad navýšenia zmluvnej ceny z dôvodu vykonania dodatočného archeologického prieskumu a pod.).</w:t>
            </w:r>
          </w:p>
          <w:p w14:paraId="104FEA65" w14:textId="40835D10" w:rsidR="00221C54" w:rsidRPr="00546541" w:rsidRDefault="00156042" w:rsidP="00F57DEB">
            <w:pPr>
              <w:pStyle w:val="Odsekzoznamu"/>
              <w:numPr>
                <w:ilvl w:val="0"/>
                <w:numId w:val="12"/>
              </w:numPr>
              <w:ind w:left="392" w:hanging="283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CA5D6A">
              <w:rPr>
                <w:rFonts w:asciiTheme="majorHAnsi" w:hAnsiTheme="majorHAnsi" w:cstheme="majorHAnsi"/>
                <w:szCs w:val="19"/>
                <w:lang w:val="sk-SK"/>
              </w:rPr>
              <w:t>dodatočné výdavky za služby stavebného dozoru – služby stavebného dozoru, ktoré neboli pôvodne zahrnuté v zmluve na výkon činnosti stavebného dozoru, pričom priamo súvisia s cieľmi a aktivitami projektu a ich poskytnutie je nevyhnutné na realizáciu projektu (napr. rezerva pre prípad navýšenia  zmluvnej ceny z dôv</w:t>
            </w:r>
            <w:r w:rsidR="00AA6ED1" w:rsidRPr="00CA5D6A">
              <w:rPr>
                <w:rFonts w:asciiTheme="majorHAnsi" w:hAnsiTheme="majorHAnsi" w:cstheme="majorHAnsi"/>
                <w:szCs w:val="19"/>
                <w:lang w:val="sk-SK"/>
              </w:rPr>
              <w:t>odu predĺženia lehoty výstavby),</w:t>
            </w:r>
          </w:p>
        </w:tc>
        <w:tc>
          <w:tcPr>
            <w:tcW w:w="2976" w:type="dxa"/>
          </w:tcPr>
          <w:p w14:paraId="61248281" w14:textId="099FC3D9" w:rsidR="00267588" w:rsidRPr="0062294A" w:rsidRDefault="000C411F" w:rsidP="00CC0A1B">
            <w:pPr>
              <w:rPr>
                <w:rFonts w:asciiTheme="majorHAnsi" w:hAnsiTheme="majorHAnsi" w:cstheme="majorHAnsi"/>
                <w:color w:val="000000" w:themeColor="text1"/>
                <w:szCs w:val="19"/>
                <w:lang w:val="sk-SK"/>
              </w:rPr>
            </w:pPr>
            <w:r w:rsidRPr="0062294A">
              <w:rPr>
                <w:rFonts w:asciiTheme="majorHAnsi" w:hAnsiTheme="majorHAnsi" w:cstheme="majorHAnsi"/>
                <w:color w:val="000000" w:themeColor="text1"/>
                <w:szCs w:val="19"/>
                <w:lang w:val="sk-SK"/>
              </w:rPr>
              <w:t>Uplatnenie rezervy na nepredvídané výdavky sa realizuje výlučne prostredníctvom konkrétnej skupiny oprávnených výdavkov, a výdavok musí zároveň spĺňať všeobecné podmienky oprávnenosti.</w:t>
            </w:r>
          </w:p>
          <w:p w14:paraId="50AF821A" w14:textId="7FCD39B6" w:rsidR="00267588" w:rsidRPr="0062294A" w:rsidRDefault="00267588" w:rsidP="00CC0A1B">
            <w:pPr>
              <w:spacing w:beforeLines="60" w:before="144" w:after="60"/>
              <w:rPr>
                <w:rFonts w:asciiTheme="majorHAnsi" w:hAnsiTheme="majorHAnsi" w:cstheme="majorHAnsi"/>
                <w:szCs w:val="19"/>
                <w:lang w:val="sk-SK"/>
              </w:rPr>
            </w:pPr>
          </w:p>
        </w:tc>
      </w:tr>
    </w:tbl>
    <w:p w14:paraId="019BD2F4" w14:textId="5C05265E" w:rsidR="00253939" w:rsidRPr="00253939" w:rsidRDefault="00253939" w:rsidP="00253939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  <w:szCs w:val="19"/>
          <w:lang w:val="sk-SK"/>
        </w:rPr>
      </w:pPr>
    </w:p>
    <w:p w14:paraId="51F893A9" w14:textId="77777777" w:rsidR="00253939" w:rsidRPr="00253939" w:rsidRDefault="00253939" w:rsidP="00253939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  <w:szCs w:val="19"/>
          <w:lang w:val="sk-SK"/>
        </w:rPr>
      </w:pPr>
      <w:r w:rsidRPr="00253939">
        <w:rPr>
          <w:rFonts w:cs="Arial"/>
          <w:color w:val="000000"/>
          <w:szCs w:val="19"/>
          <w:lang w:val="sk-SK"/>
        </w:rPr>
        <w:lastRenderedPageBreak/>
        <w:t xml:space="preserve">V prípade, že žiadateľ/prijímateľ bude využívať nadobudnutý hmotný a nehmotný majetok okrem realizácie projektu aj na iné aktivity/činnosti nesúvisiace s realizáciou projektu, </w:t>
      </w:r>
      <w:r w:rsidRPr="00253939">
        <w:rPr>
          <w:rFonts w:cs="Arial"/>
          <w:b/>
          <w:bCs/>
          <w:color w:val="000000"/>
          <w:szCs w:val="19"/>
          <w:lang w:val="sk-SK"/>
        </w:rPr>
        <w:t xml:space="preserve">oprávnené </w:t>
      </w:r>
      <w:r w:rsidRPr="00253939">
        <w:rPr>
          <w:rFonts w:cs="Arial"/>
          <w:color w:val="000000"/>
          <w:szCs w:val="19"/>
          <w:lang w:val="sk-SK"/>
        </w:rPr>
        <w:t xml:space="preserve">na financovanie z EŠIF a ŠR SR </w:t>
      </w:r>
      <w:r w:rsidRPr="00253939">
        <w:rPr>
          <w:rFonts w:cs="Arial"/>
          <w:b/>
          <w:bCs/>
          <w:color w:val="000000"/>
          <w:szCs w:val="19"/>
          <w:lang w:val="sk-SK"/>
        </w:rPr>
        <w:t xml:space="preserve">sú len pomerné výdavky </w:t>
      </w:r>
      <w:r w:rsidRPr="00253939">
        <w:rPr>
          <w:rFonts w:cs="Arial"/>
          <w:color w:val="000000"/>
          <w:szCs w:val="19"/>
          <w:lang w:val="sk-SK"/>
        </w:rPr>
        <w:t>na obstaranie tohto majetku</w:t>
      </w:r>
      <w:r w:rsidRPr="00253939">
        <w:rPr>
          <w:rStyle w:val="Odkaznapoznmkupodiarou"/>
          <w:rFonts w:cs="Arial"/>
          <w:color w:val="000000"/>
          <w:sz w:val="19"/>
          <w:szCs w:val="19"/>
          <w:lang w:val="sk-SK"/>
        </w:rPr>
        <w:footnoteReference w:id="9"/>
      </w:r>
      <w:r w:rsidRPr="00253939">
        <w:rPr>
          <w:rFonts w:cs="Arial"/>
          <w:color w:val="000000"/>
          <w:szCs w:val="19"/>
          <w:lang w:val="sk-SK"/>
        </w:rPr>
        <w:t xml:space="preserve">. </w:t>
      </w:r>
    </w:p>
    <w:p w14:paraId="48459D00" w14:textId="77777777" w:rsidR="00253939" w:rsidRPr="00253939" w:rsidRDefault="00253939" w:rsidP="00253939">
      <w:pPr>
        <w:spacing w:before="120"/>
        <w:jc w:val="both"/>
        <w:rPr>
          <w:szCs w:val="19"/>
          <w:lang w:val="sk-SK"/>
        </w:rPr>
      </w:pPr>
      <w:r w:rsidRPr="00253939">
        <w:rPr>
          <w:rFonts w:cs="Arial"/>
          <w:color w:val="000000"/>
          <w:szCs w:val="19"/>
          <w:lang w:val="sk-SK"/>
        </w:rPr>
        <w:t xml:space="preserve">V prípade identifikácie neoprávnených výdavkov projektu z dôvodu vecnej neoprávnenosti alebo neúčelnosti poskytovateľ v procese odborného hodnotenia zníži výšku žiadaných celkových oprávnených výdavkov projektu o identifikované neoprávnené výdavky, ktoré nebudú z IROP financované. V prípade, ak poskytovateľ identifikuje </w:t>
      </w:r>
      <w:r w:rsidRPr="00253939">
        <w:rPr>
          <w:rFonts w:cs="Arial"/>
          <w:b/>
          <w:bCs/>
          <w:color w:val="000000"/>
          <w:szCs w:val="19"/>
          <w:lang w:val="sk-SK"/>
        </w:rPr>
        <w:t xml:space="preserve">30 % a viac </w:t>
      </w:r>
      <w:r w:rsidRPr="00253939">
        <w:rPr>
          <w:rFonts w:cs="Arial"/>
          <w:color w:val="000000"/>
          <w:szCs w:val="19"/>
          <w:lang w:val="sk-SK"/>
        </w:rPr>
        <w:t xml:space="preserve">finančnej hodnoty žiadateľom definovaných celkových oprávnených výdavkov projektu ako </w:t>
      </w:r>
      <w:r w:rsidRPr="00253939">
        <w:rPr>
          <w:rFonts w:cs="Arial"/>
          <w:b/>
          <w:bCs/>
          <w:color w:val="000000"/>
          <w:szCs w:val="19"/>
          <w:lang w:val="sk-SK"/>
        </w:rPr>
        <w:t>vecne neoprávnených a/alebo neúčelných, poskytovateľ vydá rozhodnutie o neschválení žiadosti o poskytnutie nenávratného finančného príspevku.</w:t>
      </w:r>
    </w:p>
    <w:p w14:paraId="5B0CAB1F" w14:textId="77777777" w:rsidR="00A15843" w:rsidRPr="0062294A" w:rsidRDefault="00A15843" w:rsidP="00773DDA">
      <w:pPr>
        <w:spacing w:after="60" w:line="288" w:lineRule="auto"/>
        <w:jc w:val="center"/>
        <w:outlineLvl w:val="0"/>
        <w:rPr>
          <w:rFonts w:asciiTheme="majorHAnsi" w:hAnsiTheme="majorHAnsi" w:cstheme="majorHAnsi"/>
          <w:b/>
          <w:color w:val="002776" w:themeColor="text2"/>
          <w:szCs w:val="19"/>
          <w:lang w:val="sk-SK"/>
        </w:rPr>
      </w:pPr>
    </w:p>
    <w:p w14:paraId="7503428D" w14:textId="77777777" w:rsidR="00E743CC" w:rsidRPr="00E743CC" w:rsidRDefault="00E743CC" w:rsidP="00EA5DA2">
      <w:pPr>
        <w:pStyle w:val="Odsekzoznamu"/>
        <w:numPr>
          <w:ilvl w:val="0"/>
          <w:numId w:val="11"/>
        </w:numPr>
        <w:ind w:left="426" w:firstLine="0"/>
        <w:rPr>
          <w:b/>
          <w:color w:val="002776" w:themeColor="text2"/>
          <w:sz w:val="20"/>
          <w:szCs w:val="20"/>
          <w:lang w:val="sk-SK"/>
        </w:rPr>
      </w:pPr>
      <w:r w:rsidRPr="00E743CC">
        <w:rPr>
          <w:b/>
          <w:color w:val="002776" w:themeColor="text2"/>
          <w:sz w:val="20"/>
          <w:szCs w:val="20"/>
          <w:lang w:val="sk-SK"/>
        </w:rPr>
        <w:t>Neoprávnené výdavky</w:t>
      </w:r>
    </w:p>
    <w:p w14:paraId="191D2325" w14:textId="69F70F0C" w:rsidR="00E743CC" w:rsidRDefault="00E743CC" w:rsidP="00E743CC">
      <w:pPr>
        <w:spacing w:before="120"/>
        <w:jc w:val="both"/>
        <w:rPr>
          <w:szCs w:val="19"/>
          <w:lang w:val="sk-SK"/>
        </w:rPr>
      </w:pPr>
      <w:r w:rsidRPr="00BF73E8">
        <w:rPr>
          <w:szCs w:val="19"/>
          <w:lang w:val="sk-SK"/>
        </w:rPr>
        <w:t>Zoznam neoprávnených výdavkov je uvedený v</w:t>
      </w:r>
      <w:r>
        <w:rPr>
          <w:szCs w:val="19"/>
          <w:lang w:val="sk-SK"/>
        </w:rPr>
        <w:t xml:space="preserve"> kapitole 2.5 Pravidiel oprávnenosti výdavkov pre IROP, ktoré tvoria prílohu č. 2.a </w:t>
      </w:r>
      <w:r w:rsidRPr="00BF73E8">
        <w:rPr>
          <w:szCs w:val="19"/>
          <w:lang w:val="sk-SK"/>
        </w:rPr>
        <w:t>Príručk</w:t>
      </w:r>
      <w:r>
        <w:rPr>
          <w:szCs w:val="19"/>
          <w:lang w:val="sk-SK"/>
        </w:rPr>
        <w:t>y</w:t>
      </w:r>
      <w:r w:rsidRPr="00BF73E8">
        <w:rPr>
          <w:szCs w:val="19"/>
          <w:lang w:val="sk-SK"/>
        </w:rPr>
        <w:t xml:space="preserve"> pre žiadateľa</w:t>
      </w:r>
      <w:r w:rsidR="00E56DF5">
        <w:rPr>
          <w:szCs w:val="19"/>
          <w:lang w:val="sk-SK"/>
        </w:rPr>
        <w:t xml:space="preserve"> o poskytnutie NFP z IROP</w:t>
      </w:r>
      <w:r w:rsidRPr="00BF73E8">
        <w:rPr>
          <w:szCs w:val="19"/>
          <w:lang w:val="sk-SK"/>
        </w:rPr>
        <w:t>.</w:t>
      </w:r>
      <w:r>
        <w:rPr>
          <w:szCs w:val="19"/>
          <w:lang w:val="sk-SK"/>
        </w:rPr>
        <w:t xml:space="preserve"> Ostatné neoprávnené výdavky, vecne nevymedzené v uvedenej kapitole, sú uvedené v kapitole 4 </w:t>
      </w:r>
      <w:r w:rsidR="00E56DF5">
        <w:rPr>
          <w:szCs w:val="19"/>
          <w:lang w:val="sk-SK"/>
        </w:rPr>
        <w:t>Pravidiel oprávnenosti výdavkov pre IROP</w:t>
      </w:r>
      <w:r>
        <w:rPr>
          <w:szCs w:val="19"/>
          <w:lang w:val="sk-SK"/>
        </w:rPr>
        <w:t>.</w:t>
      </w:r>
    </w:p>
    <w:p w14:paraId="0DDA091A" w14:textId="77777777" w:rsidR="00E743CC" w:rsidRDefault="00E743CC" w:rsidP="00E743CC">
      <w:pPr>
        <w:spacing w:line="288" w:lineRule="auto"/>
        <w:jc w:val="both"/>
        <w:rPr>
          <w:szCs w:val="19"/>
          <w:lang w:val="sk-SK"/>
        </w:rPr>
      </w:pPr>
    </w:p>
    <w:p w14:paraId="009BE8F1" w14:textId="77777777" w:rsidR="00E743CC" w:rsidRPr="00E743CC" w:rsidRDefault="00E743CC" w:rsidP="00EA5DA2">
      <w:pPr>
        <w:pStyle w:val="Odsekzoznamu"/>
        <w:numPr>
          <w:ilvl w:val="0"/>
          <w:numId w:val="11"/>
        </w:numPr>
        <w:ind w:left="426" w:firstLine="0"/>
        <w:rPr>
          <w:b/>
          <w:color w:val="002776" w:themeColor="text2"/>
          <w:sz w:val="20"/>
          <w:szCs w:val="20"/>
          <w:lang w:val="sk-SK"/>
        </w:rPr>
      </w:pPr>
      <w:r w:rsidRPr="00E743CC">
        <w:rPr>
          <w:b/>
          <w:color w:val="002776" w:themeColor="text2"/>
          <w:sz w:val="20"/>
          <w:szCs w:val="20"/>
          <w:lang w:val="sk-SK"/>
        </w:rPr>
        <w:t xml:space="preserve">Limity výdavkov </w:t>
      </w:r>
    </w:p>
    <w:p w14:paraId="78440564" w14:textId="77777777" w:rsidR="00E743CC" w:rsidRPr="009661D0" w:rsidRDefault="00E743CC" w:rsidP="00E743CC">
      <w:pPr>
        <w:spacing w:before="120"/>
        <w:jc w:val="both"/>
        <w:rPr>
          <w:rFonts w:cs="Calibri"/>
          <w:bCs/>
          <w:lang w:val="sk-SK"/>
        </w:rPr>
      </w:pPr>
      <w:r w:rsidRPr="004B487A">
        <w:rPr>
          <w:rFonts w:cs="Calibri"/>
          <w:bCs/>
          <w:lang w:val="sk-SK"/>
        </w:rPr>
        <w:t xml:space="preserve">Finančné a percentuálne limity pre vybrané typy výdavkov IROP </w:t>
      </w:r>
      <w:r>
        <w:rPr>
          <w:rFonts w:cs="Calibri"/>
          <w:bCs/>
          <w:lang w:val="sk-SK"/>
        </w:rPr>
        <w:t xml:space="preserve">a pre maximálnu výšku nepriamych výdavkov </w:t>
      </w:r>
      <w:r w:rsidRPr="004B487A">
        <w:rPr>
          <w:rFonts w:cs="Calibri"/>
          <w:bCs/>
          <w:lang w:val="sk-SK"/>
        </w:rPr>
        <w:t xml:space="preserve">sú uvedené v prílohe 2.b </w:t>
      </w:r>
      <w:r w:rsidRPr="00F96B31">
        <w:rPr>
          <w:szCs w:val="19"/>
          <w:lang w:val="sk-SK"/>
        </w:rPr>
        <w:t>Príručky pre žiadateľa o poskytnutie NFP z</w:t>
      </w:r>
      <w:r>
        <w:rPr>
          <w:szCs w:val="19"/>
          <w:lang w:val="sk-SK"/>
        </w:rPr>
        <w:t> </w:t>
      </w:r>
      <w:r w:rsidRPr="00F96B31">
        <w:rPr>
          <w:szCs w:val="19"/>
          <w:lang w:val="sk-SK"/>
        </w:rPr>
        <w:t>IROP</w:t>
      </w:r>
      <w:r>
        <w:rPr>
          <w:szCs w:val="19"/>
          <w:lang w:val="sk-SK"/>
        </w:rPr>
        <w:t xml:space="preserve">. Tieto limity sú pre žiadateľa záväzné. Výdavky uvedené nad tento limit budú posúdené ako neoprávnené. </w:t>
      </w:r>
    </w:p>
    <w:p w14:paraId="4A6CE7D3" w14:textId="77777777" w:rsidR="00151925" w:rsidRPr="0062294A" w:rsidRDefault="00151925">
      <w:pPr>
        <w:spacing w:before="120" w:after="120" w:line="288" w:lineRule="auto"/>
        <w:rPr>
          <w:rFonts w:asciiTheme="majorHAnsi" w:hAnsiTheme="majorHAnsi" w:cstheme="majorHAnsi"/>
          <w:color w:val="486A00" w:themeColor="accent2" w:themeShade="80"/>
          <w:szCs w:val="19"/>
          <w:lang w:val="sk-SK"/>
        </w:rPr>
      </w:pPr>
    </w:p>
    <w:sectPr w:rsidR="00151925" w:rsidRPr="0062294A" w:rsidSect="00E13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F098" w14:textId="77777777" w:rsidR="000E7FB0" w:rsidRDefault="000E7FB0">
      <w:r>
        <w:separator/>
      </w:r>
    </w:p>
    <w:p w14:paraId="391ADEFF" w14:textId="77777777" w:rsidR="000E7FB0" w:rsidRDefault="000E7FB0"/>
  </w:endnote>
  <w:endnote w:type="continuationSeparator" w:id="0">
    <w:p w14:paraId="5C94B450" w14:textId="77777777" w:rsidR="000E7FB0" w:rsidRDefault="000E7FB0">
      <w:r>
        <w:continuationSeparator/>
      </w:r>
    </w:p>
    <w:p w14:paraId="4FD64E9B" w14:textId="77777777" w:rsidR="000E7FB0" w:rsidRDefault="000E7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72C0" w14:textId="77777777" w:rsidR="00E85552" w:rsidRDefault="00E855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1509A" w14:textId="77777777" w:rsidR="00E13C55" w:rsidRPr="001B75B2" w:rsidRDefault="00E13C55" w:rsidP="00E13C55">
    <w:pPr>
      <w:pStyle w:val="Hlavika"/>
      <w:tabs>
        <w:tab w:val="left" w:pos="709"/>
      </w:tabs>
      <w:rPr>
        <w:lang w:val="sk-SK"/>
      </w:rPr>
    </w:pPr>
  </w:p>
  <w:p w14:paraId="7C0E0353" w14:textId="77777777" w:rsidR="00A27A2C" w:rsidRPr="003530AF" w:rsidRDefault="00A27A2C" w:rsidP="00E13C55">
    <w:pPr>
      <w:pStyle w:val="Pt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E3F6" w14:textId="77777777" w:rsidR="00E85552" w:rsidRDefault="00E855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6FDD5" w14:textId="77777777" w:rsidR="000E7FB0" w:rsidRDefault="000E7FB0">
      <w:r>
        <w:separator/>
      </w:r>
    </w:p>
    <w:p w14:paraId="2954A813" w14:textId="77777777" w:rsidR="000E7FB0" w:rsidRDefault="000E7FB0"/>
  </w:footnote>
  <w:footnote w:type="continuationSeparator" w:id="0">
    <w:p w14:paraId="0F2AC3D0" w14:textId="77777777" w:rsidR="000E7FB0" w:rsidRDefault="000E7FB0">
      <w:r>
        <w:continuationSeparator/>
      </w:r>
    </w:p>
    <w:p w14:paraId="76A6B210" w14:textId="77777777" w:rsidR="000E7FB0" w:rsidRDefault="000E7FB0"/>
  </w:footnote>
  <w:footnote w:id="1">
    <w:p w14:paraId="7AABCDB5" w14:textId="77777777" w:rsidR="00034E4D" w:rsidRPr="004B487A" w:rsidRDefault="00034E4D" w:rsidP="00034E4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Limit pre tento oprávnený výdavok je uvedený v kapitole 3. tohto Zoznamu oprávnených výdavkov. </w:t>
      </w:r>
    </w:p>
  </w:footnote>
  <w:footnote w:id="2">
    <w:p w14:paraId="5062F406" w14:textId="77777777" w:rsidR="00034E4D" w:rsidRPr="004B487A" w:rsidRDefault="00034E4D" w:rsidP="00034E4D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Všetky výdavky zaradené do skupiny výdavkov 021 – Stavby musia mať priamu väzbu na dosiahnutie cieľov projektu. V opačnom prípade budú považované za neoprávnené.</w:t>
      </w:r>
      <w:r w:rsidRPr="0063456F">
        <w:rPr>
          <w:lang w:val="sk-SK"/>
        </w:rPr>
        <w:t xml:space="preserve"> </w:t>
      </w:r>
      <w:r>
        <w:rPr>
          <w:lang w:val="sk-SK"/>
        </w:rPr>
        <w:t>Podmienky oprávnenosti výdavkov pre skupinu výdavkov 021 – Stavby sú uvedené v kapitole 4.1.2 až 4.5 Pravidiel oprávnenosti výdavkov pre IROP, ktoré tvoria prílohu č. 2.a Príručky pre žiadateľa.</w:t>
      </w:r>
    </w:p>
  </w:footnote>
  <w:footnote w:id="3">
    <w:p w14:paraId="24C650E6" w14:textId="77777777" w:rsidR="00843F8D" w:rsidRPr="004B487A" w:rsidRDefault="00843F8D" w:rsidP="00843F8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Limit pre tento oprávnený výdavok je uvedený v Prílohe č. 2.b Príručky pre žiadateľa.</w:t>
      </w:r>
    </w:p>
  </w:footnote>
  <w:footnote w:id="4">
    <w:p w14:paraId="26976661" w14:textId="77777777" w:rsidR="00FF1E73" w:rsidRPr="004B487A" w:rsidRDefault="00FF1E73" w:rsidP="00FF1E73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Limit pre tento oprávnený výdavok je uvedený v Prílohe č. 2.b Príručky pre žiadateľa. Podmienky oprávnenosti výdavkov na nákup pozemkov sú uvedené v kapitole 4.1.1 Pravidiel oprávnenosti výdavkov pre IROP, ktoré tvoria prílohu č. 2.a Príručky pre žiadateľa.</w:t>
      </w:r>
    </w:p>
  </w:footnote>
  <w:footnote w:id="5">
    <w:p w14:paraId="6FA2A485" w14:textId="77777777" w:rsidR="00034E4D" w:rsidRPr="004B487A" w:rsidRDefault="00034E4D" w:rsidP="00034E4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Limit pre tento oprávnený výdavok je uvedený v Prílohe č. 2.b Príručky pre žiadateľa. Podmienky oprávnenosti výdavkov na informovanie a komunikáciu sú uvedené v kapitole 4.12 Pravidiel oprávnenosti výdavkov pre IROP, ktoré tvoria prílohu č. 2.a Príručky pre žiadateľa.</w:t>
      </w:r>
    </w:p>
  </w:footnote>
  <w:footnote w:id="6">
    <w:p w14:paraId="2B74C768" w14:textId="77777777" w:rsidR="006F5AFB" w:rsidRPr="00167A0D" w:rsidRDefault="006F5AFB" w:rsidP="006F5AF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Limit pre tento oprávnený výdavok je uvedený v Prílohe č. 2.b Príručky pre žiadateľa. Podmienky oprávnenosti osobných výdavkov sú uvedené v kapitole 4.8.1 Pravidiel oprávnenosti výdavkov pre IROP, ktoré tvoria prílohu č. 2.a Príručky pre žiadateľa.</w:t>
      </w:r>
    </w:p>
  </w:footnote>
  <w:footnote w:id="7">
    <w:p w14:paraId="3A12AABC" w14:textId="77777777" w:rsidR="006F5AFB" w:rsidRPr="004B487A" w:rsidRDefault="006F5AFB" w:rsidP="006F5AF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Limit pre tento oprávnený výdavok je uvedený v Prílohe č. 2.b Príručky pre žiadateľa</w:t>
      </w:r>
    </w:p>
  </w:footnote>
  <w:footnote w:id="8">
    <w:p w14:paraId="37B6F2FA" w14:textId="62769CF6" w:rsidR="000C411F" w:rsidRPr="004B487A" w:rsidRDefault="000C411F" w:rsidP="000C411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Limit pre tento oprávnený výdavok je uvedený v Prílohe č. 2.b Príručky pre žiadateľa. Podmienky oprávnenosti výdavkov </w:t>
      </w:r>
      <w:r w:rsidR="009B3A67">
        <w:rPr>
          <w:lang w:val="sk-SK"/>
        </w:rPr>
        <w:t>pre dodatočné výdavky</w:t>
      </w:r>
      <w:r>
        <w:rPr>
          <w:lang w:val="sk-SK"/>
        </w:rPr>
        <w:t xml:space="preserve"> sú uvedené v kapitole 4.13 Pravidiel oprávnenosti výdavkov pre IROP, ktoré tvoria prílohu č. 2.a Príručky pre žiadateľa.</w:t>
      </w:r>
    </w:p>
  </w:footnote>
  <w:footnote w:id="9">
    <w:p w14:paraId="31A4EFCE" w14:textId="39B6F641" w:rsidR="00253939" w:rsidRPr="004B487A" w:rsidRDefault="00253939" w:rsidP="0025393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Bližšie informácie sú uvedené v</w:t>
      </w:r>
      <w:r>
        <w:rPr>
          <w:szCs w:val="19"/>
          <w:lang w:val="sk-SK"/>
        </w:rPr>
        <w:t xml:space="preserve"> kapitole 4.6 Pravidiel oprávnenosti výdavkov pre IROP, ktoré tvoria prílohu č. 2.a </w:t>
      </w:r>
      <w:r w:rsidRPr="00BF73E8">
        <w:rPr>
          <w:szCs w:val="19"/>
          <w:lang w:val="sk-SK"/>
        </w:rPr>
        <w:t>Príručk</w:t>
      </w:r>
      <w:r>
        <w:rPr>
          <w:szCs w:val="19"/>
          <w:lang w:val="sk-SK"/>
        </w:rPr>
        <w:t>y</w:t>
      </w:r>
      <w:r w:rsidRPr="00BF73E8">
        <w:rPr>
          <w:szCs w:val="19"/>
          <w:lang w:val="sk-SK"/>
        </w:rPr>
        <w:t xml:space="preserve"> pre žiadateľa</w:t>
      </w:r>
      <w:r>
        <w:rPr>
          <w:szCs w:val="19"/>
          <w:lang w:val="sk-SK"/>
        </w:rPr>
        <w:t xml:space="preserve"> o poskytnutie NFP z IROP.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621A" w14:textId="77777777" w:rsidR="00E85552" w:rsidRDefault="00E8555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03980" w14:textId="77777777" w:rsidR="00E85552" w:rsidRDefault="00E8555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9B7B" w14:textId="77777777" w:rsidR="00F045BE" w:rsidRDefault="00F045BE" w:rsidP="00F045BE">
    <w:pPr>
      <w:pStyle w:val="Hlavika"/>
      <w:tabs>
        <w:tab w:val="left" w:pos="1977"/>
      </w:tabs>
      <w:ind w:firstLine="1977"/>
    </w:pPr>
    <w:r w:rsidRPr="005D59EA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0DE8F7E8" wp14:editId="3D7B3A2D">
          <wp:simplePos x="0" y="0"/>
          <wp:positionH relativeFrom="column">
            <wp:posOffset>1890395</wp:posOffset>
          </wp:positionH>
          <wp:positionV relativeFrom="paragraph">
            <wp:posOffset>-516890</wp:posOffset>
          </wp:positionV>
          <wp:extent cx="1314450" cy="1276350"/>
          <wp:effectExtent l="0" t="0" r="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B73A159" wp14:editId="5E01945E">
          <wp:simplePos x="0" y="0"/>
          <wp:positionH relativeFrom="column">
            <wp:posOffset>-113030</wp:posOffset>
          </wp:positionH>
          <wp:positionV relativeFrom="paragraph">
            <wp:posOffset>-120650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DA5CD76" wp14:editId="5CC8169C">
          <wp:simplePos x="0" y="0"/>
          <wp:positionH relativeFrom="column">
            <wp:posOffset>4189730</wp:posOffset>
          </wp:positionH>
          <wp:positionV relativeFrom="paragraph">
            <wp:posOffset>-107315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D659F" w14:textId="77777777" w:rsidR="00F045BE" w:rsidRPr="0000365F" w:rsidRDefault="00F045BE" w:rsidP="00F045BE">
    <w:pPr>
      <w:pStyle w:val="Hlavika"/>
    </w:pPr>
  </w:p>
  <w:p w14:paraId="20C0577C" w14:textId="77777777" w:rsidR="00F045BE" w:rsidRDefault="00F045BE" w:rsidP="00F045BE">
    <w:pPr>
      <w:pStyle w:val="Hlavika"/>
      <w:tabs>
        <w:tab w:val="clear" w:pos="4703"/>
        <w:tab w:val="clear" w:pos="9406"/>
        <w:tab w:val="left" w:pos="1977"/>
        <w:tab w:val="right" w:pos="9070"/>
      </w:tabs>
    </w:pPr>
    <w:r>
      <w:tab/>
    </w:r>
  </w:p>
  <w:p w14:paraId="71DCDB29" w14:textId="77777777" w:rsidR="00CD3748" w:rsidRDefault="00CD3748" w:rsidP="00CD3748">
    <w:pPr>
      <w:pStyle w:val="Hlavika"/>
    </w:pPr>
  </w:p>
  <w:p w14:paraId="40D0AC4E" w14:textId="77777777" w:rsidR="00E13C55" w:rsidRDefault="00E13C55" w:rsidP="00CD3748">
    <w:pPr>
      <w:pStyle w:val="Hlavika"/>
      <w:tabs>
        <w:tab w:val="clear" w:pos="4703"/>
        <w:tab w:val="clear" w:pos="9406"/>
        <w:tab w:val="left" w:pos="4275"/>
        <w:tab w:val="left" w:pos="7380"/>
        <w:tab w:val="left" w:pos="78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1113"/>
    <w:multiLevelType w:val="hybridMultilevel"/>
    <w:tmpl w:val="DD22D9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911"/>
    <w:multiLevelType w:val="hybridMultilevel"/>
    <w:tmpl w:val="315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325595"/>
    <w:multiLevelType w:val="hybridMultilevel"/>
    <w:tmpl w:val="0982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78C7"/>
    <w:multiLevelType w:val="hybridMultilevel"/>
    <w:tmpl w:val="B9BCE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E0E79F2"/>
    <w:multiLevelType w:val="hybridMultilevel"/>
    <w:tmpl w:val="BBFE8882"/>
    <w:lvl w:ilvl="0" w:tplc="4AE49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11B1A"/>
    <w:multiLevelType w:val="hybridMultilevel"/>
    <w:tmpl w:val="B77A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17941"/>
    <w:multiLevelType w:val="hybridMultilevel"/>
    <w:tmpl w:val="4A7C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4742D"/>
    <w:multiLevelType w:val="hybridMultilevel"/>
    <w:tmpl w:val="F586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2"/>
    <w:rsid w:val="000016A5"/>
    <w:rsid w:val="000056E3"/>
    <w:rsid w:val="00005D96"/>
    <w:rsid w:val="00015A80"/>
    <w:rsid w:val="00020A5B"/>
    <w:rsid w:val="000214C0"/>
    <w:rsid w:val="00027230"/>
    <w:rsid w:val="00030C5B"/>
    <w:rsid w:val="00034E4D"/>
    <w:rsid w:val="00054101"/>
    <w:rsid w:val="00070B86"/>
    <w:rsid w:val="00070FC4"/>
    <w:rsid w:val="00071987"/>
    <w:rsid w:val="00074D2F"/>
    <w:rsid w:val="0007555C"/>
    <w:rsid w:val="00075C1E"/>
    <w:rsid w:val="00075DD8"/>
    <w:rsid w:val="0008794A"/>
    <w:rsid w:val="00095956"/>
    <w:rsid w:val="00095FE3"/>
    <w:rsid w:val="000A25AE"/>
    <w:rsid w:val="000A3642"/>
    <w:rsid w:val="000A6A30"/>
    <w:rsid w:val="000B024D"/>
    <w:rsid w:val="000B0A4F"/>
    <w:rsid w:val="000B35BA"/>
    <w:rsid w:val="000B7751"/>
    <w:rsid w:val="000C07D2"/>
    <w:rsid w:val="000C2594"/>
    <w:rsid w:val="000C31D1"/>
    <w:rsid w:val="000C411F"/>
    <w:rsid w:val="000D2314"/>
    <w:rsid w:val="000D6138"/>
    <w:rsid w:val="000D7036"/>
    <w:rsid w:val="000D7DB9"/>
    <w:rsid w:val="000E0E22"/>
    <w:rsid w:val="000E7FB0"/>
    <w:rsid w:val="0010230A"/>
    <w:rsid w:val="00105B35"/>
    <w:rsid w:val="00106E3E"/>
    <w:rsid w:val="001109F0"/>
    <w:rsid w:val="0011692E"/>
    <w:rsid w:val="00116A97"/>
    <w:rsid w:val="001206DF"/>
    <w:rsid w:val="0012336B"/>
    <w:rsid w:val="00137B33"/>
    <w:rsid w:val="00143AD7"/>
    <w:rsid w:val="00144DDE"/>
    <w:rsid w:val="001452B6"/>
    <w:rsid w:val="00146657"/>
    <w:rsid w:val="00150851"/>
    <w:rsid w:val="001516A5"/>
    <w:rsid w:val="00151925"/>
    <w:rsid w:val="001528B0"/>
    <w:rsid w:val="00156042"/>
    <w:rsid w:val="0016059A"/>
    <w:rsid w:val="00164CB8"/>
    <w:rsid w:val="0017198C"/>
    <w:rsid w:val="00174AFE"/>
    <w:rsid w:val="001754E3"/>
    <w:rsid w:val="00181775"/>
    <w:rsid w:val="00181E0B"/>
    <w:rsid w:val="00182989"/>
    <w:rsid w:val="00182C05"/>
    <w:rsid w:val="00187FFA"/>
    <w:rsid w:val="001917B2"/>
    <w:rsid w:val="001946AB"/>
    <w:rsid w:val="001A19F7"/>
    <w:rsid w:val="001A2642"/>
    <w:rsid w:val="001A3801"/>
    <w:rsid w:val="001A3E71"/>
    <w:rsid w:val="001A4B95"/>
    <w:rsid w:val="001A4E24"/>
    <w:rsid w:val="001B06FE"/>
    <w:rsid w:val="001B08C5"/>
    <w:rsid w:val="001B6E17"/>
    <w:rsid w:val="001B71CF"/>
    <w:rsid w:val="001B75B2"/>
    <w:rsid w:val="001C2EF4"/>
    <w:rsid w:val="001E2417"/>
    <w:rsid w:val="001E7A07"/>
    <w:rsid w:val="001F0C13"/>
    <w:rsid w:val="001F6FD0"/>
    <w:rsid w:val="00203989"/>
    <w:rsid w:val="00205323"/>
    <w:rsid w:val="002066F3"/>
    <w:rsid w:val="00207FCC"/>
    <w:rsid w:val="00210E5E"/>
    <w:rsid w:val="00212271"/>
    <w:rsid w:val="00213203"/>
    <w:rsid w:val="00220042"/>
    <w:rsid w:val="002204E8"/>
    <w:rsid w:val="00221C54"/>
    <w:rsid w:val="002267D8"/>
    <w:rsid w:val="00235D74"/>
    <w:rsid w:val="00236144"/>
    <w:rsid w:val="00240703"/>
    <w:rsid w:val="0024576C"/>
    <w:rsid w:val="0024697E"/>
    <w:rsid w:val="00246E3F"/>
    <w:rsid w:val="002531A0"/>
    <w:rsid w:val="00253939"/>
    <w:rsid w:val="00253BF6"/>
    <w:rsid w:val="00255671"/>
    <w:rsid w:val="002557C9"/>
    <w:rsid w:val="00260A1D"/>
    <w:rsid w:val="0026351B"/>
    <w:rsid w:val="00263709"/>
    <w:rsid w:val="00267588"/>
    <w:rsid w:val="00270A2D"/>
    <w:rsid w:val="00272EE5"/>
    <w:rsid w:val="002748BB"/>
    <w:rsid w:val="00274E01"/>
    <w:rsid w:val="00282EE2"/>
    <w:rsid w:val="00287116"/>
    <w:rsid w:val="002876B6"/>
    <w:rsid w:val="00294502"/>
    <w:rsid w:val="0029537F"/>
    <w:rsid w:val="002A053C"/>
    <w:rsid w:val="002A2D62"/>
    <w:rsid w:val="002B56E1"/>
    <w:rsid w:val="002B7D34"/>
    <w:rsid w:val="002C1EBB"/>
    <w:rsid w:val="002C2467"/>
    <w:rsid w:val="002D1E66"/>
    <w:rsid w:val="002D521C"/>
    <w:rsid w:val="002D5999"/>
    <w:rsid w:val="002D5FCD"/>
    <w:rsid w:val="002D7602"/>
    <w:rsid w:val="002E18C9"/>
    <w:rsid w:val="002E32BC"/>
    <w:rsid w:val="002E681A"/>
    <w:rsid w:val="002E70CA"/>
    <w:rsid w:val="002F532B"/>
    <w:rsid w:val="003038D5"/>
    <w:rsid w:val="003059B4"/>
    <w:rsid w:val="00312FAC"/>
    <w:rsid w:val="0031390F"/>
    <w:rsid w:val="003154A1"/>
    <w:rsid w:val="0031599A"/>
    <w:rsid w:val="00316091"/>
    <w:rsid w:val="00325C00"/>
    <w:rsid w:val="00325C7D"/>
    <w:rsid w:val="0033558D"/>
    <w:rsid w:val="0034312C"/>
    <w:rsid w:val="003530AF"/>
    <w:rsid w:val="00355EC2"/>
    <w:rsid w:val="00360EB6"/>
    <w:rsid w:val="00361FDE"/>
    <w:rsid w:val="00362BC5"/>
    <w:rsid w:val="00366A75"/>
    <w:rsid w:val="00367862"/>
    <w:rsid w:val="00375271"/>
    <w:rsid w:val="00375829"/>
    <w:rsid w:val="00382776"/>
    <w:rsid w:val="00392EDC"/>
    <w:rsid w:val="00392F8B"/>
    <w:rsid w:val="00392FE4"/>
    <w:rsid w:val="003933E3"/>
    <w:rsid w:val="00394C79"/>
    <w:rsid w:val="003977EF"/>
    <w:rsid w:val="003A1398"/>
    <w:rsid w:val="003A449F"/>
    <w:rsid w:val="003A7D31"/>
    <w:rsid w:val="003D0E24"/>
    <w:rsid w:val="003D2225"/>
    <w:rsid w:val="003D37E0"/>
    <w:rsid w:val="003D424B"/>
    <w:rsid w:val="003D6630"/>
    <w:rsid w:val="003E525D"/>
    <w:rsid w:val="003F18CD"/>
    <w:rsid w:val="003F22DC"/>
    <w:rsid w:val="003F449D"/>
    <w:rsid w:val="0040246A"/>
    <w:rsid w:val="00402DEA"/>
    <w:rsid w:val="004040B0"/>
    <w:rsid w:val="004169EC"/>
    <w:rsid w:val="004170CC"/>
    <w:rsid w:val="0042148A"/>
    <w:rsid w:val="004257D7"/>
    <w:rsid w:val="00427D98"/>
    <w:rsid w:val="004303FE"/>
    <w:rsid w:val="00431C90"/>
    <w:rsid w:val="00437034"/>
    <w:rsid w:val="00441746"/>
    <w:rsid w:val="00457771"/>
    <w:rsid w:val="00460483"/>
    <w:rsid w:val="00464C70"/>
    <w:rsid w:val="00476F09"/>
    <w:rsid w:val="00484001"/>
    <w:rsid w:val="0048504E"/>
    <w:rsid w:val="004872A1"/>
    <w:rsid w:val="00496B11"/>
    <w:rsid w:val="00496CE1"/>
    <w:rsid w:val="004A531E"/>
    <w:rsid w:val="004A58C6"/>
    <w:rsid w:val="004A6C86"/>
    <w:rsid w:val="004B1426"/>
    <w:rsid w:val="004B2373"/>
    <w:rsid w:val="004B4FFD"/>
    <w:rsid w:val="004B53E6"/>
    <w:rsid w:val="004B67CC"/>
    <w:rsid w:val="004B7888"/>
    <w:rsid w:val="004C2063"/>
    <w:rsid w:val="004D1396"/>
    <w:rsid w:val="004D4CBC"/>
    <w:rsid w:val="004D6BAE"/>
    <w:rsid w:val="004E6563"/>
    <w:rsid w:val="004F1374"/>
    <w:rsid w:val="004F49D1"/>
    <w:rsid w:val="005043F9"/>
    <w:rsid w:val="00505FF4"/>
    <w:rsid w:val="00511459"/>
    <w:rsid w:val="005201A1"/>
    <w:rsid w:val="00523A18"/>
    <w:rsid w:val="0052721A"/>
    <w:rsid w:val="00532D0A"/>
    <w:rsid w:val="00534E6E"/>
    <w:rsid w:val="0053590D"/>
    <w:rsid w:val="005450DA"/>
    <w:rsid w:val="00546541"/>
    <w:rsid w:val="00551E77"/>
    <w:rsid w:val="00552B76"/>
    <w:rsid w:val="00552F7B"/>
    <w:rsid w:val="00564E27"/>
    <w:rsid w:val="005676B5"/>
    <w:rsid w:val="0057168D"/>
    <w:rsid w:val="0057284A"/>
    <w:rsid w:val="00575B10"/>
    <w:rsid w:val="005771FE"/>
    <w:rsid w:val="00582B72"/>
    <w:rsid w:val="00583A4F"/>
    <w:rsid w:val="005936FF"/>
    <w:rsid w:val="00593755"/>
    <w:rsid w:val="00594831"/>
    <w:rsid w:val="005A18DD"/>
    <w:rsid w:val="005A4273"/>
    <w:rsid w:val="005A4536"/>
    <w:rsid w:val="005A5D32"/>
    <w:rsid w:val="005B4CAD"/>
    <w:rsid w:val="005B53C6"/>
    <w:rsid w:val="005B63F4"/>
    <w:rsid w:val="005C4964"/>
    <w:rsid w:val="005C4BFE"/>
    <w:rsid w:val="005D6540"/>
    <w:rsid w:val="005D670E"/>
    <w:rsid w:val="005F0693"/>
    <w:rsid w:val="005F1143"/>
    <w:rsid w:val="005F67BA"/>
    <w:rsid w:val="005F6F43"/>
    <w:rsid w:val="006027C2"/>
    <w:rsid w:val="00606BC7"/>
    <w:rsid w:val="00610E17"/>
    <w:rsid w:val="00612C4C"/>
    <w:rsid w:val="00613563"/>
    <w:rsid w:val="0061724D"/>
    <w:rsid w:val="0062294A"/>
    <w:rsid w:val="00624DC2"/>
    <w:rsid w:val="00626E34"/>
    <w:rsid w:val="0063077C"/>
    <w:rsid w:val="00630A41"/>
    <w:rsid w:val="006311E5"/>
    <w:rsid w:val="006328F5"/>
    <w:rsid w:val="006330D1"/>
    <w:rsid w:val="00636412"/>
    <w:rsid w:val="00636D3F"/>
    <w:rsid w:val="00642513"/>
    <w:rsid w:val="006436DA"/>
    <w:rsid w:val="006451E4"/>
    <w:rsid w:val="0064668B"/>
    <w:rsid w:val="00651ECD"/>
    <w:rsid w:val="00654781"/>
    <w:rsid w:val="006620EF"/>
    <w:rsid w:val="00664B45"/>
    <w:rsid w:val="00670284"/>
    <w:rsid w:val="00677535"/>
    <w:rsid w:val="006775D5"/>
    <w:rsid w:val="0068328A"/>
    <w:rsid w:val="0068463D"/>
    <w:rsid w:val="006859B7"/>
    <w:rsid w:val="00693ED7"/>
    <w:rsid w:val="006A44B6"/>
    <w:rsid w:val="006A494E"/>
    <w:rsid w:val="006A57F5"/>
    <w:rsid w:val="006B7C4C"/>
    <w:rsid w:val="006C0392"/>
    <w:rsid w:val="006C0867"/>
    <w:rsid w:val="006C15D0"/>
    <w:rsid w:val="006C296C"/>
    <w:rsid w:val="006C7913"/>
    <w:rsid w:val="006D02FC"/>
    <w:rsid w:val="006D3866"/>
    <w:rsid w:val="006D6107"/>
    <w:rsid w:val="006E46FD"/>
    <w:rsid w:val="006F2C90"/>
    <w:rsid w:val="006F4477"/>
    <w:rsid w:val="006F5AFB"/>
    <w:rsid w:val="006F6C05"/>
    <w:rsid w:val="006F71E5"/>
    <w:rsid w:val="007021D8"/>
    <w:rsid w:val="0070414F"/>
    <w:rsid w:val="00704567"/>
    <w:rsid w:val="00711003"/>
    <w:rsid w:val="00721B63"/>
    <w:rsid w:val="00722F02"/>
    <w:rsid w:val="00723703"/>
    <w:rsid w:val="0072616D"/>
    <w:rsid w:val="00726878"/>
    <w:rsid w:val="00726CE6"/>
    <w:rsid w:val="00726FE1"/>
    <w:rsid w:val="007350D2"/>
    <w:rsid w:val="00750341"/>
    <w:rsid w:val="00750FC4"/>
    <w:rsid w:val="00751F90"/>
    <w:rsid w:val="00752849"/>
    <w:rsid w:val="007543EB"/>
    <w:rsid w:val="00755063"/>
    <w:rsid w:val="00762BA6"/>
    <w:rsid w:val="0076442C"/>
    <w:rsid w:val="007675DF"/>
    <w:rsid w:val="00772905"/>
    <w:rsid w:val="00773DDA"/>
    <w:rsid w:val="00774251"/>
    <w:rsid w:val="007772B5"/>
    <w:rsid w:val="00777B34"/>
    <w:rsid w:val="00777B43"/>
    <w:rsid w:val="0078012A"/>
    <w:rsid w:val="00781B17"/>
    <w:rsid w:val="0078250C"/>
    <w:rsid w:val="00783127"/>
    <w:rsid w:val="00786A90"/>
    <w:rsid w:val="007877D4"/>
    <w:rsid w:val="007905DD"/>
    <w:rsid w:val="00791D1E"/>
    <w:rsid w:val="007953DB"/>
    <w:rsid w:val="0079594D"/>
    <w:rsid w:val="00796B44"/>
    <w:rsid w:val="007A120F"/>
    <w:rsid w:val="007A1AEE"/>
    <w:rsid w:val="007A44D3"/>
    <w:rsid w:val="007A49E8"/>
    <w:rsid w:val="007B3487"/>
    <w:rsid w:val="007B536A"/>
    <w:rsid w:val="007B7C9A"/>
    <w:rsid w:val="007C4E5C"/>
    <w:rsid w:val="007C6898"/>
    <w:rsid w:val="007C7E98"/>
    <w:rsid w:val="007D22CE"/>
    <w:rsid w:val="007D2FCB"/>
    <w:rsid w:val="007D3B89"/>
    <w:rsid w:val="007D7E0C"/>
    <w:rsid w:val="007E193F"/>
    <w:rsid w:val="007F0B46"/>
    <w:rsid w:val="007F11EE"/>
    <w:rsid w:val="00812C1F"/>
    <w:rsid w:val="008201A2"/>
    <w:rsid w:val="00824172"/>
    <w:rsid w:val="008334FA"/>
    <w:rsid w:val="008341FA"/>
    <w:rsid w:val="0083653E"/>
    <w:rsid w:val="008416B8"/>
    <w:rsid w:val="00842323"/>
    <w:rsid w:val="00843F8D"/>
    <w:rsid w:val="00847CA7"/>
    <w:rsid w:val="008503A8"/>
    <w:rsid w:val="00854E86"/>
    <w:rsid w:val="00856B22"/>
    <w:rsid w:val="00856B36"/>
    <w:rsid w:val="00860775"/>
    <w:rsid w:val="0086742F"/>
    <w:rsid w:val="00875E04"/>
    <w:rsid w:val="00876F8D"/>
    <w:rsid w:val="00877A28"/>
    <w:rsid w:val="008867F8"/>
    <w:rsid w:val="00887615"/>
    <w:rsid w:val="00887FA3"/>
    <w:rsid w:val="00894098"/>
    <w:rsid w:val="00897D86"/>
    <w:rsid w:val="008A1891"/>
    <w:rsid w:val="008A1A5A"/>
    <w:rsid w:val="008A24FE"/>
    <w:rsid w:val="008A2EB4"/>
    <w:rsid w:val="008A7E44"/>
    <w:rsid w:val="008B232F"/>
    <w:rsid w:val="008B2E3C"/>
    <w:rsid w:val="008B3AF0"/>
    <w:rsid w:val="008B3E76"/>
    <w:rsid w:val="008B4AC0"/>
    <w:rsid w:val="008B6493"/>
    <w:rsid w:val="008B7074"/>
    <w:rsid w:val="008C2A78"/>
    <w:rsid w:val="008C35E7"/>
    <w:rsid w:val="008C3FA4"/>
    <w:rsid w:val="008C5C88"/>
    <w:rsid w:val="008C5EDC"/>
    <w:rsid w:val="008D4113"/>
    <w:rsid w:val="008E0974"/>
    <w:rsid w:val="008E3381"/>
    <w:rsid w:val="008E3E3B"/>
    <w:rsid w:val="008E4E07"/>
    <w:rsid w:val="008E6769"/>
    <w:rsid w:val="008E7ED1"/>
    <w:rsid w:val="008F1726"/>
    <w:rsid w:val="008F1A51"/>
    <w:rsid w:val="008F4C12"/>
    <w:rsid w:val="008F6816"/>
    <w:rsid w:val="00900826"/>
    <w:rsid w:val="0090179D"/>
    <w:rsid w:val="00904FB1"/>
    <w:rsid w:val="00907754"/>
    <w:rsid w:val="0091097D"/>
    <w:rsid w:val="009131FE"/>
    <w:rsid w:val="00926D5E"/>
    <w:rsid w:val="009306EA"/>
    <w:rsid w:val="00930786"/>
    <w:rsid w:val="00931933"/>
    <w:rsid w:val="00931B68"/>
    <w:rsid w:val="0093353B"/>
    <w:rsid w:val="00935030"/>
    <w:rsid w:val="00947A6F"/>
    <w:rsid w:val="00956973"/>
    <w:rsid w:val="00957644"/>
    <w:rsid w:val="00962584"/>
    <w:rsid w:val="00967630"/>
    <w:rsid w:val="0097078E"/>
    <w:rsid w:val="009848BB"/>
    <w:rsid w:val="0098714B"/>
    <w:rsid w:val="00991839"/>
    <w:rsid w:val="00997562"/>
    <w:rsid w:val="009A28D4"/>
    <w:rsid w:val="009A6D9C"/>
    <w:rsid w:val="009B3A67"/>
    <w:rsid w:val="009B5123"/>
    <w:rsid w:val="009B5DEB"/>
    <w:rsid w:val="009C6DF6"/>
    <w:rsid w:val="009C7320"/>
    <w:rsid w:val="009D0EC2"/>
    <w:rsid w:val="009D7ED9"/>
    <w:rsid w:val="009E21D5"/>
    <w:rsid w:val="009E3DB2"/>
    <w:rsid w:val="009E5D15"/>
    <w:rsid w:val="009E6756"/>
    <w:rsid w:val="009E7B3E"/>
    <w:rsid w:val="009F4B44"/>
    <w:rsid w:val="009F568A"/>
    <w:rsid w:val="009F6E8F"/>
    <w:rsid w:val="009F7721"/>
    <w:rsid w:val="00A00015"/>
    <w:rsid w:val="00A050BE"/>
    <w:rsid w:val="00A05C4A"/>
    <w:rsid w:val="00A0681B"/>
    <w:rsid w:val="00A06919"/>
    <w:rsid w:val="00A15843"/>
    <w:rsid w:val="00A27A2C"/>
    <w:rsid w:val="00A3121A"/>
    <w:rsid w:val="00A319B0"/>
    <w:rsid w:val="00A36331"/>
    <w:rsid w:val="00A36509"/>
    <w:rsid w:val="00A40230"/>
    <w:rsid w:val="00A45853"/>
    <w:rsid w:val="00A45DC1"/>
    <w:rsid w:val="00A520FB"/>
    <w:rsid w:val="00A74176"/>
    <w:rsid w:val="00A74A7F"/>
    <w:rsid w:val="00A74DAD"/>
    <w:rsid w:val="00A81CF2"/>
    <w:rsid w:val="00A8715A"/>
    <w:rsid w:val="00A97651"/>
    <w:rsid w:val="00AA50A2"/>
    <w:rsid w:val="00AA573A"/>
    <w:rsid w:val="00AA6ED1"/>
    <w:rsid w:val="00AB2371"/>
    <w:rsid w:val="00AB3AF6"/>
    <w:rsid w:val="00AC292D"/>
    <w:rsid w:val="00AC53C0"/>
    <w:rsid w:val="00AD41A1"/>
    <w:rsid w:val="00AE0D5E"/>
    <w:rsid w:val="00AE13E4"/>
    <w:rsid w:val="00AE3639"/>
    <w:rsid w:val="00AE5FAD"/>
    <w:rsid w:val="00AE7374"/>
    <w:rsid w:val="00B12C89"/>
    <w:rsid w:val="00B20785"/>
    <w:rsid w:val="00B219B5"/>
    <w:rsid w:val="00B238EE"/>
    <w:rsid w:val="00B25F23"/>
    <w:rsid w:val="00B26AB7"/>
    <w:rsid w:val="00B26B5C"/>
    <w:rsid w:val="00B361F1"/>
    <w:rsid w:val="00B3675D"/>
    <w:rsid w:val="00B42740"/>
    <w:rsid w:val="00B44266"/>
    <w:rsid w:val="00B55165"/>
    <w:rsid w:val="00B56204"/>
    <w:rsid w:val="00B56763"/>
    <w:rsid w:val="00B60C55"/>
    <w:rsid w:val="00B633B8"/>
    <w:rsid w:val="00B66863"/>
    <w:rsid w:val="00B670CC"/>
    <w:rsid w:val="00B72210"/>
    <w:rsid w:val="00B73CD6"/>
    <w:rsid w:val="00B76A87"/>
    <w:rsid w:val="00B8478F"/>
    <w:rsid w:val="00B85E85"/>
    <w:rsid w:val="00B96499"/>
    <w:rsid w:val="00BA11CF"/>
    <w:rsid w:val="00BB2B77"/>
    <w:rsid w:val="00BB2F1C"/>
    <w:rsid w:val="00BB3322"/>
    <w:rsid w:val="00BB45CE"/>
    <w:rsid w:val="00BB6846"/>
    <w:rsid w:val="00BB71C5"/>
    <w:rsid w:val="00BC2865"/>
    <w:rsid w:val="00BC6CF9"/>
    <w:rsid w:val="00BD529F"/>
    <w:rsid w:val="00BE110E"/>
    <w:rsid w:val="00BE49FB"/>
    <w:rsid w:val="00BE6734"/>
    <w:rsid w:val="00BF2D3B"/>
    <w:rsid w:val="00C25546"/>
    <w:rsid w:val="00C31477"/>
    <w:rsid w:val="00C444B3"/>
    <w:rsid w:val="00C4496F"/>
    <w:rsid w:val="00C45D52"/>
    <w:rsid w:val="00C46333"/>
    <w:rsid w:val="00C4718C"/>
    <w:rsid w:val="00C54CC3"/>
    <w:rsid w:val="00C55E30"/>
    <w:rsid w:val="00C60815"/>
    <w:rsid w:val="00C61322"/>
    <w:rsid w:val="00C631D6"/>
    <w:rsid w:val="00C73E05"/>
    <w:rsid w:val="00C76689"/>
    <w:rsid w:val="00C766F4"/>
    <w:rsid w:val="00C819DA"/>
    <w:rsid w:val="00C855E7"/>
    <w:rsid w:val="00C97225"/>
    <w:rsid w:val="00C97A0D"/>
    <w:rsid w:val="00CA01E2"/>
    <w:rsid w:val="00CA2F43"/>
    <w:rsid w:val="00CA42B0"/>
    <w:rsid w:val="00CA5D6A"/>
    <w:rsid w:val="00CB0293"/>
    <w:rsid w:val="00CB10C7"/>
    <w:rsid w:val="00CB1C18"/>
    <w:rsid w:val="00CB40D6"/>
    <w:rsid w:val="00CC08EE"/>
    <w:rsid w:val="00CD3748"/>
    <w:rsid w:val="00CD44BA"/>
    <w:rsid w:val="00CD7E26"/>
    <w:rsid w:val="00CE00BE"/>
    <w:rsid w:val="00CE77E6"/>
    <w:rsid w:val="00CF67FF"/>
    <w:rsid w:val="00CF7447"/>
    <w:rsid w:val="00CF767F"/>
    <w:rsid w:val="00D1104D"/>
    <w:rsid w:val="00D1672E"/>
    <w:rsid w:val="00D2604B"/>
    <w:rsid w:val="00D329F1"/>
    <w:rsid w:val="00D3793D"/>
    <w:rsid w:val="00D40518"/>
    <w:rsid w:val="00D4388E"/>
    <w:rsid w:val="00D5230A"/>
    <w:rsid w:val="00D5535C"/>
    <w:rsid w:val="00D60C9F"/>
    <w:rsid w:val="00D61139"/>
    <w:rsid w:val="00D656C2"/>
    <w:rsid w:val="00D70BAC"/>
    <w:rsid w:val="00D87B1C"/>
    <w:rsid w:val="00D93275"/>
    <w:rsid w:val="00D96630"/>
    <w:rsid w:val="00D97825"/>
    <w:rsid w:val="00DC64CE"/>
    <w:rsid w:val="00DC6C4A"/>
    <w:rsid w:val="00DE50F2"/>
    <w:rsid w:val="00DF1310"/>
    <w:rsid w:val="00DF22A0"/>
    <w:rsid w:val="00DF4590"/>
    <w:rsid w:val="00E00903"/>
    <w:rsid w:val="00E012E5"/>
    <w:rsid w:val="00E030B7"/>
    <w:rsid w:val="00E12B48"/>
    <w:rsid w:val="00E1379B"/>
    <w:rsid w:val="00E13ABD"/>
    <w:rsid w:val="00E13C55"/>
    <w:rsid w:val="00E15557"/>
    <w:rsid w:val="00E23F79"/>
    <w:rsid w:val="00E2425D"/>
    <w:rsid w:val="00E25E6F"/>
    <w:rsid w:val="00E2626E"/>
    <w:rsid w:val="00E27049"/>
    <w:rsid w:val="00E33CDF"/>
    <w:rsid w:val="00E37697"/>
    <w:rsid w:val="00E421C0"/>
    <w:rsid w:val="00E42428"/>
    <w:rsid w:val="00E42491"/>
    <w:rsid w:val="00E425C2"/>
    <w:rsid w:val="00E471C6"/>
    <w:rsid w:val="00E4734A"/>
    <w:rsid w:val="00E515E5"/>
    <w:rsid w:val="00E5290E"/>
    <w:rsid w:val="00E531E5"/>
    <w:rsid w:val="00E55747"/>
    <w:rsid w:val="00E56DF5"/>
    <w:rsid w:val="00E576A1"/>
    <w:rsid w:val="00E65A60"/>
    <w:rsid w:val="00E66E72"/>
    <w:rsid w:val="00E70644"/>
    <w:rsid w:val="00E72D00"/>
    <w:rsid w:val="00E743CC"/>
    <w:rsid w:val="00E8151A"/>
    <w:rsid w:val="00E81BE8"/>
    <w:rsid w:val="00E83F3B"/>
    <w:rsid w:val="00E85552"/>
    <w:rsid w:val="00E90C07"/>
    <w:rsid w:val="00E91780"/>
    <w:rsid w:val="00E91EAE"/>
    <w:rsid w:val="00EA5DA2"/>
    <w:rsid w:val="00EA6A13"/>
    <w:rsid w:val="00EC407E"/>
    <w:rsid w:val="00ED0CA5"/>
    <w:rsid w:val="00ED1DE2"/>
    <w:rsid w:val="00ED39F8"/>
    <w:rsid w:val="00ED48B3"/>
    <w:rsid w:val="00ED6B25"/>
    <w:rsid w:val="00EE0B0C"/>
    <w:rsid w:val="00EE67A7"/>
    <w:rsid w:val="00EE67F2"/>
    <w:rsid w:val="00EE756B"/>
    <w:rsid w:val="00EF6270"/>
    <w:rsid w:val="00F045BE"/>
    <w:rsid w:val="00F0558E"/>
    <w:rsid w:val="00F0687C"/>
    <w:rsid w:val="00F06DA9"/>
    <w:rsid w:val="00F16FCB"/>
    <w:rsid w:val="00F1784D"/>
    <w:rsid w:val="00F17990"/>
    <w:rsid w:val="00F17F4C"/>
    <w:rsid w:val="00F2676F"/>
    <w:rsid w:val="00F35321"/>
    <w:rsid w:val="00F433F7"/>
    <w:rsid w:val="00F52F24"/>
    <w:rsid w:val="00F53C1C"/>
    <w:rsid w:val="00F55570"/>
    <w:rsid w:val="00F57DEB"/>
    <w:rsid w:val="00F60038"/>
    <w:rsid w:val="00F62292"/>
    <w:rsid w:val="00F65BCE"/>
    <w:rsid w:val="00F67C70"/>
    <w:rsid w:val="00F77A7D"/>
    <w:rsid w:val="00F85DDA"/>
    <w:rsid w:val="00F86598"/>
    <w:rsid w:val="00F93335"/>
    <w:rsid w:val="00F93B9A"/>
    <w:rsid w:val="00F95648"/>
    <w:rsid w:val="00FA2423"/>
    <w:rsid w:val="00FA51C0"/>
    <w:rsid w:val="00FA6F9D"/>
    <w:rsid w:val="00FB2A3D"/>
    <w:rsid w:val="00FB4539"/>
    <w:rsid w:val="00FB533A"/>
    <w:rsid w:val="00FC062B"/>
    <w:rsid w:val="00FC1AB8"/>
    <w:rsid w:val="00FC2858"/>
    <w:rsid w:val="00FC41B7"/>
    <w:rsid w:val="00FC7279"/>
    <w:rsid w:val="00FD1128"/>
    <w:rsid w:val="00FD2F9F"/>
    <w:rsid w:val="00FE07E4"/>
    <w:rsid w:val="00FE46AF"/>
    <w:rsid w:val="00FF1E5E"/>
    <w:rsid w:val="00FF1E7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5AB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F02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2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2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2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2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2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2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hAnsi="Arial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,Odkaz na poznámku pod čiarou1,Footnote Refernece,BVI fnr,Fußnotenzeichen_Raxen,callout,Footnote Reference Number,SUPERS,Footnote reference number,Times 10 Point,Exposant 3 Point,EN Footnote Reference"/>
    <w:basedOn w:val="Predvolenpsmoodseku"/>
    <w:link w:val="Char2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Char4,Schriftart: 9 pt,Schriftart: 10 pt,Schriftart: 8 pt,Schriftart: 8 pt Char Char Char, Char4,o"/>
    <w:basedOn w:val="Normlny"/>
    <w:link w:val="TextpoznmkypodiarouChar"/>
    <w:uiPriority w:val="99"/>
    <w:qFormat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Char4 Char,Schriftart: 9 pt Char,Schriftart: 10 pt Char, Char4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93B9A"/>
    <w:pPr>
      <w:spacing w:after="200" w:line="276" w:lineRule="auto"/>
    </w:pPr>
    <w:rPr>
      <w:rFonts w:ascii="Calibri" w:eastAsia="Calibri" w:hAnsi="Calibr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B9A"/>
    <w:rPr>
      <w:rFonts w:ascii="Calibri" w:eastAsia="Calibri" w:hAnsi="Calibri"/>
      <w:lang w:val="sk-SK"/>
    </w:rPr>
  </w:style>
  <w:style w:type="character" w:styleId="Odkaznakomentr">
    <w:name w:val="annotation reference"/>
    <w:uiPriority w:val="99"/>
    <w:unhideWhenUsed/>
    <w:rsid w:val="00F93B9A"/>
    <w:rPr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93B9A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rsid w:val="0063077C"/>
    <w:pPr>
      <w:spacing w:after="0" w:line="240" w:lineRule="auto"/>
    </w:pPr>
    <w:rPr>
      <w:rFonts w:ascii="Arial" w:eastAsia="Times New Roman" w:hAnsi="Arial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rsid w:val="0063077C"/>
    <w:rPr>
      <w:rFonts w:ascii="Arial" w:eastAsia="Calibri" w:hAnsi="Arial"/>
      <w:b/>
      <w:bCs/>
      <w:lang w:val="sk-SK"/>
    </w:rPr>
  </w:style>
  <w:style w:type="paragraph" w:customStyle="1" w:styleId="Default">
    <w:name w:val="Default"/>
    <w:rsid w:val="008D41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oznamsodrkami">
    <w:name w:val="List Bullet"/>
    <w:basedOn w:val="Zkladntext"/>
    <w:uiPriority w:val="99"/>
    <w:qFormat/>
    <w:rsid w:val="0016059A"/>
    <w:pPr>
      <w:spacing w:before="130" w:after="130"/>
      <w:jc w:val="both"/>
    </w:pPr>
    <w:rPr>
      <w:rFonts w:ascii="Times New Roman" w:hAnsi="Times New Roman"/>
      <w:sz w:val="22"/>
      <w:szCs w:val="20"/>
      <w:lang w:val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16059A"/>
    <w:rPr>
      <w:rFonts w:ascii="Arial" w:hAnsi="Arial"/>
      <w:sz w:val="19"/>
      <w:szCs w:val="24"/>
    </w:rPr>
  </w:style>
  <w:style w:type="paragraph" w:styleId="Zkladntext">
    <w:name w:val="Body Text"/>
    <w:basedOn w:val="Normlny"/>
    <w:link w:val="ZkladntextChar"/>
    <w:semiHidden/>
    <w:unhideWhenUsed/>
    <w:rsid w:val="0016059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16059A"/>
    <w:rPr>
      <w:rFonts w:ascii="Arial" w:hAnsi="Arial"/>
      <w:sz w:val="19"/>
      <w:szCs w:val="24"/>
    </w:rPr>
  </w:style>
  <w:style w:type="paragraph" w:styleId="Revzia">
    <w:name w:val="Revision"/>
    <w:hidden/>
    <w:uiPriority w:val="99"/>
    <w:semiHidden/>
    <w:rsid w:val="00E72D00"/>
    <w:rPr>
      <w:rFonts w:ascii="Arial" w:hAnsi="Arial"/>
      <w:sz w:val="19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642513"/>
    <w:pPr>
      <w:spacing w:after="160" w:line="240" w:lineRule="exact"/>
    </w:pPr>
    <w:rPr>
      <w:sz w:val="16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9CC8-89B7-490C-A4CF-1D01C41F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2016-10-26T14:22:00Z</dcterms:created>
  <dcterms:modified xsi:type="dcterms:W3CDTF">2016-11-21T08:08:00Z</dcterms:modified>
</cp:coreProperties>
</file>