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40" w:rsidRDefault="00F01740">
      <w:pPr>
        <w:jc w:val="center"/>
        <w:rPr>
          <w:b/>
        </w:rPr>
      </w:pPr>
    </w:p>
    <w:p w:rsidR="00F01740" w:rsidRDefault="00F661A6">
      <w:pPr>
        <w:jc w:val="center"/>
        <w:outlineLvl w:val="0"/>
        <w:rPr>
          <w:b/>
        </w:rPr>
      </w:pPr>
      <w:r>
        <w:rPr>
          <w:b/>
        </w:rPr>
        <w:t xml:space="preserve">Označenie poskytovateľa </w:t>
      </w:r>
      <w:r>
        <w:t>(ďalej ako „Poskytovateľ“)</w:t>
      </w:r>
    </w:p>
    <w:p w:rsidR="00F01740" w:rsidRDefault="00F661A6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CDF5443" wp14:editId="1EB0866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5486400" cy="0"/>
                <wp:effectExtent l="0" t="0" r="19050" b="1905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pt" to="6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"/>
            </w:pict>
          </mc:Fallback>
        </mc:AlternateContent>
      </w:r>
    </w:p>
    <w:p w:rsidR="00F01740" w:rsidRDefault="00F01740"/>
    <w:p w:rsidR="00F01740" w:rsidRDefault="00F661A6">
      <w:pPr>
        <w:jc w:val="center"/>
        <w:outlineLvl w:val="0"/>
        <w:rPr>
          <w:b/>
          <w:bCs/>
          <w:spacing w:val="40"/>
        </w:rPr>
      </w:pPr>
      <w:r>
        <w:rPr>
          <w:b/>
          <w:bCs/>
          <w:spacing w:val="40"/>
        </w:rPr>
        <w:t>ROZHODNUTIE</w:t>
      </w:r>
    </w:p>
    <w:p w:rsidR="00F01740" w:rsidRDefault="00F661A6">
      <w:pPr>
        <w:jc w:val="center"/>
        <w:rPr>
          <w:b/>
          <w:bCs/>
        </w:rPr>
      </w:pPr>
      <w:r>
        <w:rPr>
          <w:b/>
          <w:bCs/>
          <w:spacing w:val="40"/>
        </w:rPr>
        <w:br/>
      </w:r>
      <w:r>
        <w:rPr>
          <w:b/>
          <w:bCs/>
        </w:rPr>
        <w:t>O SCHVÁLENÍ ŽIADOSTI O POSKYTNUTIE NENÁVRATNÉHO FINANČNÉHO PRÍSPEVKU</w:t>
      </w:r>
    </w:p>
    <w:p w:rsidR="00F01740" w:rsidRDefault="00F01740">
      <w:pPr>
        <w:spacing w:after="120"/>
        <w:jc w:val="both"/>
      </w:pPr>
    </w:p>
    <w:p w:rsidR="00F01740" w:rsidRDefault="00F661A6">
      <w:pPr>
        <w:spacing w:after="120"/>
        <w:jc w:val="both"/>
      </w:pPr>
      <w:r>
        <w:t>Poskytovateľ na základe žiadosti o poskytnutie nenávratného finančného príspevku (ďalej len „NFP“)</w:t>
      </w:r>
    </w:p>
    <w:p w:rsidR="00F01740" w:rsidRDefault="00F01740">
      <w:pPr>
        <w:jc w:val="center"/>
        <w:rPr>
          <w:b/>
          <w:bCs/>
        </w:rPr>
      </w:pPr>
    </w:p>
    <w:tbl>
      <w:tblPr>
        <w:tblW w:w="4897" w:type="pct"/>
        <w:tblInd w:w="108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ook w:val="0000" w:firstRow="0" w:lastRow="0" w:firstColumn="0" w:lastColumn="0" w:noHBand="0" w:noVBand="0"/>
      </w:tblPr>
      <w:tblGrid>
        <w:gridCol w:w="3135"/>
        <w:gridCol w:w="5962"/>
      </w:tblGrid>
      <w:tr w:rsidR="00F01740">
        <w:trPr>
          <w:trHeight w:hRule="exact" w:val="1147"/>
        </w:trPr>
        <w:tc>
          <w:tcPr>
            <w:tcW w:w="1723" w:type="pct"/>
            <w:shd w:val="clear" w:color="auto" w:fill="99CCFF"/>
            <w:vAlign w:val="center"/>
          </w:tcPr>
          <w:p w:rsidR="00F01740" w:rsidRDefault="00F661A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Identifikácia žiadateľa </w:t>
            </w:r>
          </w:p>
          <w:p w:rsidR="00F01740" w:rsidRDefault="00F661A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(ďalej len „Žiadateľ“) </w:t>
            </w:r>
          </w:p>
        </w:tc>
        <w:tc>
          <w:tcPr>
            <w:tcW w:w="3277" w:type="pct"/>
            <w:vAlign w:val="center"/>
          </w:tcPr>
          <w:p w:rsidR="00F01740" w:rsidRDefault="00F01740">
            <w:pPr>
              <w:spacing w:after="120"/>
              <w:jc w:val="both"/>
            </w:pPr>
          </w:p>
        </w:tc>
      </w:tr>
      <w:tr w:rsidR="00F01740">
        <w:trPr>
          <w:trHeight w:hRule="exact" w:val="851"/>
        </w:trPr>
        <w:tc>
          <w:tcPr>
            <w:tcW w:w="1723" w:type="pct"/>
            <w:shd w:val="clear" w:color="auto" w:fill="99CCFF"/>
            <w:vAlign w:val="center"/>
          </w:tcPr>
          <w:p w:rsidR="00F01740" w:rsidRDefault="00F661A6">
            <w:pPr>
              <w:spacing w:after="120"/>
              <w:rPr>
                <w:b/>
              </w:rPr>
            </w:pPr>
            <w:r>
              <w:rPr>
                <w:b/>
              </w:rPr>
              <w:t>Kód žiadosti o NFP</w:t>
            </w:r>
          </w:p>
        </w:tc>
        <w:tc>
          <w:tcPr>
            <w:tcW w:w="3277" w:type="pct"/>
            <w:vAlign w:val="center"/>
          </w:tcPr>
          <w:p w:rsidR="00F01740" w:rsidRDefault="00F01740">
            <w:pPr>
              <w:spacing w:after="120"/>
              <w:jc w:val="both"/>
              <w:rPr>
                <w:b/>
              </w:rPr>
            </w:pPr>
          </w:p>
        </w:tc>
      </w:tr>
      <w:tr w:rsidR="00F01740">
        <w:trPr>
          <w:trHeight w:hRule="exact" w:val="851"/>
        </w:trPr>
        <w:tc>
          <w:tcPr>
            <w:tcW w:w="1723" w:type="pct"/>
            <w:shd w:val="clear" w:color="auto" w:fill="99CCFF"/>
            <w:vAlign w:val="center"/>
          </w:tcPr>
          <w:p w:rsidR="00F01740" w:rsidRDefault="00F661A6">
            <w:pPr>
              <w:spacing w:after="120"/>
              <w:rPr>
                <w:b/>
              </w:rPr>
            </w:pPr>
            <w:r>
              <w:rPr>
                <w:b/>
              </w:rPr>
              <w:t>Kód vyzvania</w:t>
            </w:r>
          </w:p>
        </w:tc>
        <w:tc>
          <w:tcPr>
            <w:tcW w:w="3277" w:type="pct"/>
            <w:vAlign w:val="center"/>
          </w:tcPr>
          <w:p w:rsidR="00F01740" w:rsidRDefault="00F01740">
            <w:pPr>
              <w:spacing w:after="120"/>
              <w:jc w:val="both"/>
              <w:rPr>
                <w:b/>
              </w:rPr>
            </w:pPr>
          </w:p>
        </w:tc>
      </w:tr>
      <w:tr w:rsidR="00F01740">
        <w:trPr>
          <w:trHeight w:hRule="exact" w:val="1477"/>
        </w:trPr>
        <w:tc>
          <w:tcPr>
            <w:tcW w:w="1723" w:type="pct"/>
            <w:shd w:val="clear" w:color="auto" w:fill="99CCFF"/>
            <w:vAlign w:val="center"/>
          </w:tcPr>
          <w:p w:rsidR="00F01740" w:rsidRDefault="00F661A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Názov projektu ako je uvedený v žiadosti o poskytnutie NFP (ďalej </w:t>
            </w:r>
            <w:proofErr w:type="spellStart"/>
            <w:r>
              <w:rPr>
                <w:b/>
              </w:rPr>
              <w:t>len„Projekt</w:t>
            </w:r>
            <w:proofErr w:type="spellEnd"/>
            <w:r>
              <w:rPr>
                <w:b/>
              </w:rPr>
              <w:t>“)</w:t>
            </w:r>
          </w:p>
        </w:tc>
        <w:tc>
          <w:tcPr>
            <w:tcW w:w="3277" w:type="pct"/>
            <w:vAlign w:val="center"/>
          </w:tcPr>
          <w:p w:rsidR="00F01740" w:rsidRDefault="00F01740">
            <w:pPr>
              <w:spacing w:after="120"/>
              <w:jc w:val="both"/>
              <w:rPr>
                <w:b/>
              </w:rPr>
            </w:pPr>
          </w:p>
        </w:tc>
      </w:tr>
    </w:tbl>
    <w:p w:rsidR="00F01740" w:rsidRDefault="00F01740">
      <w:pPr>
        <w:rPr>
          <w:b/>
          <w:bCs/>
        </w:rPr>
      </w:pPr>
    </w:p>
    <w:p w:rsidR="00F01740" w:rsidRDefault="00F661A6">
      <w:pPr>
        <w:spacing w:after="120"/>
        <w:jc w:val="both"/>
      </w:pPr>
      <w:r>
        <w:t xml:space="preserve">prijatej dňa DD. MM. RRRR (ďalej len „žiadosť o NFP“) </w:t>
      </w:r>
    </w:p>
    <w:p w:rsidR="00F01740" w:rsidRDefault="00F01740">
      <w:pPr>
        <w:spacing w:after="120"/>
        <w:jc w:val="both"/>
      </w:pPr>
    </w:p>
    <w:p w:rsidR="00F01740" w:rsidRDefault="00F661A6">
      <w:pPr>
        <w:spacing w:after="120"/>
        <w:jc w:val="both"/>
      </w:pPr>
      <w:r>
        <w:t>rozhodol v súlade s ustanovením § 19 ods. 8 v spojení s ustanovením § 16 ods. 2 zákona              č. 292/2014 Z. z. o príspevku poskytovanom z európskych</w:t>
      </w:r>
      <w:r>
        <w:rPr>
          <w:b/>
        </w:rPr>
        <w:t xml:space="preserve"> </w:t>
      </w:r>
      <w:r>
        <w:t xml:space="preserve">štrukturálnych a investičných fondov a o zmene a doplnení niektorých zákonov (ďalej ako „zákon o príspevku z EŠIF“) takto: </w:t>
      </w:r>
    </w:p>
    <w:p w:rsidR="00F01740" w:rsidRDefault="00F661A6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>
        <w:t xml:space="preserve">Žiadosť o NFP sa schvaľuje. </w:t>
      </w:r>
    </w:p>
    <w:p w:rsidR="00F01740" w:rsidRDefault="00F661A6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>
        <w:t xml:space="preserve">NFP sa Žiadateľovi poskytuje najviac do výšky ........... EUR (slovom: .......... eur),  pričom celkové oprávnené výdavky Projektu boli schválené vo výške najviac ........  EUR (slovom: .......... eur). </w:t>
      </w:r>
    </w:p>
    <w:p w:rsidR="00F01740" w:rsidRDefault="00F661A6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>
        <w:t>Pri poskytovaní príspevku na realizáciu Projektu sa postupuje podľa tohto rozhodnutia, ktoré v prílohe č. 1 obsahuje práva a povinnosti Prijímateľa a Poskytovateľa v súvislosti s realizáciou Projektu. Nadobudnutím právoplatnosti tohto rozhodnutia podľa § 52 ods. 1 zák. č. 71/1967 Zb. o správnom konaní (Správny poriadok) v znení neskorších predpisov (ďalej len „Správny poriadok“) nadobúda toto rozhodnutie účinnosť a Žiadateľ sa ďalej</w:t>
      </w:r>
    </w:p>
    <w:p w:rsidR="00F01740" w:rsidRDefault="00F661A6">
      <w:pPr>
        <w:spacing w:after="120"/>
        <w:ind w:left="426"/>
        <w:jc w:val="both"/>
      </w:pPr>
      <w:r>
        <w:lastRenderedPageBreak/>
        <w:t xml:space="preserve">označuje ako Prijímateľ. Poskytnutie príspevku na základe tohto rozhodnutia  je viazané na splnenie povinností Prijímateľa uvedených v tomto rozhodnutí v rámci jeho príloh, ktoré sú označené v bode 4. tohto rozhodnutia. </w:t>
      </w:r>
    </w:p>
    <w:p w:rsidR="00F01740" w:rsidRDefault="00F661A6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>
        <w:t xml:space="preserve">Jednotlivé prílohy tohto rozhodnutia sú jeho neoddeliteľnou súčasťou a sú pre Žiadateľa rovnako záväzné. Súčasťou rozhodnutia o schválení NFP sú tieto prílohy: </w:t>
      </w:r>
    </w:p>
    <w:p w:rsidR="00F01740" w:rsidRDefault="00F661A6">
      <w:pPr>
        <w:numPr>
          <w:ilvl w:val="1"/>
          <w:numId w:val="1"/>
        </w:numPr>
        <w:tabs>
          <w:tab w:val="clear" w:pos="1440"/>
        </w:tabs>
        <w:spacing w:after="120"/>
        <w:ind w:left="709" w:hanging="283"/>
        <w:jc w:val="both"/>
      </w:pPr>
      <w:r>
        <w:t>príloha č. 1 - Práva a povinnosti Prijímateľa a Poskytovateľa v súvislosti s realizáciou Projektu;</w:t>
      </w:r>
    </w:p>
    <w:p w:rsidR="00F01740" w:rsidRDefault="00F661A6">
      <w:pPr>
        <w:numPr>
          <w:ilvl w:val="1"/>
          <w:numId w:val="1"/>
        </w:numPr>
        <w:tabs>
          <w:tab w:val="clear" w:pos="1440"/>
        </w:tabs>
        <w:spacing w:after="120"/>
        <w:ind w:left="709" w:hanging="283"/>
        <w:jc w:val="both"/>
      </w:pPr>
      <w:r>
        <w:t>príloha č. 2 - Predmet podpory NFP;</w:t>
      </w:r>
    </w:p>
    <w:p w:rsidR="00F01740" w:rsidRDefault="00F661A6">
      <w:pPr>
        <w:numPr>
          <w:ilvl w:val="1"/>
          <w:numId w:val="1"/>
        </w:numPr>
        <w:tabs>
          <w:tab w:val="clear" w:pos="1440"/>
        </w:tabs>
        <w:spacing w:after="120"/>
        <w:ind w:left="709" w:hanging="283"/>
        <w:jc w:val="both"/>
      </w:pPr>
      <w:r>
        <w:t>príloha č. 3 - Rozpočet Projektu;</w:t>
      </w:r>
    </w:p>
    <w:p w:rsidR="00F01740" w:rsidRDefault="00F661A6">
      <w:pPr>
        <w:numPr>
          <w:ilvl w:val="1"/>
          <w:numId w:val="1"/>
        </w:numPr>
        <w:tabs>
          <w:tab w:val="clear" w:pos="1440"/>
        </w:tabs>
        <w:spacing w:after="120"/>
        <w:ind w:left="709" w:hanging="283"/>
        <w:jc w:val="both"/>
      </w:pPr>
      <w:r>
        <w:t xml:space="preserve">príloha č. 4 - </w:t>
      </w:r>
      <w:r>
        <w:rPr>
          <w:bCs/>
        </w:rPr>
        <w:t>Finančné opravy za porušenie pravidiel a postupov obstarávania.</w:t>
      </w:r>
    </w:p>
    <w:p w:rsidR="00F01740" w:rsidRDefault="00F661A6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>
        <w:t xml:space="preserve">Zmena tohto rozhodnutia je možná za splnenia podmienok stanovených v §22  až §24 zákona o príspevku z EŠIF. Zmena v právach a povinnostiach Poskytovateľa a Prijímateľa v súvislosti s realizáciou Projektu je možná postupom a v rozsahu uvedenom v prílohe č. 1 tohto rozhodnutia. </w:t>
      </w:r>
    </w:p>
    <w:p w:rsidR="00F01740" w:rsidRDefault="00F661A6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>
        <w:t xml:space="preserve">Rozhodnutie sa vydáva na dobu určitú a jeho platnosť a účinnosť končí schválením poslednej Následnej monitorovacej správy, ktorú je Prijímateľ povinný predložiť Poskytovateľovi v súlade s ustanovením článku 9 ods. 5 prílohy č. 1 tohto rozhodnutia a v prípade, ak sa na </w:t>
      </w:r>
      <w:r w:rsidR="00DE099B">
        <w:t xml:space="preserve">Projekt </w:t>
      </w:r>
      <w:r>
        <w:t xml:space="preserve">nevzťahuje povinnosť predkladania Následných monitorovacích správ, platnosť a účinnosť tohto rozhodnutia sa limituje Finančným ukončením Projektu na samotné rozhodnutie (bez jeho príloh) a: </w:t>
      </w:r>
    </w:p>
    <w:p w:rsidR="00F01740" w:rsidRDefault="00F661A6">
      <w:pPr>
        <w:numPr>
          <w:ilvl w:val="1"/>
          <w:numId w:val="2"/>
        </w:numPr>
        <w:tabs>
          <w:tab w:val="clear" w:pos="1440"/>
        </w:tabs>
        <w:spacing w:before="120" w:line="264" w:lineRule="auto"/>
        <w:ind w:left="709" w:hanging="283"/>
        <w:jc w:val="both"/>
      </w:pPr>
      <w:r>
        <w:t xml:space="preserve">článok 16, 18 a 19  prílohy č. 1 tohto rozhodnutia, ktorých platnosť a účinnosť končí 31. decembra 2028 alebo po tomto dátume </w:t>
      </w:r>
      <w:proofErr w:type="spellStart"/>
      <w:r>
        <w:t>vysporiadaním</w:t>
      </w:r>
      <w:proofErr w:type="spellEnd"/>
      <w:r>
        <w:t xml:space="preserve"> finančných vzťahov medzi Poskytovateľom a Prijímateľom na základe tohto rozhodnutia, ak nedošlo k ich </w:t>
      </w:r>
      <w:proofErr w:type="spellStart"/>
      <w:r>
        <w:t>vysporiadaniu</w:t>
      </w:r>
      <w:proofErr w:type="spellEnd"/>
      <w:r>
        <w:t xml:space="preserve"> k 31. decembru 2028;</w:t>
      </w:r>
    </w:p>
    <w:p w:rsidR="00F01740" w:rsidRDefault="00F661A6">
      <w:pPr>
        <w:numPr>
          <w:ilvl w:val="1"/>
          <w:numId w:val="2"/>
        </w:numPr>
        <w:tabs>
          <w:tab w:val="clear" w:pos="1440"/>
        </w:tabs>
        <w:spacing w:before="120" w:line="264" w:lineRule="auto"/>
        <w:ind w:left="709" w:hanging="283"/>
        <w:jc w:val="both"/>
      </w:pPr>
      <w:r>
        <w:t>tých ustanovení prílohy č. 1, ktoré majú sankčný charakter pre prípad porušenia povinností vyplývajúcich pre Prijímateľa (z článkov 16, 18 a 19 prílohy č. 1 tohto rozhodnutia), pričom ich platnosť a účinnosť končí s platnosťou a účinnosťou predmetných článkov;</w:t>
      </w:r>
    </w:p>
    <w:p w:rsidR="00F01740" w:rsidRDefault="00F661A6">
      <w:pPr>
        <w:numPr>
          <w:ilvl w:val="1"/>
          <w:numId w:val="2"/>
        </w:numPr>
        <w:tabs>
          <w:tab w:val="clear" w:pos="1440"/>
        </w:tabs>
        <w:spacing w:before="120" w:line="264" w:lineRule="auto"/>
        <w:ind w:left="709" w:hanging="283"/>
        <w:jc w:val="both"/>
      </w:pPr>
      <w:r>
        <w:t>projektov, v rámci ktorých došlo k poskytnutiu štátnej pomoci, platnosť a účinnosť článku 16 a článku 19 prílohy č. 1 tohto rozhodnutia trvá po dobu stanovenú v bodoch (i) a (</w:t>
      </w:r>
      <w:proofErr w:type="spellStart"/>
      <w:r>
        <w:t>ii</w:t>
      </w:r>
      <w:proofErr w:type="spellEnd"/>
      <w:r>
        <w:t xml:space="preserve">) tohto písm. c), ak z písmen a) a b) tohto odseku 6. nevyplývajú dlhšie lehoty:  </w:t>
      </w:r>
    </w:p>
    <w:p w:rsidR="00F01740" w:rsidRDefault="00F661A6">
      <w:pPr>
        <w:pStyle w:val="Odsekzoznamu1"/>
        <w:numPr>
          <w:ilvl w:val="2"/>
          <w:numId w:val="3"/>
        </w:numPr>
        <w:spacing w:before="120" w:after="120"/>
        <w:ind w:left="1134" w:hanging="142"/>
        <w:contextualSpacing w:val="0"/>
        <w:jc w:val="both"/>
      </w:pPr>
      <w:r>
        <w:t xml:space="preserve">platnosť a účinnosť článku 19 prílohy č. 1 tohto rozhodnutia končí uplynutím 10 rokov od schválenia Následnej monitorovacej správy a </w:t>
      </w:r>
    </w:p>
    <w:p w:rsidR="00F01740" w:rsidRDefault="00F661A6">
      <w:pPr>
        <w:pStyle w:val="Odsekzoznamu1"/>
        <w:numPr>
          <w:ilvl w:val="2"/>
          <w:numId w:val="3"/>
        </w:numPr>
        <w:spacing w:before="120" w:after="120"/>
        <w:ind w:left="1134" w:hanging="142"/>
        <w:contextualSpacing w:val="0"/>
        <w:jc w:val="both"/>
      </w:pPr>
      <w:r>
        <w:t xml:space="preserve">platnosť a účinnosť článku 16 prílohy č. 1 tohto rozhodnutia v súvislosti s vymáhaním neoprávnenej štátnej pomoci končí uplynutím 10 rokov od schválenia Následnej monitorovacej správy. </w:t>
      </w:r>
    </w:p>
    <w:p w:rsidR="00F01740" w:rsidRDefault="00F661A6">
      <w:pPr>
        <w:spacing w:before="120" w:line="264" w:lineRule="auto"/>
        <w:ind w:left="426"/>
        <w:jc w:val="both"/>
      </w:pPr>
      <w:r>
        <w:t>Platnosť a účinnosť tohto rozhodnutia v rozsahu uvedenom v písmenách a) až c) tohto odseku 6 sa predĺži na základe oznámenia Poskytovateľa Prijímateľovi v prípade,          ak nastanú skutočnosti uvedené v článku 140 nariadenia (ako je definované v článku 1 ods. 4 prílohy č. 1 rozhodnutia o schválení žiadosti o NFP) o čas trvania týchto skutočností.</w:t>
      </w:r>
    </w:p>
    <w:p w:rsidR="00F01740" w:rsidRDefault="00F01740">
      <w:pPr>
        <w:pStyle w:val="Textkomentra"/>
        <w:spacing w:line="264" w:lineRule="auto"/>
        <w:jc w:val="both"/>
        <w:rPr>
          <w:b/>
          <w:sz w:val="24"/>
          <w:szCs w:val="24"/>
        </w:rPr>
      </w:pPr>
    </w:p>
    <w:p w:rsidR="00F01740" w:rsidRDefault="00F661A6">
      <w:pPr>
        <w:pStyle w:val="Textkomentra"/>
        <w:spacing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 d ô v o d n e n i e:  </w:t>
      </w:r>
    </w:p>
    <w:p w:rsidR="00F01740" w:rsidRDefault="00F01740">
      <w:pPr>
        <w:pStyle w:val="Textkomentra"/>
        <w:spacing w:line="264" w:lineRule="auto"/>
        <w:jc w:val="both"/>
        <w:rPr>
          <w:b/>
          <w:sz w:val="24"/>
          <w:szCs w:val="24"/>
        </w:rPr>
      </w:pPr>
    </w:p>
    <w:p w:rsidR="00F01740" w:rsidRDefault="00F661A6">
      <w:pPr>
        <w:pStyle w:val="Textkomentra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Poskytovateľ ako [...] v rámci konania o žiadosti o NFP overil splnenie podmienok poskytnutia príspevku a dospel k záveru, že žiadosť o NFP splnila všetky podmienky poskytnutia príspevku tak, ako boli stanovené vo vyzvaní, kód ....................  a zároveň bol k dispozícii dostatok finančných prostriedkov na financovanie realizácie Projektu obsiahnutého v schválenej žiadosti o NFP na základe alokácie určenej v predmetnom vyzvaní. </w:t>
      </w:r>
    </w:p>
    <w:p w:rsidR="00F01740" w:rsidRDefault="00F01740">
      <w:pPr>
        <w:pStyle w:val="Textkomentra"/>
        <w:spacing w:line="264" w:lineRule="auto"/>
        <w:jc w:val="both"/>
        <w:rPr>
          <w:sz w:val="24"/>
          <w:szCs w:val="24"/>
        </w:rPr>
      </w:pPr>
    </w:p>
    <w:p w:rsidR="00F01740" w:rsidRDefault="00F661A6">
      <w:pPr>
        <w:pStyle w:val="Textkomentra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Výška schváleného nenávratného finančného príspevku je maximálna a v priebehu realizácie nesmie byť prekročená. </w:t>
      </w:r>
    </w:p>
    <w:p w:rsidR="00F01740" w:rsidRDefault="00F01740">
      <w:pPr>
        <w:pStyle w:val="Textkomentra"/>
        <w:spacing w:line="264" w:lineRule="auto"/>
        <w:jc w:val="both"/>
        <w:rPr>
          <w:sz w:val="24"/>
          <w:szCs w:val="24"/>
        </w:rPr>
      </w:pPr>
    </w:p>
    <w:p w:rsidR="00F01740" w:rsidRDefault="00F661A6">
      <w:pPr>
        <w:pStyle w:val="Textkomentra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konaní o žiadosti o NFP bolo zistené, že v rámci Žiadateľom predložených a požadovaných výdavkov boli identifikované také, ktoré nespĺňajú podmienky oprávnenosti výdavkov definované vo vyzvaní, v dôsledku čoho bola výška žiadaného NFP znížená o ..... EUR (slovom:..............). Zníženie požadovanej výšky NFP bolo vykonané nasledovne:......................</w:t>
      </w:r>
      <w:bookmarkStart w:id="0" w:name="_GoBack"/>
      <w:bookmarkEnd w:id="0"/>
      <w:r>
        <w:rPr>
          <w:sz w:val="24"/>
          <w:szCs w:val="24"/>
        </w:rPr>
        <w:t>.</w:t>
      </w:r>
    </w:p>
    <w:p w:rsidR="00F01740" w:rsidRDefault="00F01740">
      <w:pPr>
        <w:pStyle w:val="Textkomentra"/>
        <w:spacing w:line="264" w:lineRule="auto"/>
        <w:jc w:val="both"/>
        <w:rPr>
          <w:sz w:val="24"/>
          <w:szCs w:val="24"/>
        </w:rPr>
      </w:pPr>
    </w:p>
    <w:p w:rsidR="00F01740" w:rsidRDefault="00F661A6">
      <w:pPr>
        <w:pStyle w:val="Textkomentra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súlade s ustanovením § 25 ods. 2 zákona o príspevku z EŠIF právny nárok na poskytnutie príspevku vzniká nadobudnutím právoplatnosti tohto rozhodnutia. </w:t>
      </w:r>
    </w:p>
    <w:p w:rsidR="00F01740" w:rsidRDefault="00F01740">
      <w:pPr>
        <w:spacing w:line="264" w:lineRule="auto"/>
      </w:pPr>
    </w:p>
    <w:p w:rsidR="00F01740" w:rsidRDefault="00F661A6">
      <w:pPr>
        <w:spacing w:line="264" w:lineRule="auto"/>
        <w:rPr>
          <w:b/>
        </w:rPr>
      </w:pPr>
      <w:r>
        <w:rPr>
          <w:b/>
        </w:rPr>
        <w:t xml:space="preserve">P o u č e n i e: </w:t>
      </w:r>
    </w:p>
    <w:p w:rsidR="00F01740" w:rsidRDefault="00F01740">
      <w:pPr>
        <w:spacing w:line="264" w:lineRule="auto"/>
      </w:pPr>
    </w:p>
    <w:p w:rsidR="00F01740" w:rsidRDefault="00F661A6">
      <w:pPr>
        <w:spacing w:line="264" w:lineRule="auto"/>
        <w:jc w:val="both"/>
      </w:pPr>
      <w:r>
        <w:t xml:space="preserve">Proti tomuto rozhodnutiu je v súlade s § 22 zákona o príspevku z EŠIF možné podať odvolanie. Žiadateľ môže podať odvolanie písomne na adresu Poskytovateľa uvedenú v tomto rozhodnutí do 10 pracovných dní odo dňa doručenia tohto rozhodnutia. V odvolaní sa okrem identifikačných náležitostí (§ 22 ods. 5, písm. a) a b) zákona o príspevku z EŠIF) musí uviesť, proti ktorému rozhodnutiu odvolanie smeruje, akej veci sa odvolanie týka a dôvody podania odvolania, čo odvolaním žiadateľ navrhuje a dátum podania a podpis osoby podávajúcej odvolanie. </w:t>
      </w:r>
    </w:p>
    <w:p w:rsidR="00F01740" w:rsidRDefault="00F01740">
      <w:pPr>
        <w:spacing w:line="264" w:lineRule="auto"/>
        <w:jc w:val="both"/>
      </w:pPr>
    </w:p>
    <w:p w:rsidR="00F01740" w:rsidRDefault="00F661A6">
      <w:pPr>
        <w:spacing w:line="264" w:lineRule="auto"/>
        <w:jc w:val="both"/>
      </w:pPr>
      <w:r>
        <w:t xml:space="preserve">Žiadateľ je oprávnený podať podnet na preskúmanie rozhodnutia mimo odvolacieho konania v súlade s podmienkami uvedenými v § 24 zákona o príspevku z EŠIF. </w:t>
      </w:r>
    </w:p>
    <w:p w:rsidR="00F01740" w:rsidRDefault="00F01740">
      <w:pPr>
        <w:spacing w:line="264" w:lineRule="auto"/>
        <w:jc w:val="both"/>
      </w:pPr>
    </w:p>
    <w:p w:rsidR="00F01740" w:rsidRDefault="00F661A6">
      <w:pPr>
        <w:spacing w:line="264" w:lineRule="auto"/>
        <w:jc w:val="both"/>
      </w:pPr>
      <w:r>
        <w:t xml:space="preserve">Toto rozhodnutie je preskúmateľné súdom. </w:t>
      </w:r>
    </w:p>
    <w:p w:rsidR="00F01740" w:rsidRDefault="00F01740">
      <w:pPr>
        <w:spacing w:line="264" w:lineRule="auto"/>
      </w:pPr>
    </w:p>
    <w:p w:rsidR="00F01740" w:rsidRDefault="00F661A6">
      <w:pPr>
        <w:spacing w:line="264" w:lineRule="auto"/>
      </w:pPr>
      <w:r>
        <w:t xml:space="preserve">V ..........................., dňa .............................. </w:t>
      </w:r>
    </w:p>
    <w:p w:rsidR="00F01740" w:rsidRDefault="00F01740">
      <w:pPr>
        <w:spacing w:line="264" w:lineRule="auto"/>
      </w:pPr>
    </w:p>
    <w:p w:rsidR="00F01740" w:rsidRDefault="00F661A6">
      <w:pPr>
        <w:spacing w:line="264" w:lineRule="auto"/>
        <w:ind w:firstLine="4860"/>
      </w:pPr>
      <w:r>
        <w:t>meno, priezvisko, funkcia a podpis</w:t>
      </w:r>
    </w:p>
    <w:p w:rsidR="00F01740" w:rsidRDefault="00F661A6">
      <w:pPr>
        <w:spacing w:line="264" w:lineRule="auto"/>
        <w:ind w:firstLine="4860"/>
      </w:pPr>
      <w:r>
        <w:t>osoby oprávnenej konať za Poskytovateľa</w:t>
      </w:r>
    </w:p>
    <w:p w:rsidR="00F01740" w:rsidRDefault="00F661A6">
      <w:pPr>
        <w:spacing w:line="264" w:lineRule="auto"/>
        <w:ind w:firstLine="4860"/>
      </w:pPr>
      <w:r>
        <w:t>odtlačok úradnej pečiatky Poskytovateľa</w:t>
      </w:r>
    </w:p>
    <w:p w:rsidR="00F01740" w:rsidRDefault="00F01740"/>
    <w:p w:rsidR="00F01740" w:rsidRDefault="00F01740"/>
    <w:p w:rsidR="00F01740" w:rsidRDefault="00F01740"/>
    <w:sectPr w:rsidR="00F0174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64" w:rsidRDefault="000F4664">
      <w:r>
        <w:separator/>
      </w:r>
    </w:p>
  </w:endnote>
  <w:endnote w:type="continuationSeparator" w:id="0">
    <w:p w:rsidR="000F4664" w:rsidRDefault="000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40" w:rsidRDefault="00F661A6">
    <w:pPr>
      <w:pStyle w:val="Pta"/>
      <w:jc w:val="right"/>
    </w:pPr>
    <w:r>
      <w:t xml:space="preserve"> </w:t>
    </w:r>
  </w:p>
  <w:p w:rsidR="00F01740" w:rsidRDefault="00F661A6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B7681F">
      <w:rPr>
        <w:noProof/>
      </w:rPr>
      <w:t>2</w:t>
    </w:r>
    <w:r>
      <w:fldChar w:fldCharType="end"/>
    </w:r>
  </w:p>
  <w:p w:rsidR="00F01740" w:rsidRDefault="00F017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64" w:rsidRDefault="000F4664">
      <w:r>
        <w:separator/>
      </w:r>
    </w:p>
  </w:footnote>
  <w:footnote w:type="continuationSeparator" w:id="0">
    <w:p w:rsidR="000F4664" w:rsidRDefault="000F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40" w:rsidRDefault="00F01740">
    <w:pPr>
      <w:pStyle w:val="Hlavika"/>
    </w:pPr>
  </w:p>
  <w:p w:rsidR="00F01740" w:rsidRDefault="00F017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40" w:rsidRDefault="00F661A6">
    <w:pPr>
      <w:pStyle w:val="Hlavika"/>
      <w:tabs>
        <w:tab w:val="clear" w:pos="4536"/>
      </w:tabs>
      <w:jc w:val="both"/>
      <w:rPr>
        <w:szCs w:val="20"/>
      </w:rPr>
    </w:pPr>
    <w:r>
      <w:t>1. Vzor  formuláru r</w:t>
    </w:r>
    <w:r>
      <w:rPr>
        <w:szCs w:val="20"/>
      </w:rPr>
      <w:t>ozhodnutia o schválení žiadosti o poskytnut</w:t>
    </w:r>
    <w:r w:rsidR="009844D5">
      <w:rPr>
        <w:szCs w:val="20"/>
      </w:rPr>
      <w:t>ie</w:t>
    </w:r>
    <w:r>
      <w:rPr>
        <w:szCs w:val="20"/>
      </w:rPr>
      <w:t xml:space="preserve"> nenávratného finančného príspevku</w:t>
    </w:r>
    <w:r>
      <w:t xml:space="preserve">                                                   </w:t>
    </w:r>
  </w:p>
  <w:p w:rsidR="00F01740" w:rsidRDefault="00F661A6">
    <w:pPr>
      <w:pStyle w:val="Hlavika"/>
      <w:tabs>
        <w:tab w:val="clear" w:pos="4536"/>
        <w:tab w:val="left" w:pos="7500"/>
      </w:tabs>
      <w:rPr>
        <w:sz w:val="22"/>
        <w:szCs w:val="22"/>
      </w:rPr>
    </w:pPr>
    <w:r>
      <w:rPr>
        <w:sz w:val="22"/>
        <w:szCs w:val="22"/>
      </w:rPr>
      <w:t xml:space="preserve"> </w:t>
    </w:r>
  </w:p>
  <w:p w:rsidR="00F01740" w:rsidRDefault="00F661A6">
    <w:pPr>
      <w:pStyle w:val="Hlavika"/>
    </w:pPr>
    <w:r>
      <w:rPr>
        <w:noProof/>
        <w:sz w:val="22"/>
        <w:szCs w:val="22"/>
      </w:rPr>
      <w:drawing>
        <wp:inline distT="0" distB="0" distL="0" distR="0">
          <wp:extent cx="802005" cy="526415"/>
          <wp:effectExtent l="0" t="0" r="0" b="6985"/>
          <wp:docPr id="7" name="Obrázok 7" descr="EU_logo cmyk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ogo cmyk 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9CB"/>
    <w:multiLevelType w:val="hybridMultilevel"/>
    <w:tmpl w:val="5EBE06D4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C06820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E836B1"/>
    <w:multiLevelType w:val="hybridMultilevel"/>
    <w:tmpl w:val="8C760D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2C1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B55CC"/>
    <w:multiLevelType w:val="hybridMultilevel"/>
    <w:tmpl w:val="DF1A76F4"/>
    <w:lvl w:ilvl="0" w:tplc="041B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40"/>
    <w:rsid w:val="00020C23"/>
    <w:rsid w:val="000F4664"/>
    <w:rsid w:val="001F4F26"/>
    <w:rsid w:val="003F103A"/>
    <w:rsid w:val="00630334"/>
    <w:rsid w:val="009844D5"/>
    <w:rsid w:val="00B7681F"/>
    <w:rsid w:val="00C45E3E"/>
    <w:rsid w:val="00CC5E96"/>
    <w:rsid w:val="00DE099B"/>
    <w:rsid w:val="00F01740"/>
    <w:rsid w:val="00F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Pr>
      <w:sz w:val="16"/>
    </w:rPr>
  </w:style>
  <w:style w:type="paragraph" w:styleId="Textkomentra">
    <w:name w:val="annotation text"/>
    <w:basedOn w:val="Normlny"/>
    <w:link w:val="TextkomentraChar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pPr>
      <w:ind w:left="720"/>
      <w:contextualSpacing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Pr>
      <w:sz w:val="16"/>
    </w:rPr>
  </w:style>
  <w:style w:type="paragraph" w:styleId="Textkomentra">
    <w:name w:val="annotation text"/>
    <w:basedOn w:val="Normlny"/>
    <w:link w:val="TextkomentraChar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pPr>
      <w:ind w:left="720"/>
      <w:contextualSpacing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5364</Characters>
  <Application>Microsoft Office Word</Application>
  <DocSecurity>0</DocSecurity>
  <Lines>44</Lines>
  <Paragraphs>12</Paragraphs>
  <ScaleCrop>false</ScaleCrop>
  <Company>MPRR SR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Šubová Zuzana</cp:lastModifiedBy>
  <cp:revision>3</cp:revision>
  <dcterms:created xsi:type="dcterms:W3CDTF">2016-07-21T08:27:00Z</dcterms:created>
  <dcterms:modified xsi:type="dcterms:W3CDTF">2016-07-21T08:28:00Z</dcterms:modified>
</cp:coreProperties>
</file>