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16" w:rsidRDefault="003B3454">
      <w:pPr>
        <w:pStyle w:val="Hlavika"/>
      </w:pPr>
      <w:r>
        <w:t>Príloha č. 4 rozhodnutia o schválení žiadosti o poskytnutí nenávratného finančného príspevku</w:t>
      </w:r>
    </w:p>
    <w:p w:rsidR="00EA4E16" w:rsidRDefault="003B3454">
      <w:pPr>
        <w:spacing w:before="240" w:after="240"/>
        <w:jc w:val="both"/>
        <w:rPr>
          <w:sz w:val="22"/>
          <w:szCs w:val="22"/>
          <w:lang w:eastAsia="cs-CZ"/>
        </w:rPr>
      </w:pPr>
      <w:r>
        <w:rPr>
          <w:sz w:val="22"/>
          <w:szCs w:val="22"/>
          <w:lang w:eastAsia="cs-CZ"/>
        </w:rPr>
        <w:t xml:space="preserve">Táto príloha rozhodnutia o schválení žiadosti o NFP slúži na určovanie výšky vrátenia poskytnutého príspevku alebo jeho časti, alebo ex-ante finančné opravy v nadväznosti na zistené porušenie pravidiel a postupov verejného obstarávania v zmysle zákona o VO.  Všetky percentuálne sadzby sa týkajú prípadov, keď konkrétne porušenie malo alebo mohlo mať vplyv na výsledok VO. </w:t>
      </w:r>
      <w:bookmarkStart w:id="0" w:name="_GoBack"/>
      <w:bookmarkEnd w:id="0"/>
    </w:p>
    <w:p w:rsidR="00EA4E16" w:rsidRDefault="003B3454">
      <w:pPr>
        <w:spacing w:after="240"/>
        <w:jc w:val="both"/>
        <w:rPr>
          <w:sz w:val="22"/>
          <w:szCs w:val="22"/>
          <w:lang w:eastAsia="cs-CZ"/>
        </w:rPr>
      </w:pPr>
      <w:r>
        <w:rPr>
          <w:sz w:val="22"/>
          <w:szCs w:val="22"/>
          <w:lang w:eastAsia="cs-CZ"/>
        </w:rPr>
        <w:t xml:space="preserve">V prípade porušení pravidiel uvedených v Právnych predpisoch a/alebo Právnych dokumentov týkajúcich sa obstarávania zákaziek nespadajúcich pod zákon o VO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VO,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VO  nie je možné priradiť k žiadnemu z porušení uvedených v tejto prílohe, výška finančnej opravy sa určí vo výške 5, 10, 25 alebo 100 % z hodnoty zákazky a to podľa závažnosti porušenia.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720"/>
        <w:gridCol w:w="6379"/>
        <w:gridCol w:w="3260"/>
      </w:tblGrid>
      <w:tr w:rsidR="00EA4E16">
        <w:tc>
          <w:tcPr>
            <w:tcW w:w="675" w:type="dxa"/>
            <w:shd w:val="clear" w:color="auto" w:fill="CCC0D9"/>
            <w:vAlign w:val="center"/>
          </w:tcPr>
          <w:p w:rsidR="00EA4E16" w:rsidRDefault="003B3454">
            <w:pPr>
              <w:jc w:val="center"/>
              <w:rPr>
                <w:b/>
                <w:sz w:val="22"/>
                <w:szCs w:val="22"/>
                <w:lang w:eastAsia="cs-CZ"/>
              </w:rPr>
            </w:pPr>
            <w:r>
              <w:rPr>
                <w:b/>
                <w:sz w:val="22"/>
                <w:szCs w:val="22"/>
                <w:lang w:eastAsia="cs-CZ"/>
              </w:rPr>
              <w:t>Č.</w:t>
            </w:r>
          </w:p>
        </w:tc>
        <w:tc>
          <w:tcPr>
            <w:tcW w:w="3720" w:type="dxa"/>
            <w:shd w:val="clear" w:color="auto" w:fill="CCC0D9"/>
            <w:vAlign w:val="center"/>
          </w:tcPr>
          <w:p w:rsidR="00EA4E16" w:rsidRDefault="003B3454">
            <w:pPr>
              <w:jc w:val="center"/>
              <w:rPr>
                <w:b/>
                <w:sz w:val="22"/>
                <w:szCs w:val="22"/>
                <w:lang w:eastAsia="cs-CZ"/>
              </w:rPr>
            </w:pPr>
            <w:r>
              <w:rPr>
                <w:b/>
                <w:sz w:val="22"/>
                <w:szCs w:val="22"/>
                <w:lang w:eastAsia="cs-CZ"/>
              </w:rPr>
              <w:t>Názov porušenia</w:t>
            </w:r>
          </w:p>
        </w:tc>
        <w:tc>
          <w:tcPr>
            <w:tcW w:w="6379" w:type="dxa"/>
            <w:shd w:val="clear" w:color="auto" w:fill="CCC0D9"/>
            <w:vAlign w:val="center"/>
          </w:tcPr>
          <w:p w:rsidR="00EA4E16" w:rsidRDefault="003B3454">
            <w:pPr>
              <w:jc w:val="center"/>
              <w:rPr>
                <w:b/>
                <w:sz w:val="22"/>
                <w:szCs w:val="22"/>
                <w:lang w:eastAsia="cs-CZ"/>
              </w:rPr>
            </w:pPr>
            <w:r>
              <w:rPr>
                <w:b/>
                <w:sz w:val="22"/>
                <w:szCs w:val="22"/>
                <w:lang w:eastAsia="cs-CZ"/>
              </w:rPr>
              <w:t>Popis porušenia/ príklady</w:t>
            </w:r>
          </w:p>
        </w:tc>
        <w:tc>
          <w:tcPr>
            <w:tcW w:w="3260" w:type="dxa"/>
            <w:shd w:val="clear" w:color="auto" w:fill="CCC0D9"/>
            <w:vAlign w:val="center"/>
          </w:tcPr>
          <w:p w:rsidR="00EA4E16" w:rsidRDefault="003B3454">
            <w:pPr>
              <w:jc w:val="center"/>
              <w:rPr>
                <w:b/>
                <w:sz w:val="22"/>
                <w:szCs w:val="22"/>
                <w:lang w:eastAsia="cs-CZ"/>
              </w:rPr>
            </w:pPr>
            <w:r>
              <w:rPr>
                <w:b/>
                <w:sz w:val="22"/>
                <w:szCs w:val="22"/>
                <w:lang w:eastAsia="cs-CZ"/>
              </w:rPr>
              <w:t>Výška finančnej opravy (korekcie)</w:t>
            </w:r>
          </w:p>
        </w:tc>
      </w:tr>
      <w:tr w:rsidR="00EA4E16">
        <w:tc>
          <w:tcPr>
            <w:tcW w:w="14034" w:type="dxa"/>
            <w:gridSpan w:val="4"/>
            <w:shd w:val="clear" w:color="auto" w:fill="BFBFBF"/>
            <w:vAlign w:val="center"/>
          </w:tcPr>
          <w:p w:rsidR="00EA4E16" w:rsidRDefault="003B3454">
            <w:pPr>
              <w:jc w:val="center"/>
              <w:rPr>
                <w:b/>
                <w:sz w:val="22"/>
                <w:szCs w:val="22"/>
                <w:lang w:eastAsia="cs-CZ"/>
              </w:rPr>
            </w:pPr>
            <w:r>
              <w:rPr>
                <w:b/>
                <w:sz w:val="22"/>
                <w:szCs w:val="22"/>
                <w:lang w:eastAsia="cs-CZ"/>
              </w:rPr>
              <w:t>Oznámenie o vyhlásení verejného obstarávania, špecifikácia v súťažných podkladoch</w:t>
            </w:r>
          </w:p>
        </w:tc>
      </w:tr>
      <w:tr w:rsidR="00EA4E16">
        <w:tc>
          <w:tcPr>
            <w:tcW w:w="675" w:type="dxa"/>
            <w:vAlign w:val="center"/>
          </w:tcPr>
          <w:p w:rsidR="00EA4E16" w:rsidRDefault="003B3454">
            <w:pPr>
              <w:jc w:val="center"/>
              <w:rPr>
                <w:sz w:val="22"/>
                <w:szCs w:val="22"/>
                <w:lang w:eastAsia="cs-CZ"/>
              </w:rPr>
            </w:pPr>
            <w:r>
              <w:rPr>
                <w:sz w:val="22"/>
                <w:szCs w:val="22"/>
                <w:lang w:eastAsia="cs-CZ"/>
              </w:rPr>
              <w:t>1.</w:t>
            </w:r>
          </w:p>
        </w:tc>
        <w:tc>
          <w:tcPr>
            <w:tcW w:w="3720" w:type="dxa"/>
          </w:tcPr>
          <w:p w:rsidR="00EA4E16" w:rsidRDefault="003B3454">
            <w:pPr>
              <w:rPr>
                <w:sz w:val="22"/>
                <w:szCs w:val="22"/>
                <w:lang w:eastAsia="cs-CZ"/>
              </w:rPr>
            </w:pPr>
            <w:r>
              <w:rPr>
                <w:sz w:val="22"/>
                <w:szCs w:val="22"/>
                <w:lang w:eastAsia="cs-CZ"/>
              </w:rPr>
              <w:t xml:space="preserve">Nedodržanie postupov zverejňovania zákazky v zmysle zákona o VO </w:t>
            </w:r>
          </w:p>
          <w:p w:rsidR="00EA4E16" w:rsidRDefault="00EA4E16">
            <w:pPr>
              <w:rPr>
                <w:sz w:val="22"/>
                <w:szCs w:val="22"/>
                <w:lang w:eastAsia="cs-CZ"/>
              </w:rPr>
            </w:pPr>
          </w:p>
        </w:tc>
        <w:tc>
          <w:tcPr>
            <w:tcW w:w="6379" w:type="dxa"/>
          </w:tcPr>
          <w:p w:rsidR="00EA4E16" w:rsidRDefault="003B3454">
            <w:pPr>
              <w:jc w:val="both"/>
              <w:rPr>
                <w:sz w:val="22"/>
                <w:szCs w:val="22"/>
                <w:lang w:eastAsia="cs-CZ"/>
              </w:rPr>
            </w:pPr>
            <w:r>
              <w:rPr>
                <w:sz w:val="22"/>
                <w:szCs w:val="22"/>
                <w:lang w:eastAsia="cs-CZ"/>
              </w:rPr>
              <w:t>Verejný obstarávateľ</w:t>
            </w:r>
            <w:r>
              <w:rPr>
                <w:sz w:val="22"/>
                <w:szCs w:val="22"/>
                <w:vertAlign w:val="superscript"/>
                <w:lang w:eastAsia="cs-CZ"/>
              </w:rPr>
              <w:footnoteReference w:id="1"/>
            </w:r>
            <w:r>
              <w:rPr>
                <w:sz w:val="22"/>
                <w:szCs w:val="22"/>
                <w:lang w:eastAsia="cs-CZ"/>
              </w:rPr>
              <w:t xml:space="preserve"> neposlal oznámenie o vyhlásení verejného obstarávania publikačnému úradu a úradu podľa § 23 ods. 1 zákona o VO. </w:t>
            </w:r>
          </w:p>
          <w:p w:rsidR="00EA4E16" w:rsidRDefault="00EA4E16">
            <w:pPr>
              <w:rPr>
                <w:sz w:val="22"/>
                <w:szCs w:val="22"/>
                <w:lang w:eastAsia="cs-CZ"/>
              </w:rPr>
            </w:pPr>
          </w:p>
          <w:p w:rsidR="00EA4E16" w:rsidRDefault="00EA4E16">
            <w:pPr>
              <w:rPr>
                <w:sz w:val="22"/>
                <w:szCs w:val="22"/>
                <w:lang w:eastAsia="cs-CZ"/>
              </w:rPr>
            </w:pPr>
          </w:p>
          <w:p w:rsidR="00EA4E16" w:rsidRDefault="003B3454">
            <w:pPr>
              <w:jc w:val="both"/>
              <w:rPr>
                <w:sz w:val="22"/>
                <w:szCs w:val="22"/>
                <w:lang w:eastAsia="cs-CZ"/>
              </w:rPr>
            </w:pPr>
            <w:r>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priamym rokovacím konaním podľa § 58 zákona o VO  bez splnenia podmienok na jeho použitie.   </w:t>
            </w:r>
          </w:p>
          <w:p w:rsidR="00EA4E16" w:rsidRDefault="00EA4E16">
            <w:pPr>
              <w:rPr>
                <w:sz w:val="22"/>
                <w:szCs w:val="22"/>
                <w:lang w:eastAsia="cs-CZ"/>
              </w:rPr>
            </w:pPr>
          </w:p>
          <w:p w:rsidR="00EA4E16" w:rsidRDefault="00EA4E16">
            <w:pPr>
              <w:rPr>
                <w:sz w:val="22"/>
                <w:szCs w:val="22"/>
                <w:lang w:eastAsia="cs-CZ"/>
              </w:rPr>
            </w:pPr>
          </w:p>
        </w:tc>
        <w:tc>
          <w:tcPr>
            <w:tcW w:w="3260" w:type="dxa"/>
          </w:tcPr>
          <w:p w:rsidR="00EA4E16" w:rsidRDefault="003B3454">
            <w:pPr>
              <w:rPr>
                <w:sz w:val="22"/>
                <w:szCs w:val="22"/>
                <w:lang w:eastAsia="cs-CZ"/>
              </w:rPr>
            </w:pPr>
            <w:r>
              <w:rPr>
                <w:sz w:val="22"/>
                <w:szCs w:val="22"/>
                <w:lang w:eastAsia="cs-CZ"/>
              </w:rPr>
              <w:lastRenderedPageBreak/>
              <w:t>100 %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V prípade nadlimitných zákaziek, v rámci ktorých nebolo oznámenie zverejnené v úradnom vestníku EÚ, ale zadávanie zákazky bolo korektne zverejnené vo vestníku ÚVO sa uplatňuje korekcia 25 %</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2</w:t>
            </w:r>
          </w:p>
        </w:tc>
        <w:tc>
          <w:tcPr>
            <w:tcW w:w="3720" w:type="dxa"/>
          </w:tcPr>
          <w:p w:rsidR="00EA4E16" w:rsidRDefault="003B3454">
            <w:pPr>
              <w:rPr>
                <w:sz w:val="22"/>
                <w:szCs w:val="22"/>
                <w:lang w:eastAsia="cs-CZ"/>
              </w:rPr>
            </w:pPr>
            <w:r>
              <w:rPr>
                <w:sz w:val="22"/>
                <w:szCs w:val="22"/>
                <w:lang w:eastAsia="cs-CZ"/>
              </w:rPr>
              <w:t>Nedovolené rozdelenie predmetu zákazky alebo nedovolené spájanie predmetov zákaziek</w:t>
            </w:r>
          </w:p>
        </w:tc>
        <w:tc>
          <w:tcPr>
            <w:tcW w:w="6379" w:type="dxa"/>
          </w:tcPr>
          <w:p w:rsidR="00EA4E16" w:rsidRDefault="003B3454">
            <w:pPr>
              <w:jc w:val="both"/>
              <w:rPr>
                <w:sz w:val="22"/>
                <w:szCs w:val="22"/>
                <w:lang w:eastAsia="cs-CZ"/>
              </w:rPr>
            </w:pPr>
            <w:r>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rsidR="00EA4E16" w:rsidRDefault="00EA4E16">
            <w:pPr>
              <w:rPr>
                <w:sz w:val="22"/>
                <w:szCs w:val="22"/>
                <w:lang w:eastAsia="cs-CZ"/>
              </w:rPr>
            </w:pPr>
          </w:p>
        </w:tc>
        <w:tc>
          <w:tcPr>
            <w:tcW w:w="3260" w:type="dxa"/>
          </w:tcPr>
          <w:p w:rsidR="00EA4E16" w:rsidRDefault="003B3454">
            <w:pPr>
              <w:rPr>
                <w:sz w:val="22"/>
                <w:szCs w:val="22"/>
                <w:lang w:eastAsia="cs-CZ"/>
              </w:rPr>
            </w:pPr>
            <w:r>
              <w:rPr>
                <w:sz w:val="22"/>
                <w:szCs w:val="22"/>
                <w:lang w:eastAsia="cs-CZ"/>
              </w:rPr>
              <w:t>100 %  - vzťahuje sa na každú z rozdelených zákaziek</w:t>
            </w:r>
          </w:p>
          <w:p w:rsidR="00EA4E16" w:rsidRDefault="00EA4E16">
            <w:pPr>
              <w:rPr>
                <w:sz w:val="22"/>
                <w:szCs w:val="22"/>
                <w:lang w:eastAsia="cs-CZ"/>
              </w:rPr>
            </w:pPr>
          </w:p>
          <w:p w:rsidR="00EA4E16" w:rsidRDefault="003B3454">
            <w:pPr>
              <w:rPr>
                <w:sz w:val="22"/>
                <w:szCs w:val="22"/>
                <w:lang w:eastAsia="cs-CZ"/>
              </w:rPr>
            </w:pPr>
            <w:r>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 Uplatňuje sa na každú z rozdelených zákaziek</w:t>
            </w:r>
          </w:p>
          <w:p w:rsidR="00EA4E16" w:rsidRDefault="00EA4E16">
            <w:pPr>
              <w:rPr>
                <w:sz w:val="22"/>
                <w:szCs w:val="22"/>
                <w:lang w:eastAsia="cs-CZ"/>
              </w:rPr>
            </w:pPr>
          </w:p>
          <w:p w:rsidR="00EA4E16" w:rsidRDefault="003B3454">
            <w:pPr>
              <w:rPr>
                <w:sz w:val="22"/>
                <w:szCs w:val="22"/>
                <w:lang w:eastAsia="cs-CZ"/>
              </w:rPr>
            </w:pPr>
            <w:r>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 xml:space="preserve">10% - v ostatných prípadoch nedovoleného spájania rôznorodých zákaziek   </w:t>
            </w:r>
          </w:p>
        </w:tc>
      </w:tr>
      <w:tr w:rsidR="00EA4E16">
        <w:tc>
          <w:tcPr>
            <w:tcW w:w="675" w:type="dxa"/>
            <w:vAlign w:val="center"/>
          </w:tcPr>
          <w:p w:rsidR="00EA4E16" w:rsidRDefault="003B3454">
            <w:pPr>
              <w:jc w:val="center"/>
              <w:rPr>
                <w:sz w:val="22"/>
                <w:szCs w:val="22"/>
                <w:lang w:eastAsia="cs-CZ"/>
              </w:rPr>
            </w:pPr>
            <w:r>
              <w:rPr>
                <w:sz w:val="22"/>
                <w:szCs w:val="22"/>
                <w:lang w:eastAsia="cs-CZ"/>
              </w:rPr>
              <w:t>3</w:t>
            </w:r>
          </w:p>
        </w:tc>
        <w:tc>
          <w:tcPr>
            <w:tcW w:w="3720" w:type="dxa"/>
          </w:tcPr>
          <w:p w:rsidR="00EA4E16" w:rsidRDefault="003B3454">
            <w:pPr>
              <w:rPr>
                <w:sz w:val="22"/>
                <w:szCs w:val="22"/>
                <w:lang w:eastAsia="cs-CZ"/>
              </w:rPr>
            </w:pPr>
            <w:r>
              <w:rPr>
                <w:sz w:val="22"/>
                <w:szCs w:val="22"/>
                <w:lang w:eastAsia="cs-CZ"/>
              </w:rPr>
              <w:t xml:space="preserve">Nedodržanie minimálnej zákonnej lehoty na predkladanie ponúk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Nedodržanie minimálnej zákonnej lehoty na predloženie žiadosti o účasť</w:t>
            </w:r>
            <w:r>
              <w:rPr>
                <w:sz w:val="22"/>
                <w:szCs w:val="22"/>
                <w:vertAlign w:val="superscript"/>
                <w:lang w:eastAsia="cs-CZ"/>
              </w:rPr>
              <w:footnoteReference w:id="2"/>
            </w:r>
          </w:p>
        </w:tc>
        <w:tc>
          <w:tcPr>
            <w:tcW w:w="6379" w:type="dxa"/>
          </w:tcPr>
          <w:p w:rsidR="00EA4E16" w:rsidRDefault="003B3454">
            <w:pPr>
              <w:jc w:val="both"/>
              <w:rPr>
                <w:sz w:val="22"/>
                <w:szCs w:val="22"/>
                <w:lang w:eastAsia="cs-CZ"/>
              </w:rPr>
            </w:pPr>
            <w:r>
              <w:rPr>
                <w:sz w:val="22"/>
                <w:szCs w:val="22"/>
                <w:lang w:eastAsia="cs-CZ"/>
              </w:rPr>
              <w:t>Lehota na predkladanie ponúk (alebo na predloženie žiadosti o účasť) bola kratšia ako limit ustanovený zákonom</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 xml:space="preserve">Verejný obstarávateľ skrátil lehotu na predloženie ponúk v zmysle § 51 ods. 1 písm. b), avšak z dôvodu nekorektného zverejnenia </w:t>
            </w:r>
            <w:r>
              <w:rPr>
                <w:sz w:val="22"/>
                <w:szCs w:val="22"/>
                <w:lang w:eastAsia="cs-CZ"/>
              </w:rPr>
              <w:lastRenderedPageBreak/>
              <w:t>predbežného oznámenia nebol oprávnený na toto skrátenie</w:t>
            </w:r>
          </w:p>
        </w:tc>
        <w:tc>
          <w:tcPr>
            <w:tcW w:w="3260" w:type="dxa"/>
          </w:tcPr>
          <w:p w:rsidR="00EA4E16" w:rsidRDefault="003B3454">
            <w:pPr>
              <w:rPr>
                <w:sz w:val="22"/>
                <w:szCs w:val="22"/>
                <w:lang w:eastAsia="cs-CZ"/>
              </w:rPr>
            </w:pPr>
            <w:r>
              <w:rPr>
                <w:sz w:val="22"/>
                <w:szCs w:val="22"/>
                <w:lang w:eastAsia="cs-CZ"/>
              </w:rPr>
              <w:lastRenderedPageBreak/>
              <w:t>25 % v prípade, že skrátenie lehoty bolo rovné alebo väčšie ako 50 % zo zákonnej lehoty</w:t>
            </w:r>
          </w:p>
          <w:p w:rsidR="00EA4E16" w:rsidRDefault="00EA4E16">
            <w:pPr>
              <w:rPr>
                <w:sz w:val="22"/>
                <w:szCs w:val="22"/>
                <w:lang w:eastAsia="cs-CZ"/>
              </w:rPr>
            </w:pPr>
          </w:p>
          <w:p w:rsidR="00EA4E16" w:rsidRDefault="003B3454">
            <w:pPr>
              <w:rPr>
                <w:sz w:val="22"/>
                <w:szCs w:val="22"/>
                <w:lang w:eastAsia="cs-CZ"/>
              </w:rPr>
            </w:pPr>
            <w:r>
              <w:rPr>
                <w:sz w:val="22"/>
                <w:szCs w:val="22"/>
                <w:lang w:eastAsia="cs-CZ"/>
              </w:rPr>
              <w:t xml:space="preserve">10 % v prípade že toto skrátenie </w:t>
            </w:r>
            <w:r>
              <w:rPr>
                <w:sz w:val="22"/>
                <w:szCs w:val="22"/>
                <w:lang w:eastAsia="cs-CZ"/>
              </w:rPr>
              <w:lastRenderedPageBreak/>
              <w:t>bolo rovné alebo väčšie ako 30 % zo zákonnej lehoty</w:t>
            </w:r>
          </w:p>
          <w:p w:rsidR="00EA4E16" w:rsidRDefault="00EA4E16">
            <w:pPr>
              <w:rPr>
                <w:sz w:val="22"/>
                <w:szCs w:val="22"/>
                <w:lang w:eastAsia="cs-CZ"/>
              </w:rPr>
            </w:pPr>
          </w:p>
          <w:p w:rsidR="00EA4E16" w:rsidRDefault="003B3454">
            <w:pPr>
              <w:rPr>
                <w:sz w:val="22"/>
                <w:szCs w:val="22"/>
                <w:lang w:eastAsia="cs-CZ"/>
              </w:rPr>
            </w:pPr>
            <w:r>
              <w:rPr>
                <w:sz w:val="22"/>
                <w:szCs w:val="22"/>
                <w:lang w:eastAsia="cs-CZ"/>
              </w:rPr>
              <w:t>5 % v prípade akéhokoľvek iného skrátenia lehôt (je možné znížiť až na hodnotu 2%, pokiaľ sa má za to, že povaha a závažnosť nedostatku neopodstatňuje uplatnenie 5% korekcie.</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4</w:t>
            </w:r>
          </w:p>
        </w:tc>
        <w:tc>
          <w:tcPr>
            <w:tcW w:w="3720" w:type="dxa"/>
          </w:tcPr>
          <w:p w:rsidR="00EA4E16" w:rsidRDefault="003B3454">
            <w:pPr>
              <w:rPr>
                <w:sz w:val="22"/>
                <w:szCs w:val="22"/>
                <w:lang w:eastAsia="cs-CZ"/>
              </w:rPr>
            </w:pPr>
            <w:r>
              <w:rPr>
                <w:sz w:val="22"/>
                <w:szCs w:val="22"/>
                <w:lang w:eastAsia="cs-CZ"/>
              </w:rPr>
              <w:t>Stanovenie lehoty na prijímanie žiadostí o súťažné podklady (vzťahuje sa pre verejnú súťaž, súťaž návrhov alebo podlimitných zákaziek)</w:t>
            </w:r>
          </w:p>
        </w:tc>
        <w:tc>
          <w:tcPr>
            <w:tcW w:w="6379" w:type="dxa"/>
          </w:tcPr>
          <w:p w:rsidR="00EA4E16" w:rsidRDefault="003B3454">
            <w:pPr>
              <w:jc w:val="both"/>
              <w:rPr>
                <w:sz w:val="22"/>
                <w:szCs w:val="22"/>
                <w:lang w:eastAsia="cs-CZ"/>
              </w:rPr>
            </w:pPr>
            <w:r>
              <w:rPr>
                <w:sz w:val="22"/>
                <w:szCs w:val="22"/>
                <w:lang w:eastAsia="cs-CZ"/>
              </w:rPr>
              <w:t>Lehota stanovená na prijímanie žiadostí o súťažné podklady  je neprimerane krátka v porovnaní s lehotou na predkladanie ponúk, čím sa vytvára neopodstatnená prekážka k otvorenej súťaži vo verejnom obstarávaní.</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Základná sadzba korekcie je uvedená v stĺpci „Výška finančnej korekcie“, pričom konečnú sadzbu korekcie je potrebné určiť na individuálnej báze (prípad od prípadu). Pri určovaní výšky korekcie je možné brať v úvahu zmierňujúce faktory vzťahujúce sa k špecifickosti a komplexnosti zákazky (administratívne zaťaženie, ťažkosti spočívajúce v doručení súťažných podkladov)</w:t>
            </w:r>
          </w:p>
        </w:tc>
        <w:tc>
          <w:tcPr>
            <w:tcW w:w="3260" w:type="dxa"/>
          </w:tcPr>
          <w:p w:rsidR="00EA4E16" w:rsidRDefault="003B3454">
            <w:pPr>
              <w:rPr>
                <w:sz w:val="22"/>
                <w:szCs w:val="22"/>
                <w:lang w:eastAsia="cs-CZ"/>
              </w:rPr>
            </w:pPr>
            <w:r>
              <w:rPr>
                <w:sz w:val="22"/>
                <w:szCs w:val="22"/>
                <w:lang w:eastAsia="cs-CZ"/>
              </w:rPr>
              <w:t>25 % v prípade, ak lehota na prijímanie žiadostí o súťažné podklady je menej ako 50 % lehoty na predloženie ponúk (v súlade s príslušnými ustanoveniami)</w:t>
            </w:r>
          </w:p>
          <w:p w:rsidR="00EA4E16" w:rsidRDefault="00EA4E16">
            <w:pPr>
              <w:rPr>
                <w:sz w:val="22"/>
                <w:szCs w:val="22"/>
                <w:lang w:eastAsia="cs-CZ"/>
              </w:rPr>
            </w:pPr>
          </w:p>
          <w:p w:rsidR="00EA4E16" w:rsidRDefault="003B3454">
            <w:pPr>
              <w:rPr>
                <w:sz w:val="22"/>
                <w:szCs w:val="22"/>
                <w:lang w:eastAsia="cs-CZ"/>
              </w:rPr>
            </w:pPr>
            <w:r>
              <w:rPr>
                <w:sz w:val="22"/>
                <w:szCs w:val="22"/>
                <w:lang w:eastAsia="cs-CZ"/>
              </w:rPr>
              <w:t>10 % v prípade, ak lehota na prijímanie žiadostí o súťažné podklady je menej ako 60 % lehoty na predloženie ponúk (v súlade s príslušnými ustanoveniami)</w:t>
            </w:r>
          </w:p>
          <w:p w:rsidR="00EA4E16" w:rsidRDefault="00EA4E16">
            <w:pPr>
              <w:rPr>
                <w:sz w:val="22"/>
                <w:szCs w:val="22"/>
                <w:lang w:eastAsia="cs-CZ"/>
              </w:rPr>
            </w:pPr>
          </w:p>
          <w:p w:rsidR="00EA4E16" w:rsidRDefault="003B3454">
            <w:pPr>
              <w:rPr>
                <w:sz w:val="22"/>
                <w:szCs w:val="22"/>
                <w:lang w:eastAsia="cs-CZ"/>
              </w:rPr>
            </w:pPr>
            <w:r>
              <w:rPr>
                <w:sz w:val="22"/>
                <w:szCs w:val="22"/>
                <w:lang w:eastAsia="cs-CZ"/>
              </w:rPr>
              <w:t>5 % v prípade, ak lehota na prijímanie žiadostí o súťažné podklady je menej ako 80 % lehoty na predloženie ponúk (v súlade s príslušnými ustanoveniami)</w:t>
            </w:r>
          </w:p>
          <w:p w:rsidR="00EA4E16" w:rsidRDefault="00EA4E16">
            <w:pPr>
              <w:rPr>
                <w:sz w:val="22"/>
                <w:szCs w:val="22"/>
                <w:lang w:eastAsia="cs-CZ"/>
              </w:rPr>
            </w:pPr>
          </w:p>
        </w:tc>
      </w:tr>
      <w:tr w:rsidR="00EA4E16">
        <w:tc>
          <w:tcPr>
            <w:tcW w:w="675" w:type="dxa"/>
            <w:vAlign w:val="center"/>
          </w:tcPr>
          <w:p w:rsidR="00EA4E16" w:rsidRDefault="003B3454">
            <w:pPr>
              <w:jc w:val="center"/>
              <w:rPr>
                <w:sz w:val="22"/>
                <w:szCs w:val="22"/>
                <w:lang w:eastAsia="cs-CZ"/>
              </w:rPr>
            </w:pPr>
            <w:r>
              <w:rPr>
                <w:sz w:val="22"/>
                <w:szCs w:val="22"/>
                <w:lang w:eastAsia="cs-CZ"/>
              </w:rPr>
              <w:t>5</w:t>
            </w:r>
          </w:p>
        </w:tc>
        <w:tc>
          <w:tcPr>
            <w:tcW w:w="3720" w:type="dxa"/>
          </w:tcPr>
          <w:p w:rsidR="00EA4E16" w:rsidRDefault="003B3454">
            <w:pPr>
              <w:rPr>
                <w:sz w:val="22"/>
                <w:szCs w:val="22"/>
                <w:lang w:eastAsia="cs-CZ"/>
              </w:rPr>
            </w:pPr>
            <w:r>
              <w:rPr>
                <w:sz w:val="22"/>
                <w:szCs w:val="22"/>
                <w:lang w:eastAsia="cs-CZ"/>
              </w:rPr>
              <w:t>Nedodržanie postupov zverejňovania opravy oznámenia o vyhlásení verejného obstarávania v prípade</w:t>
            </w:r>
          </w:p>
          <w:p w:rsidR="00EA4E16" w:rsidRDefault="003B3454">
            <w:pPr>
              <w:numPr>
                <w:ilvl w:val="0"/>
                <w:numId w:val="29"/>
              </w:numPr>
              <w:jc w:val="both"/>
              <w:rPr>
                <w:sz w:val="22"/>
                <w:szCs w:val="22"/>
                <w:lang w:eastAsia="cs-CZ"/>
              </w:rPr>
            </w:pPr>
            <w:r>
              <w:rPr>
                <w:sz w:val="22"/>
                <w:szCs w:val="22"/>
                <w:lang w:eastAsia="cs-CZ"/>
              </w:rPr>
              <w:t xml:space="preserve">predĺženia lehoty na </w:t>
            </w:r>
            <w:r>
              <w:rPr>
                <w:sz w:val="22"/>
                <w:szCs w:val="22"/>
                <w:lang w:eastAsia="cs-CZ"/>
              </w:rPr>
              <w:lastRenderedPageBreak/>
              <w:t>predkladanie ponúk</w:t>
            </w:r>
          </w:p>
          <w:p w:rsidR="00EA4E16" w:rsidRDefault="003B3454">
            <w:pPr>
              <w:numPr>
                <w:ilvl w:val="0"/>
                <w:numId w:val="29"/>
              </w:numPr>
              <w:jc w:val="both"/>
              <w:rPr>
                <w:sz w:val="22"/>
                <w:szCs w:val="22"/>
                <w:lang w:eastAsia="cs-CZ"/>
              </w:rPr>
            </w:pPr>
            <w:r>
              <w:rPr>
                <w:sz w:val="22"/>
                <w:szCs w:val="22"/>
                <w:lang w:eastAsia="cs-CZ"/>
              </w:rPr>
              <w:t>predĺženia lehoty na žiadosti o účasť</w:t>
            </w:r>
            <w:r>
              <w:rPr>
                <w:sz w:val="22"/>
                <w:szCs w:val="22"/>
                <w:vertAlign w:val="superscript"/>
                <w:lang w:eastAsia="cs-CZ"/>
              </w:rPr>
              <w:footnoteReference w:id="3"/>
            </w:r>
          </w:p>
        </w:tc>
        <w:tc>
          <w:tcPr>
            <w:tcW w:w="6379" w:type="dxa"/>
          </w:tcPr>
          <w:p w:rsidR="00EA4E16" w:rsidRDefault="003B3454">
            <w:pPr>
              <w:jc w:val="both"/>
              <w:rPr>
                <w:sz w:val="22"/>
                <w:szCs w:val="22"/>
                <w:lang w:eastAsia="cs-CZ"/>
              </w:rPr>
            </w:pPr>
            <w:r>
              <w:rPr>
                <w:sz w:val="22"/>
                <w:szCs w:val="22"/>
                <w:lang w:eastAsia="cs-CZ"/>
              </w:rPr>
              <w:lastRenderedPageBreak/>
              <w:t>Lehota na predkladanie ponúk (alebo lehota na predloženie žiadosti o účasť) bola predĺžená, pričom verejný obstarávateľ nezverejnil túto skutočnosť formou redakčnej opravy v Úradnom vestníku EÚ/vo vestníku VO</w:t>
            </w:r>
          </w:p>
        </w:tc>
        <w:tc>
          <w:tcPr>
            <w:tcW w:w="3260" w:type="dxa"/>
          </w:tcPr>
          <w:p w:rsidR="00EA4E16" w:rsidRDefault="003B3454">
            <w:pPr>
              <w:rPr>
                <w:sz w:val="22"/>
                <w:szCs w:val="22"/>
                <w:lang w:eastAsia="cs-CZ"/>
              </w:rPr>
            </w:pPr>
            <w:r>
              <w:rPr>
                <w:sz w:val="22"/>
                <w:szCs w:val="22"/>
                <w:lang w:eastAsia="cs-CZ"/>
              </w:rPr>
              <w:t xml:space="preserve">10 % </w:t>
            </w:r>
          </w:p>
          <w:p w:rsidR="00EA4E16" w:rsidRDefault="003B3454">
            <w:pPr>
              <w:rPr>
                <w:sz w:val="22"/>
                <w:szCs w:val="22"/>
                <w:lang w:eastAsia="cs-CZ"/>
              </w:rPr>
            </w:pPr>
            <w:r>
              <w:rPr>
                <w:sz w:val="22"/>
                <w:szCs w:val="22"/>
                <w:lang w:eastAsia="cs-CZ"/>
              </w:rPr>
              <w:t>táto sadzba môže byť znížená na 5 % podľa závažnosti</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6</w:t>
            </w:r>
          </w:p>
        </w:tc>
        <w:tc>
          <w:tcPr>
            <w:tcW w:w="3720" w:type="dxa"/>
          </w:tcPr>
          <w:p w:rsidR="00EA4E16" w:rsidRDefault="003B3454">
            <w:pPr>
              <w:rPr>
                <w:sz w:val="22"/>
                <w:szCs w:val="22"/>
                <w:lang w:eastAsia="cs-CZ"/>
              </w:rPr>
            </w:pPr>
            <w:r>
              <w:rPr>
                <w:sz w:val="22"/>
                <w:szCs w:val="22"/>
                <w:lang w:eastAsia="cs-CZ"/>
              </w:rPr>
              <w:t>Prípady neoprávňujúce použitie rokovacieho konania so zverejnením</w:t>
            </w:r>
          </w:p>
        </w:tc>
        <w:tc>
          <w:tcPr>
            <w:tcW w:w="6379" w:type="dxa"/>
          </w:tcPr>
          <w:p w:rsidR="00EA4E16" w:rsidRDefault="003B3454">
            <w:pPr>
              <w:jc w:val="both"/>
              <w:rPr>
                <w:sz w:val="22"/>
                <w:szCs w:val="22"/>
                <w:lang w:eastAsia="cs-CZ"/>
              </w:rPr>
            </w:pPr>
            <w:r>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 xml:space="preserve">táto sadzba môže byť znížená na 10 % alebo 5 % podľa závažnosti  </w:t>
            </w:r>
          </w:p>
        </w:tc>
      </w:tr>
      <w:tr w:rsidR="00EA4E16">
        <w:tc>
          <w:tcPr>
            <w:tcW w:w="675" w:type="dxa"/>
            <w:vAlign w:val="center"/>
          </w:tcPr>
          <w:p w:rsidR="00EA4E16" w:rsidRDefault="003B3454">
            <w:pPr>
              <w:jc w:val="center"/>
              <w:rPr>
                <w:sz w:val="22"/>
                <w:szCs w:val="22"/>
                <w:lang w:eastAsia="cs-CZ"/>
              </w:rPr>
            </w:pPr>
            <w:r>
              <w:rPr>
                <w:sz w:val="22"/>
                <w:szCs w:val="22"/>
                <w:lang w:eastAsia="cs-CZ"/>
              </w:rPr>
              <w:t>7</w:t>
            </w:r>
          </w:p>
        </w:tc>
        <w:tc>
          <w:tcPr>
            <w:tcW w:w="3720" w:type="dxa"/>
          </w:tcPr>
          <w:p w:rsidR="00EA4E16" w:rsidRDefault="003B3454">
            <w:pPr>
              <w:rPr>
                <w:sz w:val="22"/>
                <w:szCs w:val="22"/>
                <w:lang w:eastAsia="cs-CZ"/>
              </w:rPr>
            </w:pPr>
            <w:r>
              <w:rPr>
                <w:sz w:val="22"/>
                <w:szCs w:val="22"/>
                <w:lang w:eastAsia="cs-CZ"/>
              </w:rPr>
              <w:t>Zadávanie zákaziek v oblasti obrany a bezpečnosti - nedostatočné zdôvodnenie nezverejnenia zákazky</w:t>
            </w:r>
          </w:p>
        </w:tc>
        <w:tc>
          <w:tcPr>
            <w:tcW w:w="6379" w:type="dxa"/>
          </w:tcPr>
          <w:p w:rsidR="00EA4E16" w:rsidRDefault="003B3454">
            <w:pPr>
              <w:jc w:val="both"/>
              <w:rPr>
                <w:sz w:val="22"/>
                <w:szCs w:val="22"/>
                <w:lang w:eastAsia="cs-CZ"/>
              </w:rPr>
            </w:pPr>
            <w:r>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tcPr>
          <w:p w:rsidR="00EA4E16" w:rsidRDefault="003B3454">
            <w:pPr>
              <w:rPr>
                <w:sz w:val="22"/>
                <w:szCs w:val="22"/>
                <w:lang w:eastAsia="cs-CZ"/>
              </w:rPr>
            </w:pPr>
            <w:r>
              <w:rPr>
                <w:sz w:val="22"/>
                <w:szCs w:val="22"/>
                <w:lang w:eastAsia="cs-CZ"/>
              </w:rPr>
              <w:t>100 %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25 %, 10 % alebo 5 % podľa závažnosti</w:t>
            </w:r>
          </w:p>
        </w:tc>
      </w:tr>
      <w:tr w:rsidR="00EA4E16">
        <w:tc>
          <w:tcPr>
            <w:tcW w:w="675" w:type="dxa"/>
            <w:vAlign w:val="center"/>
          </w:tcPr>
          <w:p w:rsidR="00EA4E16" w:rsidRDefault="003B3454">
            <w:pPr>
              <w:jc w:val="center"/>
              <w:rPr>
                <w:sz w:val="22"/>
                <w:szCs w:val="22"/>
                <w:lang w:eastAsia="cs-CZ"/>
              </w:rPr>
            </w:pPr>
            <w:r>
              <w:rPr>
                <w:sz w:val="22"/>
                <w:szCs w:val="22"/>
                <w:lang w:eastAsia="cs-CZ"/>
              </w:rPr>
              <w:t>8</w:t>
            </w:r>
          </w:p>
        </w:tc>
        <w:tc>
          <w:tcPr>
            <w:tcW w:w="3720" w:type="dxa"/>
          </w:tcPr>
          <w:p w:rsidR="00EA4E16" w:rsidRDefault="003B3454">
            <w:pPr>
              <w:rPr>
                <w:sz w:val="22"/>
                <w:szCs w:val="22"/>
                <w:lang w:eastAsia="cs-CZ"/>
              </w:rPr>
            </w:pPr>
            <w:r>
              <w:rPr>
                <w:sz w:val="22"/>
                <w:szCs w:val="22"/>
                <w:lang w:eastAsia="cs-CZ"/>
              </w:rPr>
              <w:t>Neurčenie:</w:t>
            </w:r>
          </w:p>
          <w:p w:rsidR="00EA4E16" w:rsidRDefault="003B3454">
            <w:pPr>
              <w:numPr>
                <w:ilvl w:val="0"/>
                <w:numId w:val="29"/>
              </w:numPr>
              <w:jc w:val="both"/>
              <w:rPr>
                <w:sz w:val="22"/>
                <w:szCs w:val="22"/>
                <w:lang w:eastAsia="cs-CZ"/>
              </w:rPr>
            </w:pPr>
            <w:r>
              <w:rPr>
                <w:sz w:val="22"/>
                <w:szCs w:val="22"/>
                <w:lang w:eastAsia="cs-CZ"/>
              </w:rPr>
              <w:t>podmienok účasti v oznámení,</w:t>
            </w:r>
            <w:r>
              <w:rPr>
                <w:sz w:val="22"/>
                <w:szCs w:val="22"/>
              </w:rPr>
              <w:t xml:space="preserve"> </w:t>
            </w:r>
            <w:r>
              <w:rPr>
                <w:sz w:val="22"/>
                <w:szCs w:val="22"/>
                <w:lang w:eastAsia="cs-CZ"/>
              </w:rPr>
              <w:t>resp. vo výzve na predkladanie ponúk,</w:t>
            </w:r>
          </w:p>
          <w:p w:rsidR="00EA4E16" w:rsidRDefault="003B3454">
            <w:pPr>
              <w:numPr>
                <w:ilvl w:val="0"/>
                <w:numId w:val="29"/>
              </w:numPr>
              <w:jc w:val="both"/>
              <w:rPr>
                <w:sz w:val="22"/>
                <w:szCs w:val="22"/>
                <w:lang w:eastAsia="cs-CZ"/>
              </w:rPr>
            </w:pPr>
            <w:r>
              <w:rPr>
                <w:sz w:val="22"/>
                <w:szCs w:val="22"/>
                <w:lang w:eastAsia="cs-CZ"/>
              </w:rPr>
              <w:t>kritérií na vyhodnotenie ponúk (a váh kritérií) v oznámení, resp. výzve na predkladanie ponúk alebo v súťažných podkladoch</w:t>
            </w:r>
          </w:p>
        </w:tc>
        <w:tc>
          <w:tcPr>
            <w:tcW w:w="6379" w:type="dxa"/>
          </w:tcPr>
          <w:p w:rsidR="00EA4E16" w:rsidRDefault="003B3454">
            <w:pPr>
              <w:jc w:val="both"/>
              <w:rPr>
                <w:sz w:val="22"/>
                <w:szCs w:val="22"/>
                <w:lang w:eastAsia="cs-CZ"/>
              </w:rPr>
            </w:pPr>
            <w:r>
              <w:rPr>
                <w:sz w:val="22"/>
                <w:szCs w:val="22"/>
                <w:lang w:eastAsia="cs-CZ"/>
              </w:rPr>
              <w:t xml:space="preserve">Podmienky účasti sú uvedené iba v súťažných podkladoch a/alebo podmienky účasti publikované v oznámení nie sú v súlade s podmienkami účasti podľa súťažných podkladoch a/alebo kritériá na vyhodnotenie ponúk, vrátane </w:t>
            </w:r>
            <w:proofErr w:type="spellStart"/>
            <w:r>
              <w:rPr>
                <w:sz w:val="22"/>
                <w:szCs w:val="22"/>
                <w:lang w:eastAsia="cs-CZ"/>
              </w:rPr>
              <w:t>váhovosti</w:t>
            </w:r>
            <w:proofErr w:type="spellEnd"/>
            <w:r>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EA4E16">
        <w:tc>
          <w:tcPr>
            <w:tcW w:w="675" w:type="dxa"/>
            <w:vAlign w:val="center"/>
          </w:tcPr>
          <w:p w:rsidR="00EA4E16" w:rsidRDefault="003B3454">
            <w:pPr>
              <w:jc w:val="center"/>
              <w:rPr>
                <w:sz w:val="22"/>
                <w:szCs w:val="22"/>
                <w:lang w:eastAsia="cs-CZ"/>
              </w:rPr>
            </w:pPr>
            <w:r>
              <w:rPr>
                <w:sz w:val="22"/>
                <w:szCs w:val="22"/>
                <w:lang w:eastAsia="cs-CZ"/>
              </w:rPr>
              <w:t>9</w:t>
            </w:r>
          </w:p>
        </w:tc>
        <w:tc>
          <w:tcPr>
            <w:tcW w:w="3720" w:type="dxa"/>
          </w:tcPr>
          <w:p w:rsidR="00EA4E16" w:rsidRDefault="003B3454">
            <w:pPr>
              <w:rPr>
                <w:sz w:val="22"/>
                <w:szCs w:val="22"/>
                <w:lang w:eastAsia="cs-CZ"/>
              </w:rPr>
            </w:pPr>
            <w:r>
              <w:rPr>
                <w:sz w:val="22"/>
                <w:szCs w:val="22"/>
                <w:lang w:eastAsia="cs-CZ"/>
              </w:rPr>
              <w:t>Nezákonné a/alebo diskriminačné podmienky účasti a/alebo kritéria na vyhodnotenie ponúk stanovené v súťažných pokladoch alebo oznámení</w:t>
            </w:r>
          </w:p>
        </w:tc>
        <w:tc>
          <w:tcPr>
            <w:tcW w:w="6379" w:type="dxa"/>
          </w:tcPr>
          <w:p w:rsidR="00EA4E16" w:rsidRDefault="003B3454">
            <w:pPr>
              <w:jc w:val="both"/>
              <w:rPr>
                <w:sz w:val="22"/>
                <w:szCs w:val="22"/>
                <w:lang w:eastAsia="cs-CZ"/>
              </w:rPr>
            </w:pPr>
            <w:r>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10</w:t>
            </w:r>
          </w:p>
        </w:tc>
        <w:tc>
          <w:tcPr>
            <w:tcW w:w="3720" w:type="dxa"/>
          </w:tcPr>
          <w:p w:rsidR="00EA4E16" w:rsidRDefault="003B3454">
            <w:pPr>
              <w:rPr>
                <w:sz w:val="22"/>
                <w:szCs w:val="22"/>
                <w:lang w:eastAsia="cs-CZ"/>
              </w:rPr>
            </w:pPr>
            <w:r>
              <w:rPr>
                <w:sz w:val="22"/>
                <w:szCs w:val="22"/>
                <w:lang w:eastAsia="cs-CZ"/>
              </w:rPr>
              <w:t>Podmienky účasti nesúvisia a nie sú primerané k predmetu zákazky</w:t>
            </w:r>
          </w:p>
        </w:tc>
        <w:tc>
          <w:tcPr>
            <w:tcW w:w="6379" w:type="dxa"/>
          </w:tcPr>
          <w:p w:rsidR="00EA4E16" w:rsidRDefault="003B3454">
            <w:pPr>
              <w:jc w:val="both"/>
              <w:rPr>
                <w:sz w:val="22"/>
                <w:szCs w:val="22"/>
                <w:lang w:eastAsia="cs-CZ"/>
              </w:rPr>
            </w:pPr>
            <w:r>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11</w:t>
            </w:r>
          </w:p>
        </w:tc>
        <w:tc>
          <w:tcPr>
            <w:tcW w:w="3720" w:type="dxa"/>
          </w:tcPr>
          <w:p w:rsidR="00EA4E16" w:rsidRDefault="003B3454">
            <w:pPr>
              <w:rPr>
                <w:sz w:val="22"/>
                <w:szCs w:val="22"/>
                <w:lang w:eastAsia="cs-CZ"/>
              </w:rPr>
            </w:pPr>
            <w:r>
              <w:rPr>
                <w:sz w:val="22"/>
                <w:szCs w:val="22"/>
                <w:lang w:eastAsia="cs-CZ"/>
              </w:rPr>
              <w:t>Technické špecifikácie predmetu zákazky sú diskriminačné</w:t>
            </w:r>
          </w:p>
        </w:tc>
        <w:tc>
          <w:tcPr>
            <w:tcW w:w="6379" w:type="dxa"/>
          </w:tcPr>
          <w:p w:rsidR="00EA4E16" w:rsidRDefault="003B3454">
            <w:pPr>
              <w:jc w:val="both"/>
              <w:rPr>
                <w:sz w:val="22"/>
                <w:szCs w:val="22"/>
                <w:lang w:eastAsia="cs-CZ"/>
              </w:rPr>
            </w:pPr>
            <w:r>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12</w:t>
            </w:r>
          </w:p>
        </w:tc>
        <w:tc>
          <w:tcPr>
            <w:tcW w:w="3720" w:type="dxa"/>
          </w:tcPr>
          <w:p w:rsidR="00EA4E16" w:rsidRDefault="003B3454">
            <w:pPr>
              <w:rPr>
                <w:sz w:val="22"/>
                <w:szCs w:val="22"/>
                <w:lang w:eastAsia="cs-CZ"/>
              </w:rPr>
            </w:pPr>
            <w:r>
              <w:rPr>
                <w:sz w:val="22"/>
                <w:szCs w:val="22"/>
                <w:lang w:eastAsia="cs-CZ"/>
              </w:rPr>
              <w:t>Nedostatočne opísaný predmet zákazky</w:t>
            </w:r>
          </w:p>
        </w:tc>
        <w:tc>
          <w:tcPr>
            <w:tcW w:w="6379" w:type="dxa"/>
          </w:tcPr>
          <w:p w:rsidR="00EA4E16" w:rsidRDefault="003B3454">
            <w:pPr>
              <w:jc w:val="both"/>
              <w:rPr>
                <w:sz w:val="22"/>
                <w:szCs w:val="22"/>
                <w:lang w:eastAsia="cs-CZ"/>
              </w:rPr>
            </w:pPr>
            <w:r>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Pr>
                <w:sz w:val="22"/>
                <w:szCs w:val="22"/>
                <w:vertAlign w:val="superscript"/>
                <w:lang w:eastAsia="cs-CZ"/>
              </w:rPr>
              <w:t xml:space="preserve"> </w:t>
            </w:r>
            <w:r>
              <w:rPr>
                <w:sz w:val="22"/>
                <w:szCs w:val="22"/>
                <w:vertAlign w:val="superscript"/>
                <w:lang w:eastAsia="cs-CZ"/>
              </w:rPr>
              <w:footnoteReference w:id="4"/>
            </w:r>
          </w:p>
        </w:tc>
        <w:tc>
          <w:tcPr>
            <w:tcW w:w="3260" w:type="dxa"/>
          </w:tcPr>
          <w:p w:rsidR="00EA4E16" w:rsidRDefault="003B3454">
            <w:pPr>
              <w:rPr>
                <w:sz w:val="22"/>
                <w:szCs w:val="22"/>
                <w:lang w:eastAsia="cs-CZ"/>
              </w:rPr>
            </w:pPr>
            <w:r>
              <w:rPr>
                <w:sz w:val="22"/>
                <w:szCs w:val="22"/>
                <w:lang w:eastAsia="cs-CZ"/>
              </w:rPr>
              <w:t>10 %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5 % v závislosti od závažnosti porušenia</w:t>
            </w:r>
          </w:p>
          <w:p w:rsidR="00EA4E16" w:rsidRDefault="00EA4E16">
            <w:pPr>
              <w:rPr>
                <w:sz w:val="22"/>
                <w:szCs w:val="22"/>
                <w:lang w:eastAsia="cs-CZ"/>
              </w:rPr>
            </w:pPr>
          </w:p>
          <w:p w:rsidR="00EA4E16" w:rsidRDefault="003B3454">
            <w:pPr>
              <w:rPr>
                <w:sz w:val="22"/>
                <w:szCs w:val="22"/>
                <w:lang w:eastAsia="cs-CZ"/>
              </w:rPr>
            </w:pPr>
            <w:r>
              <w:rPr>
                <w:sz w:val="22"/>
                <w:szCs w:val="22"/>
                <w:lang w:eastAsia="cs-CZ"/>
              </w:rPr>
              <w:t>V prípade zrealizovaných prác, ktoré neboli zverejnené, zodpovedajúca hodnota prác je predmetom 100 % korekcie</w:t>
            </w:r>
          </w:p>
        </w:tc>
      </w:tr>
      <w:tr w:rsidR="00EA4E16">
        <w:tc>
          <w:tcPr>
            <w:tcW w:w="14034" w:type="dxa"/>
            <w:gridSpan w:val="4"/>
            <w:shd w:val="clear" w:color="auto" w:fill="BFBFBF"/>
            <w:vAlign w:val="center"/>
          </w:tcPr>
          <w:p w:rsidR="00EA4E16" w:rsidRDefault="003B3454">
            <w:pPr>
              <w:jc w:val="center"/>
              <w:rPr>
                <w:sz w:val="22"/>
                <w:szCs w:val="22"/>
                <w:lang w:eastAsia="cs-CZ"/>
              </w:rPr>
            </w:pPr>
            <w:r>
              <w:rPr>
                <w:b/>
                <w:sz w:val="22"/>
                <w:szCs w:val="22"/>
                <w:lang w:eastAsia="cs-CZ"/>
              </w:rPr>
              <w:t>Vyhodnocovanie súťaže</w:t>
            </w:r>
          </w:p>
        </w:tc>
      </w:tr>
      <w:tr w:rsidR="00EA4E16">
        <w:tc>
          <w:tcPr>
            <w:tcW w:w="675" w:type="dxa"/>
            <w:vAlign w:val="center"/>
          </w:tcPr>
          <w:p w:rsidR="00EA4E16" w:rsidRDefault="003B3454">
            <w:pPr>
              <w:jc w:val="center"/>
              <w:rPr>
                <w:sz w:val="22"/>
                <w:szCs w:val="22"/>
                <w:lang w:eastAsia="cs-CZ"/>
              </w:rPr>
            </w:pPr>
            <w:r>
              <w:rPr>
                <w:sz w:val="22"/>
                <w:szCs w:val="22"/>
                <w:lang w:eastAsia="cs-CZ"/>
              </w:rPr>
              <w:t>13</w:t>
            </w:r>
          </w:p>
        </w:tc>
        <w:tc>
          <w:tcPr>
            <w:tcW w:w="3720" w:type="dxa"/>
          </w:tcPr>
          <w:p w:rsidR="00EA4E16" w:rsidRDefault="003B3454">
            <w:pPr>
              <w:rPr>
                <w:sz w:val="22"/>
                <w:szCs w:val="22"/>
                <w:lang w:eastAsia="cs-CZ"/>
              </w:rPr>
            </w:pPr>
            <w:r>
              <w:rPr>
                <w:sz w:val="22"/>
                <w:szCs w:val="22"/>
                <w:lang w:eastAsia="cs-CZ"/>
              </w:rPr>
              <w:t>Úprava podmienok účasti po otvorení ponúk/žiadostí o účasť, čo malo za následok nesprávne prijatie ponuky uchádzača/žiadosti o účasť záujemcu</w:t>
            </w:r>
          </w:p>
        </w:tc>
        <w:tc>
          <w:tcPr>
            <w:tcW w:w="6379" w:type="dxa"/>
          </w:tcPr>
          <w:p w:rsidR="00EA4E16" w:rsidRDefault="003B3454">
            <w:pPr>
              <w:jc w:val="both"/>
              <w:rPr>
                <w:sz w:val="22"/>
                <w:szCs w:val="22"/>
                <w:lang w:eastAsia="cs-CZ"/>
              </w:rPr>
            </w:pPr>
            <w:r>
              <w:rPr>
                <w:sz w:val="22"/>
                <w:szCs w:val="22"/>
                <w:lang w:eastAsia="cs-CZ"/>
              </w:rPr>
              <w:t>Podmienky účasti boli upravené počas vyhodnotenia splnenia podmienok účasti, čo malo za následok prijatie uchádzačov/záujemcov, ktorých ponuky by neboli  prijaté, ak by sa postupovalo podľa zverejnených podmienok účasti.</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14</w:t>
            </w:r>
          </w:p>
        </w:tc>
        <w:tc>
          <w:tcPr>
            <w:tcW w:w="3720" w:type="dxa"/>
          </w:tcPr>
          <w:p w:rsidR="00EA4E16" w:rsidRDefault="003B3454">
            <w:pPr>
              <w:rPr>
                <w:sz w:val="22"/>
                <w:szCs w:val="22"/>
                <w:lang w:eastAsia="cs-CZ"/>
              </w:rPr>
            </w:pPr>
            <w:r>
              <w:rPr>
                <w:sz w:val="22"/>
                <w:szCs w:val="22"/>
                <w:lang w:eastAsia="cs-CZ"/>
              </w:rPr>
              <w:t>Úprava podmienok účasti po otvorení ponúk/žiadostí o účasť, čo malo za následok nesprávne vylúčenie uchádzača/záujemcu</w:t>
            </w:r>
          </w:p>
        </w:tc>
        <w:tc>
          <w:tcPr>
            <w:tcW w:w="6379" w:type="dxa"/>
          </w:tcPr>
          <w:p w:rsidR="00EA4E16" w:rsidRDefault="003B3454">
            <w:pPr>
              <w:jc w:val="both"/>
              <w:rPr>
                <w:sz w:val="22"/>
                <w:szCs w:val="22"/>
                <w:lang w:eastAsia="cs-CZ"/>
              </w:rPr>
            </w:pPr>
            <w:r>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15</w:t>
            </w:r>
          </w:p>
        </w:tc>
        <w:tc>
          <w:tcPr>
            <w:tcW w:w="3720" w:type="dxa"/>
          </w:tcPr>
          <w:p w:rsidR="00EA4E16" w:rsidRDefault="003B3454">
            <w:pPr>
              <w:rPr>
                <w:sz w:val="22"/>
                <w:szCs w:val="22"/>
                <w:lang w:eastAsia="cs-CZ"/>
              </w:rPr>
            </w:pPr>
            <w:r>
              <w:rPr>
                <w:sz w:val="22"/>
                <w:szCs w:val="22"/>
                <w:lang w:eastAsia="cs-CZ"/>
              </w:rPr>
              <w:t xml:space="preserve">Vyhodnocovanie ponúk uchádzačov/žiadostí o účasť záujemcov v rozpore s podmienkami účasti uvedenými v oznámení a súťažných podkladoch a/alebo vyhodnocovanie ponúk uchádzačov v rozpore s </w:t>
            </w:r>
            <w:r>
              <w:rPr>
                <w:sz w:val="22"/>
                <w:szCs w:val="22"/>
                <w:lang w:eastAsia="cs-CZ"/>
              </w:rPr>
              <w:lastRenderedPageBreak/>
              <w:t>kritériami na vyhodnotenie ponúk a pravidlami na ich uplatnenie</w:t>
            </w:r>
          </w:p>
        </w:tc>
        <w:tc>
          <w:tcPr>
            <w:tcW w:w="6379" w:type="dxa"/>
          </w:tcPr>
          <w:p w:rsidR="00EA4E16" w:rsidRDefault="003B3454">
            <w:pPr>
              <w:jc w:val="both"/>
              <w:rPr>
                <w:sz w:val="22"/>
                <w:szCs w:val="22"/>
                <w:lang w:eastAsia="cs-CZ"/>
              </w:rPr>
            </w:pPr>
            <w:r>
              <w:rPr>
                <w:sz w:val="22"/>
                <w:szCs w:val="22"/>
                <w:lang w:eastAsia="cs-CZ"/>
              </w:rPr>
              <w:lastRenderedPageBreak/>
              <w:t>Počas hodnotenia uchádzačov/záujemcov, boli ako kritéria na vyhodnotenie ponúk  použité podmienky účasti alebo neboli dodržané kritéria  na vyhodnotenie ponúk.</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 xml:space="preserve">Počas hodnotenia uchádzačov/záujemcov neboli dodržané podmienky účasti alebo kritéria na vyhodnocovanie ponúk (resp. </w:t>
            </w:r>
            <w:proofErr w:type="spellStart"/>
            <w:r>
              <w:rPr>
                <w:sz w:val="22"/>
                <w:szCs w:val="22"/>
                <w:lang w:eastAsia="cs-CZ"/>
              </w:rPr>
              <w:lastRenderedPageBreak/>
              <w:t>podkritériá</w:t>
            </w:r>
            <w:proofErr w:type="spellEnd"/>
            <w:r>
              <w:rPr>
                <w:sz w:val="22"/>
                <w:szCs w:val="22"/>
                <w:lang w:eastAsia="cs-CZ"/>
              </w:rPr>
              <w:t xml:space="preserve"> alebo váhy kritérií) definované v oznámení alebo v súťažných podkladoch, čo malo za následok vyhodnocovanie ponúk v rozpore s oznámením a súťažnými podkladmi Príklad: </w:t>
            </w:r>
            <w:proofErr w:type="spellStart"/>
            <w:r>
              <w:rPr>
                <w:sz w:val="22"/>
                <w:szCs w:val="22"/>
                <w:lang w:eastAsia="cs-CZ"/>
              </w:rPr>
              <w:t>Podkritéria</w:t>
            </w:r>
            <w:proofErr w:type="spellEnd"/>
            <w:r>
              <w:rPr>
                <w:sz w:val="22"/>
                <w:szCs w:val="22"/>
                <w:lang w:eastAsia="cs-CZ"/>
              </w:rPr>
              <w:t xml:space="preserve"> použité pri zadaní zákazky nesúvisia s kritériami na vyhodnotenie ponúk uvedenými v oznámení/súťažných podkladoch</w:t>
            </w:r>
          </w:p>
        </w:tc>
        <w:tc>
          <w:tcPr>
            <w:tcW w:w="3260" w:type="dxa"/>
          </w:tcPr>
          <w:p w:rsidR="00EA4E16" w:rsidRDefault="003B3454">
            <w:pPr>
              <w:rPr>
                <w:sz w:val="22"/>
                <w:szCs w:val="22"/>
                <w:lang w:eastAsia="cs-CZ"/>
              </w:rPr>
            </w:pPr>
            <w:r>
              <w:rPr>
                <w:sz w:val="22"/>
                <w:szCs w:val="22"/>
                <w:lang w:eastAsia="cs-CZ"/>
              </w:rPr>
              <w:lastRenderedPageBreak/>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16</w:t>
            </w:r>
          </w:p>
        </w:tc>
        <w:tc>
          <w:tcPr>
            <w:tcW w:w="3720" w:type="dxa"/>
          </w:tcPr>
          <w:p w:rsidR="00EA4E16" w:rsidRDefault="003B3454">
            <w:pPr>
              <w:rPr>
                <w:sz w:val="22"/>
                <w:szCs w:val="22"/>
                <w:lang w:eastAsia="cs-CZ"/>
              </w:rPr>
            </w:pPr>
            <w:r>
              <w:rPr>
                <w:sz w:val="22"/>
                <w:szCs w:val="22"/>
                <w:lang w:eastAsia="cs-CZ"/>
              </w:rPr>
              <w:t>Nedodržiavanie zásady transparentnosti a/alebo rovnakého zaobchádzania počas postupu zadávania zákazky</w:t>
            </w:r>
          </w:p>
        </w:tc>
        <w:tc>
          <w:tcPr>
            <w:tcW w:w="6379" w:type="dxa"/>
          </w:tcPr>
          <w:p w:rsidR="00EA4E16" w:rsidRDefault="003B3454">
            <w:pPr>
              <w:jc w:val="both"/>
              <w:rPr>
                <w:sz w:val="22"/>
                <w:szCs w:val="22"/>
                <w:lang w:eastAsia="cs-CZ"/>
              </w:rPr>
            </w:pPr>
            <w:r>
              <w:rPr>
                <w:sz w:val="22"/>
                <w:szCs w:val="22"/>
                <w:lang w:eastAsia="cs-CZ"/>
              </w:rPr>
              <w:t>Písomné zachytenie procesu týkajúceho sa konkrétneho prideľovania bodov pre každú ponuku je nejasný/neoprávnený/nedostatočný z hľadiska transparentnosti alebo neexistuje.</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Zápisnica z vyhodnotenia neexistuje alebo neobsahuje všetky podstatné prvky vyžadované zákonom o VO</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Umožnenie obhliadky miesta na dodanie predmetu zákazky iba niektorým záujemcom.</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Nezaslanie oznámenia o výsledku vyhodnotenia ponúk niektorým záujemcom, ktorí boli vyhodnotení ako neúspešní</w:t>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Verejný obstarávateľ porušil povinnosť podľa § 33 ods. 6 zákona o VO požiadať o vysvetlenie alebo doplnenie predložených dokladov vždy, keď z predložených dokladov nemožno posúdiť ich platnosť alebo splnenie podmienky účasti</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17</w:t>
            </w:r>
          </w:p>
        </w:tc>
        <w:tc>
          <w:tcPr>
            <w:tcW w:w="3720" w:type="dxa"/>
          </w:tcPr>
          <w:p w:rsidR="00EA4E16" w:rsidRDefault="003B3454">
            <w:pPr>
              <w:rPr>
                <w:sz w:val="22"/>
                <w:szCs w:val="22"/>
                <w:lang w:eastAsia="cs-CZ"/>
              </w:rPr>
            </w:pPr>
            <w:r>
              <w:rPr>
                <w:sz w:val="22"/>
                <w:szCs w:val="22"/>
                <w:lang w:eastAsia="cs-CZ"/>
              </w:rPr>
              <w:t>Modifikácia (zmena) ponuky počas hodnotenia ponúk</w:t>
            </w:r>
          </w:p>
        </w:tc>
        <w:tc>
          <w:tcPr>
            <w:tcW w:w="6379" w:type="dxa"/>
          </w:tcPr>
          <w:p w:rsidR="00EA4E16" w:rsidRDefault="003B3454">
            <w:pPr>
              <w:jc w:val="both"/>
              <w:rPr>
                <w:sz w:val="22"/>
                <w:szCs w:val="22"/>
                <w:lang w:eastAsia="cs-CZ"/>
              </w:rPr>
            </w:pPr>
            <w:r>
              <w:rPr>
                <w:sz w:val="22"/>
                <w:szCs w:val="22"/>
                <w:lang w:eastAsia="cs-CZ"/>
              </w:rPr>
              <w:t>Verejný obstarávateľ umožní uchádzačovi/záujemcovi modifikovať (zmeniť) jeho ponuku počas hodnotenia ponúk</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18</w:t>
            </w:r>
          </w:p>
        </w:tc>
        <w:tc>
          <w:tcPr>
            <w:tcW w:w="3720" w:type="dxa"/>
          </w:tcPr>
          <w:p w:rsidR="00EA4E16" w:rsidRDefault="003B3454">
            <w:pPr>
              <w:rPr>
                <w:sz w:val="22"/>
                <w:szCs w:val="22"/>
                <w:lang w:eastAsia="cs-CZ"/>
              </w:rPr>
            </w:pPr>
            <w:r>
              <w:rPr>
                <w:sz w:val="22"/>
                <w:szCs w:val="22"/>
                <w:lang w:eastAsia="cs-CZ"/>
              </w:rPr>
              <w:t>Rokovanie v priebehu súťaže</w:t>
            </w:r>
          </w:p>
        </w:tc>
        <w:tc>
          <w:tcPr>
            <w:tcW w:w="6379" w:type="dxa"/>
          </w:tcPr>
          <w:p w:rsidR="00EA4E16" w:rsidRDefault="003B3454">
            <w:pPr>
              <w:jc w:val="both"/>
              <w:rPr>
                <w:sz w:val="22"/>
                <w:szCs w:val="22"/>
                <w:lang w:eastAsia="cs-CZ"/>
              </w:rPr>
            </w:pPr>
            <w:r>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tcPr>
          <w:p w:rsidR="00EA4E16" w:rsidRDefault="003B3454">
            <w:pPr>
              <w:rPr>
                <w:sz w:val="22"/>
                <w:szCs w:val="22"/>
                <w:lang w:eastAsia="cs-CZ"/>
              </w:rPr>
            </w:pPr>
            <w:r>
              <w:rPr>
                <w:sz w:val="22"/>
                <w:szCs w:val="22"/>
                <w:lang w:eastAsia="cs-CZ"/>
              </w:rPr>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t>19</w:t>
            </w:r>
          </w:p>
        </w:tc>
        <w:tc>
          <w:tcPr>
            <w:tcW w:w="3720" w:type="dxa"/>
          </w:tcPr>
          <w:p w:rsidR="00EA4E16" w:rsidRDefault="003B3454">
            <w:pPr>
              <w:rPr>
                <w:sz w:val="22"/>
                <w:szCs w:val="22"/>
                <w:lang w:eastAsia="cs-CZ"/>
              </w:rPr>
            </w:pPr>
            <w:r>
              <w:rPr>
                <w:sz w:val="22"/>
                <w:szCs w:val="22"/>
                <w:lang w:eastAsia="cs-CZ"/>
              </w:rPr>
              <w:t xml:space="preserve">V rámci rokovacieho konania so zverejnením nastala podstatná </w:t>
            </w:r>
            <w:r>
              <w:rPr>
                <w:sz w:val="22"/>
                <w:szCs w:val="22"/>
                <w:lang w:eastAsia="cs-CZ"/>
              </w:rPr>
              <w:lastRenderedPageBreak/>
              <w:t>modifikácia (zmena) podmienok uvedených v oznámení alebo v súťažných podkladoch</w:t>
            </w:r>
            <w:r>
              <w:rPr>
                <w:sz w:val="22"/>
                <w:szCs w:val="22"/>
                <w:vertAlign w:val="superscript"/>
                <w:lang w:eastAsia="cs-CZ"/>
              </w:rPr>
              <w:footnoteReference w:id="5"/>
            </w:r>
          </w:p>
        </w:tc>
        <w:tc>
          <w:tcPr>
            <w:tcW w:w="6379" w:type="dxa"/>
          </w:tcPr>
          <w:p w:rsidR="00EA4E16" w:rsidRDefault="003B3454">
            <w:pPr>
              <w:jc w:val="both"/>
              <w:rPr>
                <w:sz w:val="22"/>
                <w:szCs w:val="22"/>
                <w:lang w:eastAsia="cs-CZ"/>
              </w:rPr>
            </w:pPr>
            <w:r>
              <w:rPr>
                <w:sz w:val="22"/>
                <w:szCs w:val="22"/>
                <w:lang w:eastAsia="cs-CZ"/>
              </w:rPr>
              <w:lastRenderedPageBreak/>
              <w:t xml:space="preserve">V rokovacom konaní  so zverejnením pôvodné podmienky zákazky boli podstatným spôsobom zmenené, čo by bolo dôvodom na </w:t>
            </w:r>
            <w:r>
              <w:rPr>
                <w:sz w:val="22"/>
                <w:szCs w:val="22"/>
                <w:lang w:eastAsia="cs-CZ"/>
              </w:rPr>
              <w:lastRenderedPageBreak/>
              <w:t>vyhlásenie novej zákazky a/alebo zmenou podmienok zákazka prestala spĺňať podmienky odôvodňujúce použitie rokovacieho konania so zverejnením</w:t>
            </w:r>
          </w:p>
        </w:tc>
        <w:tc>
          <w:tcPr>
            <w:tcW w:w="3260" w:type="dxa"/>
          </w:tcPr>
          <w:p w:rsidR="00EA4E16" w:rsidRDefault="003B3454">
            <w:pPr>
              <w:rPr>
                <w:sz w:val="22"/>
                <w:szCs w:val="22"/>
                <w:lang w:eastAsia="cs-CZ"/>
              </w:rPr>
            </w:pPr>
            <w:r>
              <w:rPr>
                <w:sz w:val="22"/>
                <w:szCs w:val="22"/>
                <w:lang w:eastAsia="cs-CZ"/>
              </w:rPr>
              <w:lastRenderedPageBreak/>
              <w:t>25 %</w:t>
            </w:r>
          </w:p>
          <w:p w:rsidR="00EA4E16" w:rsidRDefault="00EA4E16">
            <w:pPr>
              <w:rPr>
                <w:sz w:val="22"/>
                <w:szCs w:val="22"/>
                <w:lang w:eastAsia="cs-CZ"/>
              </w:rPr>
            </w:pPr>
          </w:p>
          <w:p w:rsidR="00EA4E16" w:rsidRDefault="003B3454">
            <w:pPr>
              <w:rPr>
                <w:sz w:val="22"/>
                <w:szCs w:val="22"/>
                <w:lang w:eastAsia="cs-CZ"/>
              </w:rPr>
            </w:pPr>
            <w:r>
              <w:rPr>
                <w:sz w:val="22"/>
                <w:szCs w:val="22"/>
                <w:lang w:eastAsia="cs-CZ"/>
              </w:rPr>
              <w:lastRenderedPageBreak/>
              <w:t>Táto sadzba môže byť znížená na 10 % alebo 5 % v závislosti od závažnosti porušenia</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20</w:t>
            </w:r>
          </w:p>
        </w:tc>
        <w:tc>
          <w:tcPr>
            <w:tcW w:w="3720" w:type="dxa"/>
          </w:tcPr>
          <w:p w:rsidR="00EA4E16" w:rsidRDefault="003B3454">
            <w:pPr>
              <w:rPr>
                <w:sz w:val="22"/>
                <w:szCs w:val="22"/>
                <w:lang w:eastAsia="cs-CZ"/>
              </w:rPr>
            </w:pPr>
            <w:r>
              <w:rPr>
                <w:sz w:val="22"/>
                <w:szCs w:val="22"/>
                <w:lang w:eastAsia="cs-CZ"/>
              </w:rPr>
              <w:t>Odmietnutie mimoriadne nízkej ponuky</w:t>
            </w:r>
          </w:p>
        </w:tc>
        <w:tc>
          <w:tcPr>
            <w:tcW w:w="6379" w:type="dxa"/>
          </w:tcPr>
          <w:p w:rsidR="00EA4E16" w:rsidRDefault="003B3454">
            <w:pPr>
              <w:jc w:val="both"/>
              <w:rPr>
                <w:sz w:val="22"/>
                <w:szCs w:val="22"/>
                <w:lang w:eastAsia="cs-CZ"/>
              </w:rPr>
            </w:pPr>
            <w:r>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tcPr>
          <w:p w:rsidR="00EA4E16" w:rsidRDefault="003B3454">
            <w:pPr>
              <w:rPr>
                <w:sz w:val="22"/>
                <w:szCs w:val="22"/>
                <w:lang w:eastAsia="cs-CZ"/>
              </w:rPr>
            </w:pPr>
            <w:r>
              <w:rPr>
                <w:sz w:val="22"/>
                <w:szCs w:val="22"/>
                <w:lang w:eastAsia="cs-CZ"/>
              </w:rPr>
              <w:t>25 %</w:t>
            </w:r>
          </w:p>
        </w:tc>
      </w:tr>
      <w:tr w:rsidR="00EA4E16">
        <w:tc>
          <w:tcPr>
            <w:tcW w:w="675" w:type="dxa"/>
            <w:vAlign w:val="center"/>
          </w:tcPr>
          <w:p w:rsidR="00EA4E16" w:rsidRDefault="003B3454">
            <w:pPr>
              <w:jc w:val="center"/>
              <w:rPr>
                <w:sz w:val="22"/>
                <w:szCs w:val="22"/>
                <w:lang w:eastAsia="cs-CZ"/>
              </w:rPr>
            </w:pPr>
            <w:r>
              <w:rPr>
                <w:sz w:val="22"/>
                <w:szCs w:val="22"/>
                <w:lang w:eastAsia="cs-CZ"/>
              </w:rPr>
              <w:t>21</w:t>
            </w:r>
          </w:p>
        </w:tc>
        <w:tc>
          <w:tcPr>
            <w:tcW w:w="3720" w:type="dxa"/>
          </w:tcPr>
          <w:p w:rsidR="00EA4E16" w:rsidRDefault="003B3454">
            <w:pPr>
              <w:rPr>
                <w:sz w:val="22"/>
                <w:szCs w:val="22"/>
                <w:lang w:eastAsia="cs-CZ"/>
              </w:rPr>
            </w:pPr>
            <w:r>
              <w:rPr>
                <w:sz w:val="22"/>
                <w:szCs w:val="22"/>
                <w:lang w:eastAsia="cs-CZ"/>
              </w:rPr>
              <w:t>Konflikt záujmov</w:t>
            </w:r>
          </w:p>
        </w:tc>
        <w:tc>
          <w:tcPr>
            <w:tcW w:w="6379" w:type="dxa"/>
          </w:tcPr>
          <w:p w:rsidR="00EA4E16" w:rsidRDefault="003B3454">
            <w:pPr>
              <w:jc w:val="both"/>
              <w:rPr>
                <w:sz w:val="22"/>
                <w:szCs w:val="22"/>
                <w:lang w:eastAsia="cs-CZ"/>
              </w:rPr>
            </w:pPr>
            <w:r>
              <w:rPr>
                <w:sz w:val="22"/>
                <w:szCs w:val="22"/>
                <w:lang w:eastAsia="cs-CZ"/>
              </w:rPr>
              <w:t>Konflikt záujmov medzi verejným obstarávateľom/prijímateľom a uchádzačom alebo záujemcom preukázaný zodpovedným súdnym alebo úradným orgánom</w:t>
            </w:r>
            <w:r>
              <w:rPr>
                <w:rStyle w:val="Odkaznapoznmkupodiarou"/>
                <w:sz w:val="22"/>
                <w:szCs w:val="22"/>
                <w:lang w:eastAsia="cs-CZ"/>
              </w:rPr>
              <w:footnoteReference w:id="6"/>
            </w:r>
          </w:p>
        </w:tc>
        <w:tc>
          <w:tcPr>
            <w:tcW w:w="3260" w:type="dxa"/>
          </w:tcPr>
          <w:p w:rsidR="00EA4E16" w:rsidRDefault="003B3454">
            <w:pPr>
              <w:rPr>
                <w:sz w:val="22"/>
                <w:szCs w:val="22"/>
                <w:lang w:eastAsia="cs-CZ"/>
              </w:rPr>
            </w:pPr>
            <w:r>
              <w:rPr>
                <w:sz w:val="22"/>
                <w:szCs w:val="22"/>
                <w:lang w:eastAsia="cs-CZ"/>
              </w:rPr>
              <w:t>100 %</w:t>
            </w:r>
          </w:p>
        </w:tc>
      </w:tr>
      <w:tr w:rsidR="00EA4E16">
        <w:tc>
          <w:tcPr>
            <w:tcW w:w="14034" w:type="dxa"/>
            <w:gridSpan w:val="4"/>
            <w:shd w:val="clear" w:color="auto" w:fill="BFBFBF"/>
            <w:vAlign w:val="center"/>
          </w:tcPr>
          <w:p w:rsidR="00EA4E16" w:rsidRDefault="003B3454">
            <w:pPr>
              <w:jc w:val="center"/>
              <w:rPr>
                <w:b/>
                <w:sz w:val="22"/>
                <w:szCs w:val="22"/>
                <w:lang w:eastAsia="cs-CZ"/>
              </w:rPr>
            </w:pPr>
            <w:r>
              <w:rPr>
                <w:b/>
                <w:sz w:val="22"/>
                <w:szCs w:val="22"/>
                <w:lang w:eastAsia="cs-CZ"/>
              </w:rPr>
              <w:t>Realizácia zákazky</w:t>
            </w:r>
          </w:p>
        </w:tc>
      </w:tr>
      <w:tr w:rsidR="00EA4E16">
        <w:tc>
          <w:tcPr>
            <w:tcW w:w="675" w:type="dxa"/>
            <w:vAlign w:val="center"/>
          </w:tcPr>
          <w:p w:rsidR="00EA4E16" w:rsidRDefault="003B3454">
            <w:pPr>
              <w:jc w:val="center"/>
              <w:rPr>
                <w:sz w:val="22"/>
                <w:szCs w:val="22"/>
                <w:lang w:eastAsia="cs-CZ"/>
              </w:rPr>
            </w:pPr>
            <w:r>
              <w:rPr>
                <w:sz w:val="22"/>
                <w:szCs w:val="22"/>
                <w:lang w:eastAsia="cs-CZ"/>
              </w:rPr>
              <w:t>22</w:t>
            </w:r>
          </w:p>
        </w:tc>
        <w:tc>
          <w:tcPr>
            <w:tcW w:w="3720" w:type="dxa"/>
          </w:tcPr>
          <w:p w:rsidR="00EA4E16" w:rsidRDefault="003B3454">
            <w:pPr>
              <w:rPr>
                <w:sz w:val="22"/>
                <w:szCs w:val="22"/>
                <w:lang w:eastAsia="cs-CZ"/>
              </w:rPr>
            </w:pPr>
            <w:r>
              <w:rPr>
                <w:sz w:val="22"/>
                <w:szCs w:val="22"/>
                <w:lang w:eastAsia="cs-CZ"/>
              </w:rPr>
              <w:t>Podstatná zmena častí podmienok uzatvorenej zmluvy oproti častiam obchodných podmienok uvedených v oznámení alebo v súťažných podkladoch</w:t>
            </w:r>
            <w:r>
              <w:rPr>
                <w:sz w:val="22"/>
                <w:szCs w:val="22"/>
                <w:vertAlign w:val="superscript"/>
                <w:lang w:eastAsia="cs-CZ"/>
              </w:rPr>
              <w:t>9</w:t>
            </w:r>
          </w:p>
        </w:tc>
        <w:tc>
          <w:tcPr>
            <w:tcW w:w="6379" w:type="dxa"/>
          </w:tcPr>
          <w:p w:rsidR="00EA4E16" w:rsidRDefault="003B3454">
            <w:pPr>
              <w:jc w:val="both"/>
              <w:rPr>
                <w:sz w:val="22"/>
                <w:szCs w:val="22"/>
                <w:lang w:eastAsia="cs-CZ"/>
              </w:rPr>
            </w:pPr>
            <w:r>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Pr>
                <w:sz w:val="22"/>
                <w:szCs w:val="22"/>
                <w:vertAlign w:val="superscript"/>
                <w:lang w:eastAsia="cs-CZ"/>
              </w:rPr>
              <w:t>9</w:t>
            </w:r>
            <w:r>
              <w:rPr>
                <w:sz w:val="22"/>
                <w:szCs w:val="22"/>
                <w:lang w:eastAsia="cs-CZ"/>
              </w:rPr>
              <w:t>. Je nevyhnutné vždy posúdiť od prípadu k prípadu, či sa v danom prípade jedná o „podstatnú“ zmenu.</w:t>
            </w:r>
            <w:r>
              <w:rPr>
                <w:sz w:val="22"/>
                <w:szCs w:val="22"/>
                <w:vertAlign w:val="superscript"/>
                <w:lang w:eastAsia="cs-CZ"/>
              </w:rPr>
              <w:footnoteReference w:id="7"/>
            </w:r>
          </w:p>
          <w:p w:rsidR="00EA4E16" w:rsidRDefault="00EA4E16">
            <w:pPr>
              <w:jc w:val="both"/>
              <w:rPr>
                <w:sz w:val="22"/>
                <w:szCs w:val="22"/>
                <w:lang w:eastAsia="cs-CZ"/>
              </w:rPr>
            </w:pPr>
          </w:p>
          <w:p w:rsidR="00EA4E16" w:rsidRDefault="003B3454">
            <w:pPr>
              <w:jc w:val="both"/>
              <w:rPr>
                <w:sz w:val="22"/>
                <w:szCs w:val="22"/>
                <w:lang w:eastAsia="cs-CZ"/>
              </w:rPr>
            </w:pPr>
            <w:r>
              <w:rPr>
                <w:sz w:val="22"/>
                <w:szCs w:val="22"/>
                <w:lang w:eastAsia="cs-CZ"/>
              </w:rPr>
              <w:t>Verejný obstarávateľ uzatvoril dodatok v rozpore so zákazom uvedeným v § 10a ods. 1 zákona o VO</w:t>
            </w:r>
          </w:p>
        </w:tc>
        <w:tc>
          <w:tcPr>
            <w:tcW w:w="3260" w:type="dxa"/>
          </w:tcPr>
          <w:p w:rsidR="00EA4E16" w:rsidRDefault="003B3454">
            <w:pPr>
              <w:rPr>
                <w:sz w:val="22"/>
                <w:szCs w:val="22"/>
                <w:lang w:eastAsia="cs-CZ"/>
              </w:rPr>
            </w:pPr>
            <w:r>
              <w:rPr>
                <w:sz w:val="22"/>
                <w:szCs w:val="22"/>
                <w:lang w:eastAsia="cs-CZ"/>
              </w:rPr>
              <w:t>25 % z ceny zmluvy</w:t>
            </w:r>
          </w:p>
          <w:p w:rsidR="00EA4E16" w:rsidRDefault="00EA4E16">
            <w:pPr>
              <w:rPr>
                <w:sz w:val="22"/>
                <w:szCs w:val="22"/>
                <w:lang w:eastAsia="cs-CZ"/>
              </w:rPr>
            </w:pPr>
          </w:p>
          <w:p w:rsidR="00EA4E16" w:rsidRDefault="003B3454">
            <w:pPr>
              <w:rPr>
                <w:sz w:val="22"/>
                <w:szCs w:val="22"/>
                <w:lang w:eastAsia="cs-CZ"/>
              </w:rPr>
            </w:pPr>
            <w:r>
              <w:rPr>
                <w:sz w:val="22"/>
                <w:szCs w:val="22"/>
                <w:lang w:eastAsia="cs-CZ"/>
              </w:rPr>
              <w:t>plus</w:t>
            </w:r>
          </w:p>
          <w:p w:rsidR="00EA4E16" w:rsidRDefault="00EA4E16">
            <w:pPr>
              <w:rPr>
                <w:sz w:val="22"/>
                <w:szCs w:val="22"/>
                <w:lang w:eastAsia="cs-CZ"/>
              </w:rPr>
            </w:pPr>
          </w:p>
          <w:p w:rsidR="00EA4E16" w:rsidRDefault="003B3454">
            <w:pPr>
              <w:rPr>
                <w:sz w:val="22"/>
                <w:szCs w:val="22"/>
                <w:lang w:eastAsia="cs-CZ"/>
              </w:rPr>
            </w:pPr>
            <w:r>
              <w:rPr>
                <w:sz w:val="22"/>
                <w:szCs w:val="22"/>
                <w:lang w:eastAsia="cs-CZ"/>
              </w:rPr>
              <w:t>hodnota dodatočných výdavkov z plnenia zmluvy vychádzajúcich z podstatných zmien zmluvy</w:t>
            </w:r>
          </w:p>
        </w:tc>
      </w:tr>
      <w:tr w:rsidR="00EA4E16">
        <w:tc>
          <w:tcPr>
            <w:tcW w:w="675" w:type="dxa"/>
            <w:vAlign w:val="center"/>
          </w:tcPr>
          <w:p w:rsidR="00EA4E16" w:rsidRDefault="003B3454">
            <w:pPr>
              <w:jc w:val="center"/>
              <w:rPr>
                <w:sz w:val="22"/>
                <w:szCs w:val="22"/>
                <w:lang w:eastAsia="cs-CZ"/>
              </w:rPr>
            </w:pPr>
            <w:r>
              <w:rPr>
                <w:sz w:val="22"/>
                <w:szCs w:val="22"/>
                <w:lang w:eastAsia="cs-CZ"/>
              </w:rPr>
              <w:t>23</w:t>
            </w:r>
          </w:p>
        </w:tc>
        <w:tc>
          <w:tcPr>
            <w:tcW w:w="3720" w:type="dxa"/>
          </w:tcPr>
          <w:p w:rsidR="00EA4E16" w:rsidRDefault="003B3454">
            <w:pPr>
              <w:rPr>
                <w:sz w:val="22"/>
                <w:szCs w:val="22"/>
                <w:lang w:eastAsia="cs-CZ"/>
              </w:rPr>
            </w:pPr>
            <w:r>
              <w:rPr>
                <w:sz w:val="22"/>
                <w:szCs w:val="22"/>
                <w:lang w:eastAsia="cs-CZ"/>
              </w:rPr>
              <w:t>Zníženie rozsahu zákazky</w:t>
            </w:r>
          </w:p>
        </w:tc>
        <w:tc>
          <w:tcPr>
            <w:tcW w:w="6379" w:type="dxa"/>
          </w:tcPr>
          <w:p w:rsidR="00EA4E16" w:rsidRDefault="003B3454">
            <w:pPr>
              <w:jc w:val="both"/>
              <w:rPr>
                <w:sz w:val="22"/>
                <w:szCs w:val="22"/>
                <w:lang w:eastAsia="cs-CZ"/>
              </w:rPr>
            </w:pPr>
            <w:r>
              <w:rPr>
                <w:sz w:val="22"/>
                <w:szCs w:val="22"/>
                <w:lang w:eastAsia="cs-CZ"/>
              </w:rPr>
              <w:t xml:space="preserve">Zákazka bola zadaná v súlade so zákonom o VO, ale následne bol </w:t>
            </w:r>
            <w:r>
              <w:rPr>
                <w:sz w:val="22"/>
                <w:szCs w:val="22"/>
                <w:lang w:eastAsia="cs-CZ"/>
              </w:rPr>
              <w:lastRenderedPageBreak/>
              <w:t>znížený rozsah zákazky.</w:t>
            </w:r>
          </w:p>
        </w:tc>
        <w:tc>
          <w:tcPr>
            <w:tcW w:w="3260" w:type="dxa"/>
          </w:tcPr>
          <w:p w:rsidR="00EA4E16" w:rsidRDefault="003B3454">
            <w:pPr>
              <w:rPr>
                <w:sz w:val="22"/>
                <w:szCs w:val="22"/>
                <w:lang w:eastAsia="cs-CZ"/>
              </w:rPr>
            </w:pPr>
            <w:r>
              <w:rPr>
                <w:sz w:val="22"/>
                <w:szCs w:val="22"/>
                <w:lang w:eastAsia="cs-CZ"/>
              </w:rPr>
              <w:lastRenderedPageBreak/>
              <w:t>Hodnota zníženia rozsahu</w:t>
            </w:r>
          </w:p>
          <w:p w:rsidR="00EA4E16" w:rsidRDefault="00EA4E16">
            <w:pPr>
              <w:rPr>
                <w:sz w:val="22"/>
                <w:szCs w:val="22"/>
                <w:lang w:eastAsia="cs-CZ"/>
              </w:rPr>
            </w:pPr>
          </w:p>
          <w:p w:rsidR="00EA4E16" w:rsidRDefault="003B3454">
            <w:pPr>
              <w:rPr>
                <w:sz w:val="22"/>
                <w:szCs w:val="22"/>
                <w:lang w:eastAsia="cs-CZ"/>
              </w:rPr>
            </w:pPr>
            <w:r>
              <w:rPr>
                <w:sz w:val="22"/>
                <w:szCs w:val="22"/>
                <w:lang w:eastAsia="cs-CZ"/>
              </w:rPr>
              <w:t>Plus</w:t>
            </w:r>
          </w:p>
          <w:p w:rsidR="00EA4E16" w:rsidRDefault="00EA4E16">
            <w:pPr>
              <w:rPr>
                <w:sz w:val="22"/>
                <w:szCs w:val="22"/>
                <w:lang w:eastAsia="cs-CZ"/>
              </w:rPr>
            </w:pPr>
          </w:p>
          <w:p w:rsidR="00EA4E16" w:rsidRDefault="003B3454">
            <w:pPr>
              <w:rPr>
                <w:sz w:val="22"/>
                <w:szCs w:val="22"/>
                <w:lang w:eastAsia="cs-CZ"/>
              </w:rPr>
            </w:pPr>
            <w:r>
              <w:rPr>
                <w:sz w:val="22"/>
                <w:szCs w:val="22"/>
                <w:lang w:eastAsia="cs-CZ"/>
              </w:rPr>
              <w:t>25 % z hodnoty konečného rozsahu (iba ak zníženie v rozsahu zákazky je podstatné)</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24</w:t>
            </w:r>
          </w:p>
        </w:tc>
        <w:tc>
          <w:tcPr>
            <w:tcW w:w="3720" w:type="dxa"/>
          </w:tcPr>
          <w:p w:rsidR="00EA4E16" w:rsidRDefault="003B3454">
            <w:pPr>
              <w:ind w:left="34"/>
              <w:rPr>
                <w:sz w:val="22"/>
                <w:szCs w:val="22"/>
                <w:lang w:eastAsia="cs-CZ"/>
              </w:rPr>
            </w:pPr>
            <w:r>
              <w:rPr>
                <w:sz w:val="22"/>
                <w:szCs w:val="22"/>
                <w:lang w:eastAsia="cs-CZ"/>
              </w:rPr>
              <w:t>Zákazka na doplňujúce stavebné práce alebo služby (ak takáto zákazka predstavuje podstatnú modifikáciu pôvodných zmluvných podmienok</w:t>
            </w:r>
            <w:r>
              <w:rPr>
                <w:sz w:val="22"/>
                <w:szCs w:val="22"/>
                <w:vertAlign w:val="superscript"/>
                <w:lang w:eastAsia="cs-CZ"/>
              </w:rPr>
              <w:footnoteReference w:id="8"/>
            </w:r>
            <w:r>
              <w:rPr>
                <w:sz w:val="22"/>
                <w:szCs w:val="22"/>
                <w:lang w:eastAsia="cs-CZ"/>
              </w:rPr>
              <w:t>) bola zadaná bez použitia rokovacieho konania bez zverejnenia, resp. priameho rokovacieho konania,</w:t>
            </w:r>
          </w:p>
          <w:p w:rsidR="00EA4E16" w:rsidRDefault="003B3454">
            <w:pPr>
              <w:numPr>
                <w:ilvl w:val="0"/>
                <w:numId w:val="29"/>
              </w:numPr>
              <w:jc w:val="both"/>
              <w:rPr>
                <w:sz w:val="22"/>
                <w:szCs w:val="22"/>
                <w:lang w:eastAsia="cs-CZ"/>
              </w:rPr>
            </w:pPr>
            <w:r>
              <w:rPr>
                <w:sz w:val="22"/>
                <w:szCs w:val="22"/>
                <w:lang w:eastAsia="cs-CZ"/>
              </w:rPr>
              <w:t xml:space="preserve">a/alebo doplňujúce práce alebo služby boli zadané v rozpore s podmienkami uvedenými  v ustanovení § 58 písm. c) alebo i), </w:t>
            </w:r>
            <w:r>
              <w:rPr>
                <w:sz w:val="22"/>
                <w:szCs w:val="22"/>
                <w:vertAlign w:val="superscript"/>
                <w:lang w:eastAsia="cs-CZ"/>
              </w:rPr>
              <w:footnoteReference w:id="9"/>
            </w:r>
          </w:p>
        </w:tc>
        <w:tc>
          <w:tcPr>
            <w:tcW w:w="6379" w:type="dxa"/>
          </w:tcPr>
          <w:p w:rsidR="00EA4E16" w:rsidRDefault="003B3454">
            <w:pPr>
              <w:jc w:val="both"/>
              <w:rPr>
                <w:sz w:val="22"/>
                <w:szCs w:val="22"/>
                <w:lang w:eastAsia="cs-CZ"/>
              </w:rPr>
            </w:pPr>
            <w:r>
              <w:rPr>
                <w:sz w:val="22"/>
                <w:szCs w:val="22"/>
                <w:lang w:eastAsia="cs-CZ"/>
              </w:rPr>
              <w:t>Pôvodná zákazka bola zadaná v súlade s relevantnými ustanoveniami zákona o verejnom obstarávaní, ale dodatočné zákazky na práce/služby neboli zadané v súlade so zákonom o verejnom obstarávaní, t. j. nebolo použité priame rokovacie konanie, resp. neboli splnené podmienky na použitie priameho rokovacieho konania.</w:t>
            </w:r>
          </w:p>
          <w:p w:rsidR="00EA4E16" w:rsidRDefault="00EA4E16">
            <w:pPr>
              <w:jc w:val="both"/>
              <w:rPr>
                <w:sz w:val="22"/>
                <w:szCs w:val="22"/>
                <w:lang w:eastAsia="cs-CZ"/>
              </w:rPr>
            </w:pPr>
          </w:p>
        </w:tc>
        <w:tc>
          <w:tcPr>
            <w:tcW w:w="3260" w:type="dxa"/>
          </w:tcPr>
          <w:p w:rsidR="00EA4E16" w:rsidRDefault="003B3454">
            <w:pPr>
              <w:rPr>
                <w:sz w:val="22"/>
                <w:szCs w:val="22"/>
                <w:lang w:eastAsia="cs-CZ"/>
              </w:rPr>
            </w:pPr>
            <w:r>
              <w:rPr>
                <w:sz w:val="22"/>
                <w:szCs w:val="22"/>
                <w:lang w:eastAsia="cs-CZ"/>
              </w:rPr>
              <w:t>100 % hodnoty dodatočnej zákazky</w:t>
            </w:r>
          </w:p>
          <w:p w:rsidR="00EA4E16" w:rsidRDefault="00EA4E16">
            <w:pPr>
              <w:rPr>
                <w:sz w:val="22"/>
                <w:szCs w:val="22"/>
                <w:lang w:eastAsia="cs-CZ"/>
              </w:rPr>
            </w:pPr>
          </w:p>
          <w:p w:rsidR="00EA4E16" w:rsidRDefault="003B3454">
            <w:pPr>
              <w:rPr>
                <w:sz w:val="22"/>
                <w:szCs w:val="22"/>
                <w:lang w:eastAsia="cs-CZ"/>
              </w:rPr>
            </w:pPr>
            <w:r>
              <w:rPr>
                <w:sz w:val="22"/>
                <w:szCs w:val="22"/>
                <w:lang w:eastAsia="cs-CZ"/>
              </w:rPr>
              <w:t>V prípade, že všetky dodatočné hodnoty prác/tovarov/služieb v dodatočných zákazkách nepresahujú 20 % z hodnoty pôvodnej zákazky a súčasne táto hodnota dodatočných zákaziek sama o sebe nepredstavuje hodnotu nadlimitnej zákazky, môže byť korekcia znížená na  25 % z hodnoty dodatočnej/dodatočných zákaziek</w:t>
            </w:r>
          </w:p>
        </w:tc>
      </w:tr>
      <w:tr w:rsidR="00EA4E16">
        <w:tc>
          <w:tcPr>
            <w:tcW w:w="675" w:type="dxa"/>
            <w:vAlign w:val="center"/>
          </w:tcPr>
          <w:p w:rsidR="00EA4E16" w:rsidRDefault="003B3454">
            <w:pPr>
              <w:jc w:val="center"/>
              <w:rPr>
                <w:sz w:val="22"/>
                <w:szCs w:val="22"/>
                <w:lang w:eastAsia="cs-CZ"/>
              </w:rPr>
            </w:pPr>
            <w:r>
              <w:rPr>
                <w:sz w:val="22"/>
                <w:szCs w:val="22"/>
                <w:lang w:eastAsia="cs-CZ"/>
              </w:rPr>
              <w:t>25</w:t>
            </w:r>
          </w:p>
        </w:tc>
        <w:tc>
          <w:tcPr>
            <w:tcW w:w="3720" w:type="dxa"/>
          </w:tcPr>
          <w:p w:rsidR="00EA4E16" w:rsidRDefault="003B3454">
            <w:pPr>
              <w:rPr>
                <w:sz w:val="22"/>
                <w:szCs w:val="22"/>
                <w:lang w:eastAsia="cs-CZ"/>
              </w:rPr>
            </w:pPr>
            <w:r>
              <w:rPr>
                <w:sz w:val="22"/>
                <w:szCs w:val="22"/>
                <w:lang w:eastAsia="cs-CZ"/>
              </w:rPr>
              <w:t xml:space="preserve">Porušenie povinnosti použiť pri verejnej súťaži, užšej súťaži alebo v rokovacom konaní so zverejnením elektronickú aukciu –nadlimitná, podlimitná zákazka na dodanie tovaru (resp. podlimitná zákazka bez využitia </w:t>
            </w:r>
            <w:r>
              <w:rPr>
                <w:sz w:val="22"/>
                <w:szCs w:val="22"/>
                <w:lang w:eastAsia="cs-CZ"/>
              </w:rPr>
              <w:lastRenderedPageBreak/>
              <w:t>elektronického trhoviska pri tovaroch bežne dostupných na trhu</w:t>
            </w:r>
            <w:r>
              <w:rPr>
                <w:rStyle w:val="Odkaznapoznmkupodiarou"/>
                <w:sz w:val="22"/>
                <w:szCs w:val="22"/>
                <w:lang w:eastAsia="cs-CZ"/>
              </w:rPr>
              <w:footnoteReference w:id="10"/>
            </w:r>
            <w:r>
              <w:rPr>
                <w:sz w:val="22"/>
                <w:szCs w:val="22"/>
                <w:lang w:eastAsia="cs-CZ"/>
              </w:rPr>
              <w:t>)</w:t>
            </w:r>
          </w:p>
        </w:tc>
        <w:tc>
          <w:tcPr>
            <w:tcW w:w="6379" w:type="dxa"/>
          </w:tcPr>
          <w:p w:rsidR="00EA4E16" w:rsidRDefault="003B3454">
            <w:pPr>
              <w:jc w:val="both"/>
              <w:rPr>
                <w:sz w:val="22"/>
                <w:szCs w:val="22"/>
                <w:lang w:eastAsia="cs-CZ"/>
              </w:rPr>
            </w:pPr>
            <w:r>
              <w:rPr>
                <w:sz w:val="22"/>
                <w:szCs w:val="22"/>
                <w:lang w:eastAsia="cs-CZ"/>
              </w:rPr>
              <w:lastRenderedPageBreak/>
              <w:t xml:space="preserve">Verejný obstarávateľ nepostupoval v súlade s § 43 ods. 3 zákona o VO keď pri verejnej nadlimitnej alebo podlimitnej súťaži na dodávku tovarov nepoužil pri zadaní zákazky elektronickú aukciu </w:t>
            </w:r>
          </w:p>
        </w:tc>
        <w:tc>
          <w:tcPr>
            <w:tcW w:w="3260" w:type="dxa"/>
          </w:tcPr>
          <w:p w:rsidR="00EA4E16" w:rsidRDefault="003B3454">
            <w:pPr>
              <w:rPr>
                <w:sz w:val="22"/>
                <w:szCs w:val="22"/>
                <w:lang w:eastAsia="cs-CZ"/>
              </w:rPr>
            </w:pPr>
            <w:r>
              <w:rPr>
                <w:sz w:val="22"/>
                <w:szCs w:val="22"/>
                <w:lang w:eastAsia="cs-CZ"/>
              </w:rPr>
              <w:t xml:space="preserve">10 %. </w:t>
            </w:r>
          </w:p>
          <w:p w:rsidR="00EA4E16" w:rsidRDefault="003B3454">
            <w:pPr>
              <w:rPr>
                <w:sz w:val="22"/>
                <w:szCs w:val="22"/>
                <w:lang w:eastAsia="cs-CZ"/>
              </w:rPr>
            </w:pPr>
            <w:r>
              <w:rPr>
                <w:sz w:val="22"/>
                <w:szCs w:val="22"/>
                <w:lang w:eastAsia="cs-CZ"/>
              </w:rPr>
              <w:t>Táto sadzba môže byť znížená na 5 % podľa závažnosti</w:t>
            </w:r>
          </w:p>
        </w:tc>
      </w:tr>
      <w:tr w:rsidR="00EA4E16">
        <w:tc>
          <w:tcPr>
            <w:tcW w:w="675" w:type="dxa"/>
            <w:vAlign w:val="center"/>
          </w:tcPr>
          <w:p w:rsidR="00EA4E16" w:rsidRDefault="003B3454">
            <w:pPr>
              <w:jc w:val="center"/>
              <w:rPr>
                <w:sz w:val="22"/>
                <w:szCs w:val="22"/>
                <w:lang w:eastAsia="cs-CZ"/>
              </w:rPr>
            </w:pPr>
            <w:r>
              <w:rPr>
                <w:sz w:val="22"/>
                <w:szCs w:val="22"/>
                <w:lang w:eastAsia="cs-CZ"/>
              </w:rPr>
              <w:lastRenderedPageBreak/>
              <w:t>26</w:t>
            </w:r>
          </w:p>
        </w:tc>
        <w:tc>
          <w:tcPr>
            <w:tcW w:w="3720" w:type="dxa"/>
          </w:tcPr>
          <w:p w:rsidR="00EA4E16" w:rsidRDefault="003B3454">
            <w:pPr>
              <w:rPr>
                <w:sz w:val="22"/>
                <w:szCs w:val="22"/>
                <w:lang w:eastAsia="cs-CZ"/>
              </w:rPr>
            </w:pPr>
            <w:r>
              <w:rPr>
                <w:sz w:val="22"/>
                <w:szCs w:val="22"/>
                <w:lang w:eastAsia="cs-CZ"/>
              </w:rPr>
              <w:t>Porušenie povinnosti</w:t>
            </w:r>
            <w:r>
              <w:rPr>
                <w:rStyle w:val="Odkaznapoznmkupodiarou"/>
                <w:sz w:val="22"/>
                <w:szCs w:val="22"/>
                <w:lang w:eastAsia="cs-CZ"/>
              </w:rPr>
              <w:footnoteReference w:id="11"/>
            </w:r>
            <w:r>
              <w:rPr>
                <w:sz w:val="22"/>
                <w:szCs w:val="22"/>
                <w:lang w:eastAsia="cs-CZ"/>
              </w:rPr>
              <w:t xml:space="preserve"> zadávať podlimitnú zákazku na nákup tovarov, stavebných prác alebo služieb, bežne dostupných na trhu, prostredníctvom elektronického trhoviska</w:t>
            </w:r>
          </w:p>
        </w:tc>
        <w:tc>
          <w:tcPr>
            <w:tcW w:w="6379" w:type="dxa"/>
          </w:tcPr>
          <w:p w:rsidR="00EA4E16" w:rsidRDefault="003B3454" w:rsidP="00242D58">
            <w:pPr>
              <w:jc w:val="both"/>
              <w:rPr>
                <w:color w:val="4B4B4B"/>
                <w:sz w:val="22"/>
                <w:szCs w:val="22"/>
              </w:rPr>
            </w:pPr>
            <w:r>
              <w:rPr>
                <w:sz w:val="22"/>
                <w:szCs w:val="22"/>
                <w:lang w:eastAsia="cs-CZ"/>
              </w:rPr>
              <w:t xml:space="preserve">Verejný obstarávateľ nepostupoval podľa </w:t>
            </w:r>
            <w:r>
              <w:rPr>
                <w:color w:val="4B4B4B"/>
                <w:sz w:val="22"/>
                <w:szCs w:val="22"/>
              </w:rPr>
              <w:t xml:space="preserve">§ </w:t>
            </w:r>
            <w:r w:rsidR="00242D58">
              <w:rPr>
                <w:color w:val="4B4B4B"/>
                <w:sz w:val="22"/>
                <w:szCs w:val="22"/>
              </w:rPr>
              <w:t>96</w:t>
            </w:r>
            <w:r>
              <w:rPr>
                <w:color w:val="4B4B4B"/>
                <w:sz w:val="22"/>
                <w:szCs w:val="22"/>
              </w:rPr>
              <w:t xml:space="preserve"> zákona o VO, ak ide o dodanie tovaru, uskutočnenie stavebných prác alebo poskytnutie služby bežne dostupných na trhu, ale na obstarávanie použil postup podľa § 9 ods. 9 zákona o VO alebo postup podľa § 100 až 102 zákona o VO.</w:t>
            </w:r>
          </w:p>
        </w:tc>
        <w:tc>
          <w:tcPr>
            <w:tcW w:w="3260" w:type="dxa"/>
          </w:tcPr>
          <w:p w:rsidR="00EA4E16" w:rsidRDefault="003B3454">
            <w:pPr>
              <w:rPr>
                <w:sz w:val="22"/>
                <w:szCs w:val="22"/>
                <w:lang w:eastAsia="cs-CZ"/>
              </w:rPr>
            </w:pPr>
            <w:r>
              <w:rPr>
                <w:sz w:val="22"/>
                <w:szCs w:val="22"/>
                <w:lang w:eastAsia="cs-CZ"/>
              </w:rPr>
              <w:t xml:space="preserve">10 %. </w:t>
            </w:r>
          </w:p>
          <w:p w:rsidR="00EA4E16" w:rsidRDefault="003B3454">
            <w:pPr>
              <w:rPr>
                <w:sz w:val="22"/>
                <w:szCs w:val="22"/>
                <w:lang w:eastAsia="cs-CZ"/>
              </w:rPr>
            </w:pPr>
            <w:r>
              <w:rPr>
                <w:sz w:val="22"/>
                <w:szCs w:val="22"/>
                <w:lang w:eastAsia="cs-CZ"/>
              </w:rPr>
              <w:t>Táto sadzba môže byť znížená na 5 % podľa závažnosti</w:t>
            </w:r>
          </w:p>
        </w:tc>
      </w:tr>
    </w:tbl>
    <w:p w:rsidR="003B3454" w:rsidRDefault="003B3454">
      <w:pPr>
        <w:rPr>
          <w:sz w:val="22"/>
          <w:szCs w:val="22"/>
        </w:rPr>
      </w:pPr>
    </w:p>
    <w:sectPr w:rsidR="003B3454">
      <w:footerReference w:type="default" r:id="rId8"/>
      <w:headerReference w:type="first" r:id="rId9"/>
      <w:footerReference w:type="first" r:id="rId10"/>
      <w:pgSz w:w="16838" w:h="11906" w:orient="landscape"/>
      <w:pgMar w:top="1417" w:right="1417" w:bottom="1417" w:left="1417"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97" w:rsidRDefault="00E12497">
      <w:r>
        <w:separator/>
      </w:r>
    </w:p>
  </w:endnote>
  <w:endnote w:type="continuationSeparator" w:id="0">
    <w:p w:rsidR="00E12497" w:rsidRDefault="00E1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16" w:rsidRDefault="003B3454">
    <w:pPr>
      <w:tabs>
        <w:tab w:val="center" w:pos="4536"/>
        <w:tab w:val="right" w:pos="9072"/>
      </w:tabs>
      <w:jc w:val="right"/>
    </w:pPr>
    <w:r>
      <w:t xml:space="preserve"> </w:t>
    </w:r>
  </w:p>
  <w:p w:rsidR="00EA4E16" w:rsidRDefault="003B3454">
    <w:pPr>
      <w:pStyle w:val="Pta"/>
      <w:jc w:val="right"/>
      <w:rPr>
        <w:sz w:val="22"/>
      </w:rPr>
    </w:pPr>
    <w:r>
      <w:rPr>
        <w:sz w:val="22"/>
      </w:rPr>
      <w:t xml:space="preserve">Strana </w:t>
    </w:r>
    <w:r>
      <w:rPr>
        <w:b/>
        <w:bCs/>
        <w:sz w:val="22"/>
      </w:rPr>
      <w:fldChar w:fldCharType="begin"/>
    </w:r>
    <w:r>
      <w:rPr>
        <w:b/>
        <w:bCs/>
        <w:sz w:val="22"/>
      </w:rPr>
      <w:instrText>PAGE</w:instrText>
    </w:r>
    <w:r>
      <w:rPr>
        <w:b/>
        <w:bCs/>
        <w:sz w:val="22"/>
      </w:rPr>
      <w:fldChar w:fldCharType="separate"/>
    </w:r>
    <w:r w:rsidR="00EF6E92">
      <w:rPr>
        <w:b/>
        <w:bCs/>
        <w:noProof/>
        <w:sz w:val="22"/>
      </w:rPr>
      <w:t>9</w:t>
    </w:r>
    <w:r>
      <w:rPr>
        <w:b/>
        <w:bCs/>
        <w:sz w:val="22"/>
      </w:rPr>
      <w:fldChar w:fldCharType="end"/>
    </w:r>
    <w:r>
      <w:rPr>
        <w:sz w:val="22"/>
      </w:rPr>
      <w:t xml:space="preserve"> z </w:t>
    </w:r>
    <w:r>
      <w:rPr>
        <w:b/>
        <w:bCs/>
        <w:sz w:val="22"/>
      </w:rPr>
      <w:fldChar w:fldCharType="begin"/>
    </w:r>
    <w:r>
      <w:rPr>
        <w:b/>
        <w:bCs/>
        <w:sz w:val="22"/>
      </w:rPr>
      <w:instrText>NUMPAGES</w:instrText>
    </w:r>
    <w:r>
      <w:rPr>
        <w:b/>
        <w:bCs/>
        <w:sz w:val="22"/>
      </w:rPr>
      <w:fldChar w:fldCharType="separate"/>
    </w:r>
    <w:r w:rsidR="00EF6E92">
      <w:rPr>
        <w:b/>
        <w:bCs/>
        <w:noProof/>
        <w:sz w:val="22"/>
      </w:rPr>
      <w:t>9</w:t>
    </w:r>
    <w:r>
      <w:rPr>
        <w:b/>
        <w:bCs/>
        <w:sz w:val="22"/>
      </w:rPr>
      <w:fldChar w:fldCharType="end"/>
    </w:r>
  </w:p>
  <w:p w:rsidR="00EA4E16" w:rsidRDefault="00EA4E16">
    <w:pPr>
      <w:pStyle w:val="Pta"/>
    </w:pPr>
  </w:p>
  <w:p w:rsidR="00EA4E16" w:rsidRDefault="00EA4E1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16" w:rsidRDefault="003B3454">
    <w:pPr>
      <w:pStyle w:val="Pta"/>
      <w:jc w:val="right"/>
      <w:rPr>
        <w:sz w:val="22"/>
      </w:rPr>
    </w:pPr>
    <w:r>
      <w:rPr>
        <w:sz w:val="22"/>
      </w:rPr>
      <w:t xml:space="preserve">Strana </w:t>
    </w:r>
    <w:r>
      <w:rPr>
        <w:b/>
        <w:bCs/>
        <w:sz w:val="22"/>
      </w:rPr>
      <w:fldChar w:fldCharType="begin"/>
    </w:r>
    <w:r>
      <w:rPr>
        <w:b/>
        <w:bCs/>
        <w:sz w:val="22"/>
      </w:rPr>
      <w:instrText>PAGE</w:instrText>
    </w:r>
    <w:r>
      <w:rPr>
        <w:b/>
        <w:bCs/>
        <w:sz w:val="22"/>
      </w:rPr>
      <w:fldChar w:fldCharType="separate"/>
    </w:r>
    <w:r w:rsidR="00EF6E92">
      <w:rPr>
        <w:b/>
        <w:bCs/>
        <w:noProof/>
        <w:sz w:val="22"/>
      </w:rPr>
      <w:t>1</w:t>
    </w:r>
    <w:r>
      <w:rPr>
        <w:b/>
        <w:bCs/>
        <w:sz w:val="22"/>
      </w:rPr>
      <w:fldChar w:fldCharType="end"/>
    </w:r>
    <w:r>
      <w:rPr>
        <w:sz w:val="22"/>
      </w:rPr>
      <w:t xml:space="preserve"> z </w:t>
    </w:r>
    <w:r>
      <w:rPr>
        <w:b/>
        <w:bCs/>
        <w:sz w:val="22"/>
      </w:rPr>
      <w:t>9</w:t>
    </w:r>
  </w:p>
  <w:p w:rsidR="00EA4E16" w:rsidRDefault="00EA4E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97" w:rsidRDefault="00E12497">
      <w:r>
        <w:separator/>
      </w:r>
    </w:p>
  </w:footnote>
  <w:footnote w:type="continuationSeparator" w:id="0">
    <w:p w:rsidR="00E12497" w:rsidRDefault="00E12497">
      <w:r>
        <w:continuationSeparator/>
      </w:r>
    </w:p>
  </w:footnote>
  <w:footnote w:id="1">
    <w:p w:rsidR="00EA4E16" w:rsidRDefault="003B3454">
      <w:pPr>
        <w:pStyle w:val="Textpoznmkypodiarou"/>
      </w:pPr>
      <w:r>
        <w:rPr>
          <w:rStyle w:val="Odkaznapoznmkupodiarou"/>
        </w:rPr>
        <w:footnoteRef/>
      </w:r>
      <w:r>
        <w:t xml:space="preserve"> </w:t>
      </w:r>
      <w:r>
        <w:rPr>
          <w:sz w:val="18"/>
          <w:szCs w:val="18"/>
        </w:rPr>
        <w:t>Označenie „Verejný obstarávateľ“ sa vzťahuje aj na obstarávateľa v zmysle § 8 zákona o VO a osobu v zmysle § 7 zákona o VO</w:t>
      </w:r>
    </w:p>
  </w:footnote>
  <w:footnote w:id="2">
    <w:p w:rsidR="00EA4E16" w:rsidRDefault="003B3454">
      <w:pPr>
        <w:pStyle w:val="Textpoznmkypodiarou"/>
      </w:pPr>
      <w:r>
        <w:rPr>
          <w:rStyle w:val="Odkaznapoznmkupodiarou"/>
        </w:rPr>
        <w:footnoteRef/>
      </w:r>
      <w:r>
        <w:t xml:space="preserve"> Lehoty sú stanovené pre užšiu súťaž a rokovacie konanie so zverejnením.</w:t>
      </w:r>
    </w:p>
  </w:footnote>
  <w:footnote w:id="3">
    <w:p w:rsidR="00EA4E16" w:rsidRDefault="003B3454">
      <w:pPr>
        <w:pStyle w:val="Textpoznmkypodiarou"/>
      </w:pPr>
      <w:r>
        <w:rPr>
          <w:rStyle w:val="Odkaznapoznmkupodiarou"/>
        </w:rPr>
        <w:footnoteRef/>
      </w:r>
      <w:r>
        <w:t xml:space="preserve"> Lehoty sú stanovené pre užšiu súťaž a rokovacie konanie so zverejnením.</w:t>
      </w:r>
    </w:p>
  </w:footnote>
  <w:footnote w:id="4">
    <w:p w:rsidR="00EA4E16" w:rsidRDefault="003B3454">
      <w:pPr>
        <w:pStyle w:val="Textpoznmkypodiarou"/>
      </w:pPr>
      <w:r>
        <w:rPr>
          <w:rStyle w:val="Odkaznapoznmkupodiarou"/>
        </w:rPr>
        <w:footnoteRef/>
      </w:r>
      <w:r>
        <w:t xml:space="preserve"> Vec C-340/02 (Európska komisia/ Francúzsko) a vec C-299/08 (Európska komisia / Francúzsko)</w:t>
      </w:r>
    </w:p>
  </w:footnote>
  <w:footnote w:id="5">
    <w:p w:rsidR="00EA4E16" w:rsidRDefault="003B3454">
      <w:pPr>
        <w:pStyle w:val="Textpoznmkypodiarou"/>
      </w:pPr>
      <w:r>
        <w:rPr>
          <w:rStyle w:val="Odkaznapoznmkupodiarou"/>
        </w:rPr>
        <w:footnoteRef/>
      </w:r>
      <w:r>
        <w:t xml:space="preserve"> Limitovaný stupeň flexibility môže byť aplikovateľný/aplikovaný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rsidR="00EA4E16" w:rsidRDefault="003B3454">
      <w:pPr>
        <w:pStyle w:val="Textpoznmkypodiarou"/>
        <w:numPr>
          <w:ilvl w:val="0"/>
          <w:numId w:val="30"/>
        </w:numPr>
        <w:jc w:val="both"/>
      </w:pPr>
      <w:r>
        <w:t>Verejný obstarávateľ zmení podmienky tak, že ak by boli súčasťou pôvodnej zákazky, tak by sa zúčastnili zákazky iní záujemcovia ako tí ktorí boli v pôvodnej zákazke;</w:t>
      </w:r>
    </w:p>
    <w:p w:rsidR="00EA4E16" w:rsidRDefault="003B3454">
      <w:pPr>
        <w:pStyle w:val="Textpoznmkypodiarou"/>
        <w:numPr>
          <w:ilvl w:val="0"/>
          <w:numId w:val="30"/>
        </w:numPr>
        <w:jc w:val="both"/>
      </w:pPr>
      <w:r>
        <w:t>zmeny umožňuje zadanie zákazky záujemcovi inému ako by bol pôvodne akceptovaný;</w:t>
      </w:r>
    </w:p>
    <w:p w:rsidR="00EA4E16" w:rsidRDefault="003B3454">
      <w:pPr>
        <w:pStyle w:val="Textpoznmkypodiarou"/>
        <w:numPr>
          <w:ilvl w:val="0"/>
          <w:numId w:val="30"/>
        </w:numPr>
        <w:jc w:val="both"/>
      </w:pPr>
      <w:r>
        <w:t>verejný obstarávateľ rozšíri rozsah zákazky obsahujúci tovary/služby/práce, ktoré pôvodne zákazka neobsahovala;</w:t>
      </w:r>
    </w:p>
    <w:p w:rsidR="00EA4E16" w:rsidRDefault="003B3454">
      <w:pPr>
        <w:pStyle w:val="Textpoznmkypodiarou"/>
        <w:numPr>
          <w:ilvl w:val="0"/>
          <w:numId w:val="30"/>
        </w:numPr>
        <w:jc w:val="both"/>
      </w:pPr>
      <w:r>
        <w:t>modifikácia zmení ekonomickú rovnováhu v prospech víťaza spôsobom, ktorú pôvodná zákazky neumožňovala.</w:t>
      </w:r>
    </w:p>
  </w:footnote>
  <w:footnote w:id="6">
    <w:p w:rsidR="00EA4E16" w:rsidRDefault="003B3454">
      <w:pPr>
        <w:pStyle w:val="Textpoznmkypodiarou"/>
      </w:pPr>
      <w:r>
        <w:rPr>
          <w:rStyle w:val="Odkaznapoznmkupodiarou"/>
        </w:rPr>
        <w:footnoteRef/>
      </w:r>
      <w:r>
        <w:t xml:space="preserve"> Úradný orgán </w:t>
      </w:r>
      <w:r>
        <w:rPr>
          <w:i/>
        </w:rPr>
        <w:t>– Úrad pre verejné obstarávanie na základe vykonania kontroly verejného obstarávania, alebo RO (bližšie podrobnosti viď. Metodický pokyn CKO ku konfliktu záujmov)</w:t>
      </w:r>
    </w:p>
  </w:footnote>
  <w:footnote w:id="7">
    <w:p w:rsidR="00EA4E16" w:rsidRDefault="003B3454">
      <w:pPr>
        <w:pStyle w:val="Textpoznmkypodiarou"/>
      </w:pPr>
      <w:r>
        <w:rPr>
          <w:rStyle w:val="Odkaznapoznmkupodiarou"/>
        </w:rPr>
        <w:footnoteRef/>
      </w:r>
      <w:r>
        <w:t xml:space="preserve"> Vec C-496/99 P, CAS </w:t>
      </w:r>
      <w:proofErr w:type="spellStart"/>
      <w:r>
        <w:t>Succhi</w:t>
      </w:r>
      <w:proofErr w:type="spellEnd"/>
      <w:r>
        <w:t xml:space="preserve"> </w:t>
      </w:r>
      <w:proofErr w:type="spellStart"/>
      <w:r>
        <w:t>di</w:t>
      </w:r>
      <w:proofErr w:type="spellEnd"/>
      <w:r>
        <w:t xml:space="preserve"> </w:t>
      </w:r>
      <w:proofErr w:type="spellStart"/>
      <w:r>
        <w:t>Frutta</w:t>
      </w:r>
      <w:proofErr w:type="spellEnd"/>
      <w:r>
        <w:t xml:space="preserve"> </w:t>
      </w:r>
      <w:proofErr w:type="spellStart"/>
      <w:r>
        <w:t>SpA</w:t>
      </w:r>
      <w:proofErr w:type="spellEnd"/>
      <w:r>
        <w:t xml:space="preserve">, [2004] ECR I- 3801 </w:t>
      </w:r>
      <w:proofErr w:type="spellStart"/>
      <w:r>
        <w:t>odst</w:t>
      </w:r>
      <w:proofErr w:type="spellEnd"/>
      <w:r>
        <w:t xml:space="preserve">. 116 a 118, Vec C-340/02, Európska komisia v. Francúzsko [2004] ECR I- 9845, Vec C-91/08, </w:t>
      </w:r>
      <w:proofErr w:type="spellStart"/>
      <w:r>
        <w:t>Wall</w:t>
      </w:r>
      <w:proofErr w:type="spellEnd"/>
      <w:r>
        <w:t xml:space="preserve"> AG, [2010] ECR I- 2815</w:t>
      </w:r>
    </w:p>
  </w:footnote>
  <w:footnote w:id="8">
    <w:p w:rsidR="00EA4E16" w:rsidRDefault="003B3454">
      <w:pPr>
        <w:pStyle w:val="Textpoznmkypodiarou"/>
      </w:pPr>
      <w:r>
        <w:rPr>
          <w:rStyle w:val="Odkaznapoznmkupodiarou"/>
        </w:rPr>
        <w:footnoteRef/>
      </w:r>
      <w:r>
        <w:t xml:space="preserve"> Viď poznámku pod čiarou č. 8</w:t>
      </w:r>
    </w:p>
  </w:footnote>
  <w:footnote w:id="9">
    <w:p w:rsidR="00EA4E16" w:rsidRDefault="003B3454">
      <w:pPr>
        <w:pStyle w:val="Textpoznmkypodiarou"/>
      </w:pPr>
      <w:r>
        <w:rPr>
          <w:rStyle w:val="Odkaznapoznmkupodiarou"/>
        </w:rPr>
        <w:footnoteRef/>
      </w:r>
      <w:r>
        <w:t xml:space="preserve"> 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 Hodnota zrušených prác/služieb nemá vplyv na výpočet 20 % limitu.</w:t>
      </w:r>
    </w:p>
  </w:footnote>
  <w:footnote w:id="10">
    <w:p w:rsidR="00EA4E16" w:rsidRDefault="003B3454">
      <w:pPr>
        <w:pStyle w:val="Textpoznmkypodiarou"/>
      </w:pPr>
      <w:r>
        <w:rPr>
          <w:rStyle w:val="Odkaznapoznmkupodiarou"/>
        </w:rPr>
        <w:footnoteRef/>
      </w:r>
      <w:r>
        <w:t xml:space="preserve"> </w:t>
      </w:r>
      <w:r>
        <w:rPr>
          <w:sz w:val="18"/>
          <w:szCs w:val="18"/>
        </w:rPr>
        <w:t>Uplatňuje sa pri VO ktoré bolo preukázateľne začaté po 30.6.2013 v zmysle novely zákona o VO  č. 95/2013 Z.z.</w:t>
      </w:r>
    </w:p>
  </w:footnote>
  <w:footnote w:id="11">
    <w:p w:rsidR="00EA4E16" w:rsidRDefault="003B3454">
      <w:pPr>
        <w:pStyle w:val="Textpoznmkypodiarou"/>
      </w:pPr>
      <w:r>
        <w:rPr>
          <w:rStyle w:val="Odkaznapoznmkupodiarou"/>
        </w:rPr>
        <w:footnoteRef/>
      </w:r>
      <w:r>
        <w:t xml:space="preserve"> Povinnosť zadávania podlimitných zákaziek bežne dostupných na trhu prostredníctvom elektronického trhoviska platí od momentu definovanom v § 155m ods. 13 zákona o 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16" w:rsidRDefault="003B3454">
    <w:pPr>
      <w:pStyle w:val="Hlavika"/>
      <w:rPr>
        <w:sz w:val="22"/>
      </w:rPr>
    </w:pPr>
    <w:r>
      <w:rPr>
        <w:sz w:val="22"/>
      </w:rPr>
      <w:t>Vzor prílohy č. 4 rozhodnutia o schválení žiadosti o poskytnutí nenávratného finančného príspevku -</w:t>
    </w:r>
    <w:r>
      <w:rPr>
        <w:sz w:val="22"/>
        <w:szCs w:val="22"/>
      </w:rPr>
      <w:t xml:space="preserve"> Finančné opravy za porušenie pravidiel a postupov obstarávania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7E1711"/>
    <w:multiLevelType w:val="hybridMultilevel"/>
    <w:tmpl w:val="363E44E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896429"/>
    <w:multiLevelType w:val="hybridMultilevel"/>
    <w:tmpl w:val="6986B3C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nsid w:val="112A3A5F"/>
    <w:multiLevelType w:val="hybridMultilevel"/>
    <w:tmpl w:val="FDECE23E"/>
    <w:lvl w:ilvl="0" w:tplc="041B0011">
      <w:start w:val="1"/>
      <w:numFmt w:val="decimal"/>
      <w:lvlText w:val="%1)"/>
      <w:lvlJc w:val="left"/>
      <w:pPr>
        <w:ind w:left="1570" w:hanging="360"/>
      </w:pPr>
      <w:rPr>
        <w:rFonts w:cs="Times New Roman"/>
      </w:rPr>
    </w:lvl>
    <w:lvl w:ilvl="1" w:tplc="041B0019" w:tentative="1">
      <w:start w:val="1"/>
      <w:numFmt w:val="lowerLetter"/>
      <w:lvlText w:val="%2."/>
      <w:lvlJc w:val="left"/>
      <w:pPr>
        <w:ind w:left="2290" w:hanging="360"/>
      </w:pPr>
      <w:rPr>
        <w:rFonts w:cs="Times New Roman"/>
      </w:rPr>
    </w:lvl>
    <w:lvl w:ilvl="2" w:tplc="041B001B" w:tentative="1">
      <w:start w:val="1"/>
      <w:numFmt w:val="lowerRoman"/>
      <w:lvlText w:val="%3."/>
      <w:lvlJc w:val="right"/>
      <w:pPr>
        <w:ind w:left="3010" w:hanging="180"/>
      </w:pPr>
      <w:rPr>
        <w:rFonts w:cs="Times New Roman"/>
      </w:rPr>
    </w:lvl>
    <w:lvl w:ilvl="3" w:tplc="041B000F" w:tentative="1">
      <w:start w:val="1"/>
      <w:numFmt w:val="decimal"/>
      <w:lvlText w:val="%4."/>
      <w:lvlJc w:val="left"/>
      <w:pPr>
        <w:ind w:left="3730" w:hanging="360"/>
      </w:pPr>
      <w:rPr>
        <w:rFonts w:cs="Times New Roman"/>
      </w:rPr>
    </w:lvl>
    <w:lvl w:ilvl="4" w:tplc="041B0019" w:tentative="1">
      <w:start w:val="1"/>
      <w:numFmt w:val="lowerLetter"/>
      <w:lvlText w:val="%5."/>
      <w:lvlJc w:val="left"/>
      <w:pPr>
        <w:ind w:left="4450" w:hanging="360"/>
      </w:pPr>
      <w:rPr>
        <w:rFonts w:cs="Times New Roman"/>
      </w:rPr>
    </w:lvl>
    <w:lvl w:ilvl="5" w:tplc="041B001B" w:tentative="1">
      <w:start w:val="1"/>
      <w:numFmt w:val="lowerRoman"/>
      <w:lvlText w:val="%6."/>
      <w:lvlJc w:val="right"/>
      <w:pPr>
        <w:ind w:left="5170" w:hanging="180"/>
      </w:pPr>
      <w:rPr>
        <w:rFonts w:cs="Times New Roman"/>
      </w:rPr>
    </w:lvl>
    <w:lvl w:ilvl="6" w:tplc="041B000F" w:tentative="1">
      <w:start w:val="1"/>
      <w:numFmt w:val="decimal"/>
      <w:lvlText w:val="%7."/>
      <w:lvlJc w:val="left"/>
      <w:pPr>
        <w:ind w:left="5890" w:hanging="360"/>
      </w:pPr>
      <w:rPr>
        <w:rFonts w:cs="Times New Roman"/>
      </w:rPr>
    </w:lvl>
    <w:lvl w:ilvl="7" w:tplc="041B0019" w:tentative="1">
      <w:start w:val="1"/>
      <w:numFmt w:val="lowerLetter"/>
      <w:lvlText w:val="%8."/>
      <w:lvlJc w:val="left"/>
      <w:pPr>
        <w:ind w:left="6610" w:hanging="360"/>
      </w:pPr>
      <w:rPr>
        <w:rFonts w:cs="Times New Roman"/>
      </w:rPr>
    </w:lvl>
    <w:lvl w:ilvl="8" w:tplc="041B001B" w:tentative="1">
      <w:start w:val="1"/>
      <w:numFmt w:val="lowerRoman"/>
      <w:lvlText w:val="%9."/>
      <w:lvlJc w:val="right"/>
      <w:pPr>
        <w:ind w:left="7330" w:hanging="180"/>
      </w:pPr>
      <w:rPr>
        <w:rFonts w:cs="Times New Roman"/>
      </w:rPr>
    </w:lvl>
  </w:abstractNum>
  <w:abstractNum w:abstractNumId="6">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370E1E"/>
    <w:multiLevelType w:val="hybridMultilevel"/>
    <w:tmpl w:val="2BDC0F52"/>
    <w:lvl w:ilvl="0" w:tplc="DC20525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
    <w:nsid w:val="16A157C3"/>
    <w:multiLevelType w:val="hybridMultilevel"/>
    <w:tmpl w:val="4288ED3A"/>
    <w:lvl w:ilvl="0" w:tplc="ECA065FE">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
    <w:nsid w:val="192009E1"/>
    <w:multiLevelType w:val="hybridMultilevel"/>
    <w:tmpl w:val="54221FF4"/>
    <w:lvl w:ilvl="0" w:tplc="E6FA91F8">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1">
    <w:nsid w:val="1A630999"/>
    <w:multiLevelType w:val="hybridMultilevel"/>
    <w:tmpl w:val="2EF02958"/>
    <w:lvl w:ilvl="0" w:tplc="548611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F9E1A77"/>
    <w:multiLevelType w:val="multilevel"/>
    <w:tmpl w:val="7FDCBFFE"/>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nsid w:val="235535CD"/>
    <w:multiLevelType w:val="hybridMultilevel"/>
    <w:tmpl w:val="DD88330A"/>
    <w:lvl w:ilvl="0" w:tplc="0D70DDB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
    <w:nsid w:val="2F977E2A"/>
    <w:multiLevelType w:val="hybridMultilevel"/>
    <w:tmpl w:val="3222BA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45F5666"/>
    <w:multiLevelType w:val="hybridMultilevel"/>
    <w:tmpl w:val="E9CCCC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88C0C68"/>
    <w:multiLevelType w:val="hybridMultilevel"/>
    <w:tmpl w:val="21B8DA74"/>
    <w:lvl w:ilvl="0" w:tplc="79E00044">
      <w:start w:val="3"/>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8BF391B"/>
    <w:multiLevelType w:val="hybridMultilevel"/>
    <w:tmpl w:val="007259F6"/>
    <w:lvl w:ilvl="0" w:tplc="FFFFFFFF">
      <w:start w:val="1"/>
      <w:numFmt w:val="decimal"/>
      <w:pStyle w:val="odseky"/>
      <w:lvlText w:val="%1."/>
      <w:lvlJc w:val="left"/>
      <w:pPr>
        <w:tabs>
          <w:tab w:val="num" w:pos="1440"/>
        </w:tabs>
        <w:ind w:left="1440" w:hanging="360"/>
      </w:pPr>
      <w:rPr>
        <w:rFonts w:cs="Times New Roman"/>
        <w:b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BC47EED"/>
    <w:multiLevelType w:val="hybridMultilevel"/>
    <w:tmpl w:val="B5924722"/>
    <w:lvl w:ilvl="0" w:tplc="163C7B46">
      <w:start w:val="1"/>
      <w:numFmt w:val="lowerLetter"/>
      <w:lvlText w:val="%1.)"/>
      <w:lvlJc w:val="left"/>
      <w:pPr>
        <w:ind w:left="1200" w:hanging="8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52972CE"/>
    <w:multiLevelType w:val="hybridMultilevel"/>
    <w:tmpl w:val="4A32C652"/>
    <w:lvl w:ilvl="0" w:tplc="B77486AA">
      <w:start w:val="5"/>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75B3604"/>
    <w:multiLevelType w:val="hybridMultilevel"/>
    <w:tmpl w:val="6584EEF8"/>
    <w:lvl w:ilvl="0" w:tplc="FE802A0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nsid w:val="4A316E8E"/>
    <w:multiLevelType w:val="hybridMultilevel"/>
    <w:tmpl w:val="7AF6C808"/>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B8168D0"/>
    <w:multiLevelType w:val="hybridMultilevel"/>
    <w:tmpl w:val="58AAEFC2"/>
    <w:lvl w:ilvl="0" w:tplc="06C039C2">
      <w:start w:val="1"/>
      <w:numFmt w:val="decimal"/>
      <w:lvlText w:val="%1."/>
      <w:lvlJc w:val="left"/>
      <w:pPr>
        <w:ind w:left="786" w:hanging="360"/>
      </w:pPr>
      <w:rPr>
        <w:rFonts w:cs="Times New Roman" w:hint="default"/>
        <w:b w:val="0"/>
        <w:u w:val="none"/>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5">
    <w:nsid w:val="4DA578EC"/>
    <w:multiLevelType w:val="hybridMultilevel"/>
    <w:tmpl w:val="8D8E0308"/>
    <w:lvl w:ilvl="0" w:tplc="B7D4F0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nsid w:val="559C070B"/>
    <w:multiLevelType w:val="hybridMultilevel"/>
    <w:tmpl w:val="7DD606A0"/>
    <w:lvl w:ilvl="0" w:tplc="6EA8A6EE">
      <w:start w:val="1"/>
      <w:numFmt w:val="lowerLetter"/>
      <w:lvlText w:val="%1)"/>
      <w:lvlJc w:val="left"/>
      <w:pPr>
        <w:ind w:left="1191" w:hanging="405"/>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8">
    <w:nsid w:val="5B4667C4"/>
    <w:multiLevelType w:val="hybridMultilevel"/>
    <w:tmpl w:val="3ADA1080"/>
    <w:lvl w:ilvl="0" w:tplc="ABB6E020">
      <w:start w:val="2"/>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D7350A0"/>
    <w:multiLevelType w:val="hybridMultilevel"/>
    <w:tmpl w:val="FFAAB1F4"/>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2EE2350"/>
    <w:multiLevelType w:val="hybridMultilevel"/>
    <w:tmpl w:val="CBD66F42"/>
    <w:lvl w:ilvl="0" w:tplc="CE760F0C">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73F296D"/>
    <w:multiLevelType w:val="hybridMultilevel"/>
    <w:tmpl w:val="2B06CA2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76844C7"/>
    <w:multiLevelType w:val="hybridMultilevel"/>
    <w:tmpl w:val="96D2896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838708A"/>
    <w:multiLevelType w:val="hybridMultilevel"/>
    <w:tmpl w:val="18EA11FE"/>
    <w:lvl w:ilvl="0" w:tplc="0AA0E3A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4">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6DEF3ED1"/>
    <w:multiLevelType w:val="hybridMultilevel"/>
    <w:tmpl w:val="379CD23E"/>
    <w:lvl w:ilvl="0" w:tplc="FFFFFFFF">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EA049AE"/>
    <w:multiLevelType w:val="hybridMultilevel"/>
    <w:tmpl w:val="C768661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74B50398"/>
    <w:multiLevelType w:val="hybridMultilevel"/>
    <w:tmpl w:val="B6BE4F3A"/>
    <w:lvl w:ilvl="0" w:tplc="F3B894E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nsid w:val="77012516"/>
    <w:multiLevelType w:val="hybridMultilevel"/>
    <w:tmpl w:val="F7202C1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6"/>
  </w:num>
  <w:num w:numId="2">
    <w:abstractNumId w:val="20"/>
  </w:num>
  <w:num w:numId="3">
    <w:abstractNumId w:val="6"/>
  </w:num>
  <w:num w:numId="4">
    <w:abstractNumId w:val="38"/>
  </w:num>
  <w:num w:numId="5">
    <w:abstractNumId w:val="19"/>
  </w:num>
  <w:num w:numId="6">
    <w:abstractNumId w:val="36"/>
  </w:num>
  <w:num w:numId="7">
    <w:abstractNumId w:val="34"/>
  </w:num>
  <w:num w:numId="8">
    <w:abstractNumId w:val="34"/>
  </w:num>
  <w:num w:numId="9">
    <w:abstractNumId w:val="34"/>
  </w:num>
  <w:num w:numId="10">
    <w:abstractNumId w:val="34"/>
    <w:lvlOverride w:ilvl="0">
      <w:startOverride w:val="1"/>
    </w:lvlOverride>
  </w:num>
  <w:num w:numId="11">
    <w:abstractNumId w:val="34"/>
  </w:num>
  <w:num w:numId="12">
    <w:abstractNumId w:val="34"/>
    <w:lvlOverride w:ilvl="0">
      <w:startOverride w:val="1"/>
    </w:lvlOverride>
  </w:num>
  <w:num w:numId="13">
    <w:abstractNumId w:val="34"/>
    <w:lvlOverride w:ilvl="0">
      <w:startOverride w:val="1"/>
    </w:lvlOverride>
  </w:num>
  <w:num w:numId="14">
    <w:abstractNumId w:val="34"/>
  </w:num>
  <w:num w:numId="15">
    <w:abstractNumId w:val="34"/>
  </w:num>
  <w:num w:numId="16">
    <w:abstractNumId w:val="34"/>
  </w:num>
  <w:num w:numId="17">
    <w:abstractNumId w:val="25"/>
  </w:num>
  <w:num w:numId="18">
    <w:abstractNumId w:val="34"/>
  </w:num>
  <w:num w:numId="19">
    <w:abstractNumId w:val="32"/>
  </w:num>
  <w:num w:numId="20">
    <w:abstractNumId w:val="5"/>
  </w:num>
  <w:num w:numId="21">
    <w:abstractNumId w:val="3"/>
  </w:num>
  <w:num w:numId="22">
    <w:abstractNumId w:val="1"/>
  </w:num>
  <w:num w:numId="23">
    <w:abstractNumId w:val="18"/>
  </w:num>
  <w:num w:numId="24">
    <w:abstractNumId w:val="26"/>
  </w:num>
  <w:num w:numId="25">
    <w:abstractNumId w:val="35"/>
  </w:num>
  <w:num w:numId="26">
    <w:abstractNumId w:val="15"/>
  </w:num>
  <w:num w:numId="27">
    <w:abstractNumId w:val="10"/>
  </w:num>
  <w:num w:numId="28">
    <w:abstractNumId w:val="27"/>
  </w:num>
  <w:num w:numId="29">
    <w:abstractNumId w:val="2"/>
  </w:num>
  <w:num w:numId="30">
    <w:abstractNumId w:val="14"/>
  </w:num>
  <w:num w:numId="31">
    <w:abstractNumId w:val="23"/>
  </w:num>
  <w:num w:numId="32">
    <w:abstractNumId w:val="7"/>
  </w:num>
  <w:num w:numId="33">
    <w:abstractNumId w:val="13"/>
  </w:num>
  <w:num w:numId="34">
    <w:abstractNumId w:val="22"/>
  </w:num>
  <w:num w:numId="35">
    <w:abstractNumId w:val="9"/>
  </w:num>
  <w:num w:numId="36">
    <w:abstractNumId w:val="4"/>
  </w:num>
  <w:num w:numId="37">
    <w:abstractNumId w:val="33"/>
  </w:num>
  <w:num w:numId="38">
    <w:abstractNumId w:val="12"/>
  </w:num>
  <w:num w:numId="39">
    <w:abstractNumId w:val="24"/>
  </w:num>
  <w:num w:numId="40">
    <w:abstractNumId w:val="29"/>
  </w:num>
  <w:num w:numId="41">
    <w:abstractNumId w:val="17"/>
  </w:num>
  <w:num w:numId="42">
    <w:abstractNumId w:val="11"/>
  </w:num>
  <w:num w:numId="43">
    <w:abstractNumId w:val="37"/>
  </w:num>
  <w:num w:numId="44">
    <w:abstractNumId w:val="31"/>
  </w:num>
  <w:num w:numId="45">
    <w:abstractNumId w:val="30"/>
  </w:num>
  <w:num w:numId="46">
    <w:abstractNumId w:val="21"/>
  </w:num>
  <w:num w:numId="47">
    <w:abstractNumId w:val="8"/>
  </w:num>
  <w:num w:numId="48">
    <w:abstractNumId w:val="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21"/>
    <w:rsid w:val="00242D58"/>
    <w:rsid w:val="00304AE0"/>
    <w:rsid w:val="003B2224"/>
    <w:rsid w:val="003B3454"/>
    <w:rsid w:val="00675E7F"/>
    <w:rsid w:val="007643E9"/>
    <w:rsid w:val="009C17C3"/>
    <w:rsid w:val="00AD4721"/>
    <w:rsid w:val="00E12497"/>
    <w:rsid w:val="00EA4E16"/>
    <w:rsid w:val="00EF6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ascii="Times New Roman" w:hAnsi="Times New Roman" w:cs="Times New Roman"/>
      <w:sz w:val="24"/>
      <w:szCs w:val="24"/>
    </w:rPr>
  </w:style>
  <w:style w:type="paragraph" w:styleId="Nadpis1">
    <w:name w:val="heading 1"/>
    <w:basedOn w:val="Normlny"/>
    <w:next w:val="Normlny"/>
    <w:link w:val="Nadpis1Char"/>
    <w:qFormat/>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qFormat/>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pPr>
      <w:keepNext/>
      <w:keepLines/>
      <w:spacing w:before="200"/>
      <w:outlineLvl w:val="2"/>
    </w:pPr>
    <w:rPr>
      <w:rFonts w:ascii="Cambria" w:hAnsi="Cambria"/>
      <w:b/>
      <w:bCs/>
      <w:color w:val="4F81BD"/>
    </w:rPr>
  </w:style>
  <w:style w:type="paragraph" w:styleId="Nadpis4">
    <w:name w:val="heading 4"/>
    <w:basedOn w:val="Normlny"/>
    <w:next w:val="Normlny"/>
    <w:link w:val="Nadpis4Char"/>
    <w:qFormat/>
    <w:pPr>
      <w:keepNext/>
      <w:keepLines/>
      <w:spacing w:before="200"/>
      <w:outlineLvl w:val="3"/>
    </w:pPr>
    <w:rPr>
      <w:rFonts w:ascii="Cambria" w:hAnsi="Cambria"/>
      <w:b/>
      <w:bCs/>
      <w:i/>
      <w:iCs/>
      <w:color w:val="4F81BD"/>
    </w:rPr>
  </w:style>
  <w:style w:type="paragraph" w:styleId="Nadpis5">
    <w:name w:val="heading 5"/>
    <w:basedOn w:val="Normlny"/>
    <w:next w:val="Normlny"/>
    <w:link w:val="Nadpis5Char"/>
    <w:qFormat/>
    <w:pPr>
      <w:keepNext/>
      <w:keepLines/>
      <w:spacing w:before="200"/>
      <w:outlineLvl w:val="4"/>
    </w:pPr>
    <w:rPr>
      <w:rFonts w:ascii="Cambria"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rPr>
      <w:rFonts w:ascii="Tahoma" w:hAnsi="Tahoma" w:cs="Tahoma"/>
      <w:sz w:val="16"/>
      <w:szCs w:val="16"/>
    </w:rPr>
  </w:style>
  <w:style w:type="character" w:styleId="Hypertextovprepojenie">
    <w:name w:val="Hyperlink"/>
    <w:rPr>
      <w:color w:val="0000FF"/>
      <w:u w:val="single"/>
    </w:rPr>
  </w:style>
  <w:style w:type="character" w:customStyle="1" w:styleId="TextbublinyChar">
    <w:name w:val="Text bubliny Char"/>
    <w:link w:val="Textbubliny"/>
    <w:semiHidden/>
    <w:locked/>
    <w:rPr>
      <w:rFonts w:ascii="Tahoma" w:hAnsi="Tahoma"/>
      <w:sz w:val="16"/>
      <w:lang w:val="x-none" w:eastAsia="sk-SK"/>
    </w:rPr>
  </w:style>
  <w:style w:type="character" w:styleId="Odkaznakomentr">
    <w:name w:val="annotation reference"/>
    <w:semiHidden/>
    <w:rPr>
      <w:sz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link w:val="Textkomentra"/>
    <w:semiHidden/>
    <w:locked/>
    <w:rPr>
      <w:rFonts w:ascii="Times New Roman" w:hAnsi="Times New Roman"/>
      <w:sz w:val="20"/>
      <w:lang w:val="x-none" w:eastAsia="sk-SK"/>
    </w:rPr>
  </w:style>
  <w:style w:type="paragraph" w:styleId="Predmetkomentra">
    <w:name w:val="annotation subject"/>
    <w:basedOn w:val="Textkomentra"/>
    <w:next w:val="Textkomentra"/>
    <w:link w:val="PredmetkomentraChar"/>
    <w:semiHidden/>
    <w:rPr>
      <w:b/>
      <w:bCs/>
    </w:rPr>
  </w:style>
  <w:style w:type="character" w:customStyle="1" w:styleId="PredmetkomentraChar">
    <w:name w:val="Predmet komentára Char"/>
    <w:link w:val="Predmetkomentra"/>
    <w:semiHidden/>
    <w:locked/>
    <w:rPr>
      <w:rFonts w:ascii="Times New Roman" w:hAnsi="Times New Roman"/>
      <w:b/>
      <w:sz w:val="20"/>
      <w:lang w:val="x-none" w:eastAsia="sk-SK"/>
    </w:rPr>
  </w:style>
  <w:style w:type="paragraph" w:customStyle="1" w:styleId="Odsekzoznamu1">
    <w:name w:val="Odsek zoznamu1"/>
    <w:basedOn w:val="Normlny"/>
    <w:pPr>
      <w:ind w:left="720"/>
      <w:contextualSpacing/>
    </w:pPr>
  </w:style>
  <w:style w:type="paragraph" w:styleId="Obsah1">
    <w:name w:val="toc 1"/>
    <w:basedOn w:val="Normlny"/>
    <w:next w:val="Normlny"/>
    <w:autoRedefine/>
    <w:pPr>
      <w:spacing w:after="100"/>
    </w:p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locked/>
    <w:rPr>
      <w:rFonts w:ascii="Times New Roman" w:hAnsi="Times New Roman"/>
      <w:sz w:val="24"/>
      <w:lang w:val="x-none" w:eastAsia="sk-SK"/>
    </w:rPr>
  </w:style>
  <w:style w:type="paragraph" w:styleId="Pta">
    <w:name w:val="footer"/>
    <w:basedOn w:val="Normlny"/>
    <w:link w:val="PtaChar"/>
    <w:pPr>
      <w:tabs>
        <w:tab w:val="center" w:pos="4536"/>
        <w:tab w:val="right" w:pos="9072"/>
      </w:tabs>
    </w:pPr>
  </w:style>
  <w:style w:type="character" w:customStyle="1" w:styleId="PtaChar">
    <w:name w:val="Päta Char"/>
    <w:link w:val="Pta"/>
    <w:locked/>
    <w:rPr>
      <w:rFonts w:ascii="Times New Roman" w:hAnsi="Times New Roman"/>
      <w:sz w:val="24"/>
      <w:lang w:val="x-none" w:eastAsia="sk-SK"/>
    </w:rPr>
  </w:style>
  <w:style w:type="paragraph" w:styleId="Textpoznmkypodiarou">
    <w:name w:val="footnote text"/>
    <w:basedOn w:val="Normlny"/>
    <w:link w:val="TextpoznmkypodiarouChar"/>
    <w:semiHidden/>
    <w:rPr>
      <w:sz w:val="20"/>
      <w:szCs w:val="20"/>
    </w:rPr>
  </w:style>
  <w:style w:type="character" w:customStyle="1" w:styleId="TextpoznmkypodiarouChar">
    <w:name w:val="Text poznámky pod čiarou Char"/>
    <w:link w:val="Textpoznmkypodiarou"/>
    <w:semiHidden/>
    <w:locked/>
    <w:rPr>
      <w:rFonts w:ascii="Times New Roman" w:hAnsi="Times New Roman"/>
      <w:sz w:val="20"/>
      <w:lang w:val="x-none" w:eastAsia="sk-SK"/>
    </w:rPr>
  </w:style>
  <w:style w:type="character" w:styleId="Odkaznapoznmkupodiarou">
    <w:name w:val="footnote reference"/>
    <w:semiHidden/>
    <w:rPr>
      <w:vertAlign w:val="superscript"/>
    </w:rPr>
  </w:style>
  <w:style w:type="paragraph" w:styleId="Normlnywebov">
    <w:name w:val="Normal (Web)"/>
    <w:basedOn w:val="Normlny"/>
    <w:semiHidden/>
    <w:pPr>
      <w:spacing w:before="100" w:beforeAutospacing="1" w:after="100" w:afterAutospacing="1"/>
    </w:pPr>
  </w:style>
  <w:style w:type="table" w:styleId="Mriekatabuky">
    <w:name w:val="Table Grid"/>
    <w:basedOn w:val="Normlnatabuk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1">
    <w:name w:val="Text zástupného symbolu1"/>
    <w:semiHidden/>
    <w:rPr>
      <w:color w:val="808080"/>
    </w:rPr>
  </w:style>
  <w:style w:type="paragraph" w:customStyle="1" w:styleId="MPCKO1">
    <w:name w:val="MP CKO 1"/>
    <w:basedOn w:val="Nadpis2"/>
    <w:next w:val="Normlny"/>
    <w:pPr>
      <w:pBdr>
        <w:bottom w:val="single" w:sz="8" w:space="4" w:color="4F81BD"/>
      </w:pBdr>
      <w:spacing w:after="300"/>
    </w:pPr>
    <w:rPr>
      <w:rFonts w:ascii="Times New Roman" w:hAnsi="Times New Roman"/>
      <w:color w:val="365F91"/>
      <w:spacing w:val="5"/>
      <w:kern w:val="28"/>
      <w:sz w:val="36"/>
    </w:rPr>
  </w:style>
  <w:style w:type="character" w:customStyle="1" w:styleId="Nadpis2Char">
    <w:name w:val="Nadpis 2 Char"/>
    <w:link w:val="Nadpis2"/>
    <w:semiHidden/>
    <w:locked/>
    <w:rPr>
      <w:rFonts w:ascii="Cambria" w:hAnsi="Cambria"/>
      <w:b/>
      <w:color w:val="4F81BD"/>
      <w:sz w:val="26"/>
      <w:lang w:val="x-none" w:eastAsia="sk-SK"/>
    </w:rPr>
  </w:style>
  <w:style w:type="paragraph" w:customStyle="1" w:styleId="MPCKO2">
    <w:name w:val="MP CKO 2"/>
    <w:basedOn w:val="Nadpis3"/>
    <w:pPr>
      <w:jc w:val="both"/>
    </w:pPr>
    <w:rPr>
      <w:rFonts w:ascii="Times New Roman" w:hAnsi="Times New Roman"/>
      <w:color w:val="365F91"/>
      <w:sz w:val="26"/>
      <w:szCs w:val="22"/>
      <w:lang w:eastAsia="en-US"/>
    </w:rPr>
  </w:style>
  <w:style w:type="character" w:customStyle="1" w:styleId="Nadpis3Char">
    <w:name w:val="Nadpis 3 Char"/>
    <w:link w:val="Nadpis3"/>
    <w:semiHidden/>
    <w:locked/>
    <w:rPr>
      <w:rFonts w:ascii="Cambria" w:hAnsi="Cambria"/>
      <w:b/>
      <w:color w:val="4F81BD"/>
      <w:sz w:val="24"/>
      <w:lang w:val="x-none" w:eastAsia="sk-SK"/>
    </w:rPr>
  </w:style>
  <w:style w:type="paragraph" w:customStyle="1" w:styleId="MPCKO3">
    <w:name w:val="MP CKO 3"/>
    <w:basedOn w:val="Nadpis4"/>
    <w:next w:val="Normlny"/>
    <w:pPr>
      <w:jc w:val="both"/>
    </w:pPr>
    <w:rPr>
      <w:rFonts w:ascii="Times New Roman" w:hAnsi="Times New Roman"/>
      <w:i w:val="0"/>
      <w:color w:val="365F91"/>
    </w:rPr>
  </w:style>
  <w:style w:type="character" w:customStyle="1" w:styleId="Nadpis4Char">
    <w:name w:val="Nadpis 4 Char"/>
    <w:link w:val="Nadpis4"/>
    <w:semiHidden/>
    <w:locked/>
    <w:rPr>
      <w:rFonts w:ascii="Cambria" w:hAnsi="Cambria"/>
      <w:b/>
      <w:i/>
      <w:color w:val="4F81BD"/>
      <w:sz w:val="24"/>
      <w:lang w:val="x-none" w:eastAsia="sk-SK"/>
    </w:rPr>
  </w:style>
  <w:style w:type="paragraph" w:customStyle="1" w:styleId="MPCKO4">
    <w:name w:val="MP CKO 4"/>
    <w:basedOn w:val="Nadpis5"/>
    <w:next w:val="Normlny"/>
    <w:rPr>
      <w:rFonts w:ascii="Times New Roman" w:hAnsi="Times New Roman"/>
      <w:b/>
      <w:i/>
      <w:color w:val="365F91"/>
    </w:rPr>
  </w:style>
  <w:style w:type="character" w:customStyle="1" w:styleId="Nadpis5Char">
    <w:name w:val="Nadpis 5 Char"/>
    <w:link w:val="Nadpis5"/>
    <w:semiHidden/>
    <w:locked/>
    <w:rPr>
      <w:rFonts w:ascii="Cambria" w:hAnsi="Cambria"/>
      <w:color w:val="243F60"/>
      <w:sz w:val="24"/>
      <w:lang w:val="x-none" w:eastAsia="sk-SK"/>
    </w:rPr>
  </w:style>
  <w:style w:type="paragraph" w:customStyle="1" w:styleId="SRKNorm">
    <w:name w:val="SRK Norm."/>
    <w:basedOn w:val="Normlny"/>
    <w:next w:val="Normlny"/>
    <w:pPr>
      <w:numPr>
        <w:numId w:val="7"/>
      </w:numPr>
      <w:spacing w:before="200" w:after="200"/>
      <w:ind w:left="714" w:hanging="357"/>
      <w:contextualSpacing/>
      <w:jc w:val="both"/>
    </w:pPr>
  </w:style>
  <w:style w:type="character" w:customStyle="1" w:styleId="Nadpis1Char">
    <w:name w:val="Nadpis 1 Char"/>
    <w:link w:val="Nadpis1"/>
    <w:locked/>
    <w:rPr>
      <w:rFonts w:ascii="Cambria" w:hAnsi="Cambria"/>
      <w:b/>
      <w:color w:val="365F91"/>
      <w:sz w:val="28"/>
      <w:lang w:val="x-none" w:eastAsia="sk-SK"/>
    </w:rPr>
  </w:style>
  <w:style w:type="paragraph" w:customStyle="1" w:styleId="Hlavikaobsahu1">
    <w:name w:val="Hlavička obsahu1"/>
    <w:basedOn w:val="Nadpis1"/>
    <w:next w:val="Normlny"/>
    <w:pPr>
      <w:spacing w:line="276" w:lineRule="auto"/>
      <w:outlineLvl w:val="9"/>
    </w:pPr>
  </w:style>
  <w:style w:type="paragraph" w:styleId="Obsah2">
    <w:name w:val="toc 2"/>
    <w:basedOn w:val="Normlny"/>
    <w:next w:val="Normlny"/>
    <w:autoRedefine/>
    <w:pPr>
      <w:spacing w:after="100"/>
      <w:ind w:left="240"/>
    </w:pPr>
  </w:style>
  <w:style w:type="paragraph" w:styleId="Obsah3">
    <w:name w:val="toc 3"/>
    <w:basedOn w:val="Normlny"/>
    <w:next w:val="Normlny"/>
    <w:autoRedefine/>
    <w:pPr>
      <w:spacing w:after="100"/>
      <w:ind w:left="480"/>
    </w:pPr>
  </w:style>
  <w:style w:type="paragraph" w:styleId="Obsah4">
    <w:name w:val="toc 4"/>
    <w:basedOn w:val="Normlny"/>
    <w:next w:val="Normlny"/>
    <w:autoRedefine/>
    <w:pPr>
      <w:spacing w:after="100"/>
      <w:ind w:left="720"/>
    </w:pPr>
  </w:style>
  <w:style w:type="paragraph" w:styleId="Obsah5">
    <w:name w:val="toc 5"/>
    <w:basedOn w:val="Normlny"/>
    <w:next w:val="Normlny"/>
    <w:autoRedefine/>
    <w:pPr>
      <w:spacing w:after="100"/>
      <w:ind w:left="960"/>
    </w:pPr>
  </w:style>
  <w:style w:type="paragraph" w:customStyle="1" w:styleId="odseky">
    <w:name w:val="odseky"/>
    <w:basedOn w:val="Normlny"/>
    <w:pPr>
      <w:numPr>
        <w:numId w:val="23"/>
      </w:numPr>
      <w:ind w:left="360"/>
      <w:jc w:val="both"/>
    </w:pPr>
    <w:rPr>
      <w:rFonts w:ascii="Arial" w:hAnsi="Arial"/>
      <w:lang w:eastAsia="en-GB"/>
    </w:rPr>
  </w:style>
  <w:style w:type="paragraph" w:customStyle="1" w:styleId="ZakladnystylChar">
    <w:name w:val="Zakladny styl Char"/>
    <w:link w:val="ZakladnystylCharChar"/>
    <w:rPr>
      <w:rFonts w:ascii="Times New Roman" w:hAnsi="Times New Roman" w:cs="Times New Roman"/>
      <w:sz w:val="24"/>
      <w:szCs w:val="24"/>
    </w:rPr>
  </w:style>
  <w:style w:type="character" w:customStyle="1" w:styleId="ZakladnystylCharChar">
    <w:name w:val="Zakladny styl Char Char"/>
    <w:link w:val="ZakladnystylChar"/>
    <w:locked/>
    <w:rPr>
      <w:rFonts w:ascii="Times New Roman" w:hAnsi="Times New Roman"/>
      <w:sz w:val="24"/>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ascii="Times New Roman" w:hAnsi="Times New Roman" w:cs="Times New Roman"/>
      <w:sz w:val="24"/>
      <w:szCs w:val="24"/>
    </w:rPr>
  </w:style>
  <w:style w:type="paragraph" w:styleId="Nadpis1">
    <w:name w:val="heading 1"/>
    <w:basedOn w:val="Normlny"/>
    <w:next w:val="Normlny"/>
    <w:link w:val="Nadpis1Char"/>
    <w:qFormat/>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qFormat/>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pPr>
      <w:keepNext/>
      <w:keepLines/>
      <w:spacing w:before="200"/>
      <w:outlineLvl w:val="2"/>
    </w:pPr>
    <w:rPr>
      <w:rFonts w:ascii="Cambria" w:hAnsi="Cambria"/>
      <w:b/>
      <w:bCs/>
      <w:color w:val="4F81BD"/>
    </w:rPr>
  </w:style>
  <w:style w:type="paragraph" w:styleId="Nadpis4">
    <w:name w:val="heading 4"/>
    <w:basedOn w:val="Normlny"/>
    <w:next w:val="Normlny"/>
    <w:link w:val="Nadpis4Char"/>
    <w:qFormat/>
    <w:pPr>
      <w:keepNext/>
      <w:keepLines/>
      <w:spacing w:before="200"/>
      <w:outlineLvl w:val="3"/>
    </w:pPr>
    <w:rPr>
      <w:rFonts w:ascii="Cambria" w:hAnsi="Cambria"/>
      <w:b/>
      <w:bCs/>
      <w:i/>
      <w:iCs/>
      <w:color w:val="4F81BD"/>
    </w:rPr>
  </w:style>
  <w:style w:type="paragraph" w:styleId="Nadpis5">
    <w:name w:val="heading 5"/>
    <w:basedOn w:val="Normlny"/>
    <w:next w:val="Normlny"/>
    <w:link w:val="Nadpis5Char"/>
    <w:qFormat/>
    <w:pPr>
      <w:keepNext/>
      <w:keepLines/>
      <w:spacing w:before="200"/>
      <w:outlineLvl w:val="4"/>
    </w:pPr>
    <w:rPr>
      <w:rFonts w:ascii="Cambria"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rPr>
      <w:rFonts w:ascii="Tahoma" w:hAnsi="Tahoma" w:cs="Tahoma"/>
      <w:sz w:val="16"/>
      <w:szCs w:val="16"/>
    </w:rPr>
  </w:style>
  <w:style w:type="character" w:styleId="Hypertextovprepojenie">
    <w:name w:val="Hyperlink"/>
    <w:rPr>
      <w:color w:val="0000FF"/>
      <w:u w:val="single"/>
    </w:rPr>
  </w:style>
  <w:style w:type="character" w:customStyle="1" w:styleId="TextbublinyChar">
    <w:name w:val="Text bubliny Char"/>
    <w:link w:val="Textbubliny"/>
    <w:semiHidden/>
    <w:locked/>
    <w:rPr>
      <w:rFonts w:ascii="Tahoma" w:hAnsi="Tahoma"/>
      <w:sz w:val="16"/>
      <w:lang w:val="x-none" w:eastAsia="sk-SK"/>
    </w:rPr>
  </w:style>
  <w:style w:type="character" w:styleId="Odkaznakomentr">
    <w:name w:val="annotation reference"/>
    <w:semiHidden/>
    <w:rPr>
      <w:sz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link w:val="Textkomentra"/>
    <w:semiHidden/>
    <w:locked/>
    <w:rPr>
      <w:rFonts w:ascii="Times New Roman" w:hAnsi="Times New Roman"/>
      <w:sz w:val="20"/>
      <w:lang w:val="x-none" w:eastAsia="sk-SK"/>
    </w:rPr>
  </w:style>
  <w:style w:type="paragraph" w:styleId="Predmetkomentra">
    <w:name w:val="annotation subject"/>
    <w:basedOn w:val="Textkomentra"/>
    <w:next w:val="Textkomentra"/>
    <w:link w:val="PredmetkomentraChar"/>
    <w:semiHidden/>
    <w:rPr>
      <w:b/>
      <w:bCs/>
    </w:rPr>
  </w:style>
  <w:style w:type="character" w:customStyle="1" w:styleId="PredmetkomentraChar">
    <w:name w:val="Predmet komentára Char"/>
    <w:link w:val="Predmetkomentra"/>
    <w:semiHidden/>
    <w:locked/>
    <w:rPr>
      <w:rFonts w:ascii="Times New Roman" w:hAnsi="Times New Roman"/>
      <w:b/>
      <w:sz w:val="20"/>
      <w:lang w:val="x-none" w:eastAsia="sk-SK"/>
    </w:rPr>
  </w:style>
  <w:style w:type="paragraph" w:customStyle="1" w:styleId="Odsekzoznamu1">
    <w:name w:val="Odsek zoznamu1"/>
    <w:basedOn w:val="Normlny"/>
    <w:pPr>
      <w:ind w:left="720"/>
      <w:contextualSpacing/>
    </w:pPr>
  </w:style>
  <w:style w:type="paragraph" w:styleId="Obsah1">
    <w:name w:val="toc 1"/>
    <w:basedOn w:val="Normlny"/>
    <w:next w:val="Normlny"/>
    <w:autoRedefine/>
    <w:pPr>
      <w:spacing w:after="100"/>
    </w:p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locked/>
    <w:rPr>
      <w:rFonts w:ascii="Times New Roman" w:hAnsi="Times New Roman"/>
      <w:sz w:val="24"/>
      <w:lang w:val="x-none" w:eastAsia="sk-SK"/>
    </w:rPr>
  </w:style>
  <w:style w:type="paragraph" w:styleId="Pta">
    <w:name w:val="footer"/>
    <w:basedOn w:val="Normlny"/>
    <w:link w:val="PtaChar"/>
    <w:pPr>
      <w:tabs>
        <w:tab w:val="center" w:pos="4536"/>
        <w:tab w:val="right" w:pos="9072"/>
      </w:tabs>
    </w:pPr>
  </w:style>
  <w:style w:type="character" w:customStyle="1" w:styleId="PtaChar">
    <w:name w:val="Päta Char"/>
    <w:link w:val="Pta"/>
    <w:locked/>
    <w:rPr>
      <w:rFonts w:ascii="Times New Roman" w:hAnsi="Times New Roman"/>
      <w:sz w:val="24"/>
      <w:lang w:val="x-none" w:eastAsia="sk-SK"/>
    </w:rPr>
  </w:style>
  <w:style w:type="paragraph" w:styleId="Textpoznmkypodiarou">
    <w:name w:val="footnote text"/>
    <w:basedOn w:val="Normlny"/>
    <w:link w:val="TextpoznmkypodiarouChar"/>
    <w:semiHidden/>
    <w:rPr>
      <w:sz w:val="20"/>
      <w:szCs w:val="20"/>
    </w:rPr>
  </w:style>
  <w:style w:type="character" w:customStyle="1" w:styleId="TextpoznmkypodiarouChar">
    <w:name w:val="Text poznámky pod čiarou Char"/>
    <w:link w:val="Textpoznmkypodiarou"/>
    <w:semiHidden/>
    <w:locked/>
    <w:rPr>
      <w:rFonts w:ascii="Times New Roman" w:hAnsi="Times New Roman"/>
      <w:sz w:val="20"/>
      <w:lang w:val="x-none" w:eastAsia="sk-SK"/>
    </w:rPr>
  </w:style>
  <w:style w:type="character" w:styleId="Odkaznapoznmkupodiarou">
    <w:name w:val="footnote reference"/>
    <w:semiHidden/>
    <w:rPr>
      <w:vertAlign w:val="superscript"/>
    </w:rPr>
  </w:style>
  <w:style w:type="paragraph" w:styleId="Normlnywebov">
    <w:name w:val="Normal (Web)"/>
    <w:basedOn w:val="Normlny"/>
    <w:semiHidden/>
    <w:pPr>
      <w:spacing w:before="100" w:beforeAutospacing="1" w:after="100" w:afterAutospacing="1"/>
    </w:pPr>
  </w:style>
  <w:style w:type="table" w:styleId="Mriekatabuky">
    <w:name w:val="Table Grid"/>
    <w:basedOn w:val="Normlnatabuk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1">
    <w:name w:val="Text zástupného symbolu1"/>
    <w:semiHidden/>
    <w:rPr>
      <w:color w:val="808080"/>
    </w:rPr>
  </w:style>
  <w:style w:type="paragraph" w:customStyle="1" w:styleId="MPCKO1">
    <w:name w:val="MP CKO 1"/>
    <w:basedOn w:val="Nadpis2"/>
    <w:next w:val="Normlny"/>
    <w:pPr>
      <w:pBdr>
        <w:bottom w:val="single" w:sz="8" w:space="4" w:color="4F81BD"/>
      </w:pBdr>
      <w:spacing w:after="300"/>
    </w:pPr>
    <w:rPr>
      <w:rFonts w:ascii="Times New Roman" w:hAnsi="Times New Roman"/>
      <w:color w:val="365F91"/>
      <w:spacing w:val="5"/>
      <w:kern w:val="28"/>
      <w:sz w:val="36"/>
    </w:rPr>
  </w:style>
  <w:style w:type="character" w:customStyle="1" w:styleId="Nadpis2Char">
    <w:name w:val="Nadpis 2 Char"/>
    <w:link w:val="Nadpis2"/>
    <w:semiHidden/>
    <w:locked/>
    <w:rPr>
      <w:rFonts w:ascii="Cambria" w:hAnsi="Cambria"/>
      <w:b/>
      <w:color w:val="4F81BD"/>
      <w:sz w:val="26"/>
      <w:lang w:val="x-none" w:eastAsia="sk-SK"/>
    </w:rPr>
  </w:style>
  <w:style w:type="paragraph" w:customStyle="1" w:styleId="MPCKO2">
    <w:name w:val="MP CKO 2"/>
    <w:basedOn w:val="Nadpis3"/>
    <w:pPr>
      <w:jc w:val="both"/>
    </w:pPr>
    <w:rPr>
      <w:rFonts w:ascii="Times New Roman" w:hAnsi="Times New Roman"/>
      <w:color w:val="365F91"/>
      <w:sz w:val="26"/>
      <w:szCs w:val="22"/>
      <w:lang w:eastAsia="en-US"/>
    </w:rPr>
  </w:style>
  <w:style w:type="character" w:customStyle="1" w:styleId="Nadpis3Char">
    <w:name w:val="Nadpis 3 Char"/>
    <w:link w:val="Nadpis3"/>
    <w:semiHidden/>
    <w:locked/>
    <w:rPr>
      <w:rFonts w:ascii="Cambria" w:hAnsi="Cambria"/>
      <w:b/>
      <w:color w:val="4F81BD"/>
      <w:sz w:val="24"/>
      <w:lang w:val="x-none" w:eastAsia="sk-SK"/>
    </w:rPr>
  </w:style>
  <w:style w:type="paragraph" w:customStyle="1" w:styleId="MPCKO3">
    <w:name w:val="MP CKO 3"/>
    <w:basedOn w:val="Nadpis4"/>
    <w:next w:val="Normlny"/>
    <w:pPr>
      <w:jc w:val="both"/>
    </w:pPr>
    <w:rPr>
      <w:rFonts w:ascii="Times New Roman" w:hAnsi="Times New Roman"/>
      <w:i w:val="0"/>
      <w:color w:val="365F91"/>
    </w:rPr>
  </w:style>
  <w:style w:type="character" w:customStyle="1" w:styleId="Nadpis4Char">
    <w:name w:val="Nadpis 4 Char"/>
    <w:link w:val="Nadpis4"/>
    <w:semiHidden/>
    <w:locked/>
    <w:rPr>
      <w:rFonts w:ascii="Cambria" w:hAnsi="Cambria"/>
      <w:b/>
      <w:i/>
      <w:color w:val="4F81BD"/>
      <w:sz w:val="24"/>
      <w:lang w:val="x-none" w:eastAsia="sk-SK"/>
    </w:rPr>
  </w:style>
  <w:style w:type="paragraph" w:customStyle="1" w:styleId="MPCKO4">
    <w:name w:val="MP CKO 4"/>
    <w:basedOn w:val="Nadpis5"/>
    <w:next w:val="Normlny"/>
    <w:rPr>
      <w:rFonts w:ascii="Times New Roman" w:hAnsi="Times New Roman"/>
      <w:b/>
      <w:i/>
      <w:color w:val="365F91"/>
    </w:rPr>
  </w:style>
  <w:style w:type="character" w:customStyle="1" w:styleId="Nadpis5Char">
    <w:name w:val="Nadpis 5 Char"/>
    <w:link w:val="Nadpis5"/>
    <w:semiHidden/>
    <w:locked/>
    <w:rPr>
      <w:rFonts w:ascii="Cambria" w:hAnsi="Cambria"/>
      <w:color w:val="243F60"/>
      <w:sz w:val="24"/>
      <w:lang w:val="x-none" w:eastAsia="sk-SK"/>
    </w:rPr>
  </w:style>
  <w:style w:type="paragraph" w:customStyle="1" w:styleId="SRKNorm">
    <w:name w:val="SRK Norm."/>
    <w:basedOn w:val="Normlny"/>
    <w:next w:val="Normlny"/>
    <w:pPr>
      <w:numPr>
        <w:numId w:val="7"/>
      </w:numPr>
      <w:spacing w:before="200" w:after="200"/>
      <w:ind w:left="714" w:hanging="357"/>
      <w:contextualSpacing/>
      <w:jc w:val="both"/>
    </w:pPr>
  </w:style>
  <w:style w:type="character" w:customStyle="1" w:styleId="Nadpis1Char">
    <w:name w:val="Nadpis 1 Char"/>
    <w:link w:val="Nadpis1"/>
    <w:locked/>
    <w:rPr>
      <w:rFonts w:ascii="Cambria" w:hAnsi="Cambria"/>
      <w:b/>
      <w:color w:val="365F91"/>
      <w:sz w:val="28"/>
      <w:lang w:val="x-none" w:eastAsia="sk-SK"/>
    </w:rPr>
  </w:style>
  <w:style w:type="paragraph" w:customStyle="1" w:styleId="Hlavikaobsahu1">
    <w:name w:val="Hlavička obsahu1"/>
    <w:basedOn w:val="Nadpis1"/>
    <w:next w:val="Normlny"/>
    <w:pPr>
      <w:spacing w:line="276" w:lineRule="auto"/>
      <w:outlineLvl w:val="9"/>
    </w:pPr>
  </w:style>
  <w:style w:type="paragraph" w:styleId="Obsah2">
    <w:name w:val="toc 2"/>
    <w:basedOn w:val="Normlny"/>
    <w:next w:val="Normlny"/>
    <w:autoRedefine/>
    <w:pPr>
      <w:spacing w:after="100"/>
      <w:ind w:left="240"/>
    </w:pPr>
  </w:style>
  <w:style w:type="paragraph" w:styleId="Obsah3">
    <w:name w:val="toc 3"/>
    <w:basedOn w:val="Normlny"/>
    <w:next w:val="Normlny"/>
    <w:autoRedefine/>
    <w:pPr>
      <w:spacing w:after="100"/>
      <w:ind w:left="480"/>
    </w:pPr>
  </w:style>
  <w:style w:type="paragraph" w:styleId="Obsah4">
    <w:name w:val="toc 4"/>
    <w:basedOn w:val="Normlny"/>
    <w:next w:val="Normlny"/>
    <w:autoRedefine/>
    <w:pPr>
      <w:spacing w:after="100"/>
      <w:ind w:left="720"/>
    </w:pPr>
  </w:style>
  <w:style w:type="paragraph" w:styleId="Obsah5">
    <w:name w:val="toc 5"/>
    <w:basedOn w:val="Normlny"/>
    <w:next w:val="Normlny"/>
    <w:autoRedefine/>
    <w:pPr>
      <w:spacing w:after="100"/>
      <w:ind w:left="960"/>
    </w:pPr>
  </w:style>
  <w:style w:type="paragraph" w:customStyle="1" w:styleId="odseky">
    <w:name w:val="odseky"/>
    <w:basedOn w:val="Normlny"/>
    <w:pPr>
      <w:numPr>
        <w:numId w:val="23"/>
      </w:numPr>
      <w:ind w:left="360"/>
      <w:jc w:val="both"/>
    </w:pPr>
    <w:rPr>
      <w:rFonts w:ascii="Arial" w:hAnsi="Arial"/>
      <w:lang w:eastAsia="en-GB"/>
    </w:rPr>
  </w:style>
  <w:style w:type="paragraph" w:customStyle="1" w:styleId="ZakladnystylChar">
    <w:name w:val="Zakladny styl Char"/>
    <w:link w:val="ZakladnystylCharChar"/>
    <w:rPr>
      <w:rFonts w:ascii="Times New Roman" w:hAnsi="Times New Roman" w:cs="Times New Roman"/>
      <w:sz w:val="24"/>
      <w:szCs w:val="24"/>
    </w:rPr>
  </w:style>
  <w:style w:type="character" w:customStyle="1" w:styleId="ZakladnystylCharChar">
    <w:name w:val="Zakladny styl Char Char"/>
    <w:link w:val="ZakladnystylChar"/>
    <w:locked/>
    <w:rPr>
      <w:rFonts w:ascii="Times New Roman" w:hAnsi="Times New Roman"/>
      <w:sz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2526</Words>
  <Characters>15050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Príloha č</vt:lpstr>
    </vt:vector>
  </TitlesOfParts>
  <Company>MVRR</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Čillik Martin</dc:creator>
  <cp:lastModifiedBy>Tibor Barna</cp:lastModifiedBy>
  <cp:revision>7</cp:revision>
  <cp:lastPrinted>2016-02-11T13:52:00Z</cp:lastPrinted>
  <dcterms:created xsi:type="dcterms:W3CDTF">2015-08-11T12:04:00Z</dcterms:created>
  <dcterms:modified xsi:type="dcterms:W3CDTF">2016-02-11T13:52:00Z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0x010100470C29D3537F2846A15C8C66A4A6A688</vt:lpwstr>
  </property>
</Properties>
</file>