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15A2" w14:textId="3CA9160A" w:rsidR="000259B0" w:rsidRPr="00532D23" w:rsidRDefault="00384E08" w:rsidP="000259B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Príloha výzvy č. 8</w:t>
      </w:r>
    </w:p>
    <w:p w14:paraId="7D565FA2" w14:textId="77777777" w:rsidR="003D585A" w:rsidRPr="004D7ADC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4D7ADC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KRITÉRIÁ PRE VÝBER PROJEKTOV - HODNOTIACE KRITÉRIÁ</w:t>
      </w:r>
    </w:p>
    <w:p w14:paraId="759FCB66" w14:textId="686C614D" w:rsidR="003D585A" w:rsidRPr="004D7ADC" w:rsidRDefault="000259B0" w:rsidP="000259B0">
      <w:pPr>
        <w:tabs>
          <w:tab w:val="left" w:pos="4095"/>
          <w:tab w:val="center" w:pos="7129"/>
        </w:tabs>
        <w:spacing w:after="0" w:line="240" w:lineRule="auto"/>
        <w:ind w:right="1139"/>
        <w:outlineLvl w:val="0"/>
        <w:rPr>
          <w:rFonts w:ascii="Arial" w:eastAsia="Calibri" w:hAnsi="Arial" w:cs="Arial"/>
          <w:bCs/>
          <w:color w:val="000000" w:themeColor="text1"/>
          <w:sz w:val="24"/>
          <w:szCs w:val="19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19"/>
        </w:rPr>
        <w:tab/>
      </w:r>
      <w:r>
        <w:rPr>
          <w:rFonts w:ascii="Arial" w:eastAsia="Calibri" w:hAnsi="Arial" w:cs="Arial"/>
          <w:bCs/>
          <w:color w:val="000000" w:themeColor="text1"/>
          <w:sz w:val="24"/>
          <w:szCs w:val="19"/>
        </w:rPr>
        <w:tab/>
      </w:r>
      <w:r w:rsidR="003D585A" w:rsidRPr="004D7ADC">
        <w:rPr>
          <w:rFonts w:ascii="Arial" w:eastAsia="Calibri" w:hAnsi="Arial" w:cs="Arial"/>
          <w:bCs/>
          <w:color w:val="000000" w:themeColor="text1"/>
          <w:sz w:val="24"/>
          <w:szCs w:val="19"/>
        </w:rPr>
        <w:t>pre hodnotenie žiadostí o NFP v rámci</w:t>
      </w:r>
    </w:p>
    <w:p w14:paraId="0E4B0A82" w14:textId="77777777" w:rsidR="003D585A" w:rsidRPr="004D7ADC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Cs/>
          <w:color w:val="000000" w:themeColor="text1"/>
          <w:sz w:val="24"/>
          <w:szCs w:val="19"/>
        </w:rPr>
      </w:pPr>
      <w:r w:rsidRPr="004D7ADC">
        <w:rPr>
          <w:rFonts w:ascii="Arial" w:eastAsia="Calibri" w:hAnsi="Arial" w:cs="Arial"/>
          <w:bCs/>
          <w:color w:val="000000" w:themeColor="text1"/>
          <w:sz w:val="24"/>
          <w:szCs w:val="19"/>
        </w:rPr>
        <w:t>Integrovaného regionálneho operačného programu</w:t>
      </w:r>
    </w:p>
    <w:p w14:paraId="6FDED9D7" w14:textId="77777777" w:rsidR="003D585A" w:rsidRPr="004D7ADC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4D7ADC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prioritná os 1</w:t>
      </w:r>
    </w:p>
    <w:p w14:paraId="53580B49" w14:textId="77777777" w:rsidR="00A612A4" w:rsidRPr="004D7ADC" w:rsidRDefault="00A612A4" w:rsidP="00A612A4">
      <w:pPr>
        <w:spacing w:after="0" w:line="240" w:lineRule="auto"/>
        <w:ind w:right="1139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</w:p>
    <w:p w14:paraId="73B5C4DC" w14:textId="77777777" w:rsidR="003D585A" w:rsidRPr="004D7ADC" w:rsidRDefault="002E5849" w:rsidP="00A612A4">
      <w:pPr>
        <w:spacing w:after="0" w:line="240" w:lineRule="auto"/>
        <w:ind w:right="1139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4D7ADC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Š</w:t>
      </w:r>
      <w:r w:rsidR="003D585A" w:rsidRPr="004D7ADC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pecifický cieľ 1.1 – Zlepšenie dostupnosti k infraštruktúre TEN-T a cestám I. triedy s dôrazom na rozvoj multimodálneho dopravného systému</w:t>
      </w:r>
    </w:p>
    <w:p w14:paraId="15CFDE2C" w14:textId="77777777" w:rsidR="005B53B3" w:rsidRPr="004D7ADC" w:rsidRDefault="005B53B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tbl>
      <w:tblPr>
        <w:tblStyle w:val="TableGrid2"/>
        <w:tblW w:w="5016" w:type="pct"/>
        <w:tblLook w:val="04A0" w:firstRow="1" w:lastRow="0" w:firstColumn="1" w:lastColumn="0" w:noHBand="0" w:noVBand="1"/>
      </w:tblPr>
      <w:tblGrid>
        <w:gridCol w:w="895"/>
        <w:gridCol w:w="2678"/>
        <w:gridCol w:w="4189"/>
        <w:gridCol w:w="1764"/>
        <w:gridCol w:w="1689"/>
        <w:gridCol w:w="4449"/>
      </w:tblGrid>
      <w:tr w:rsidR="00B421C4" w:rsidRPr="004D7ADC" w14:paraId="34F16DC4" w14:textId="77777777" w:rsidTr="002B7F41">
        <w:trPr>
          <w:trHeight w:val="397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31DC34" w14:textId="77777777" w:rsidR="00B421C4" w:rsidRPr="004D7ADC" w:rsidRDefault="00B421C4" w:rsidP="002B7F41">
            <w:pPr>
              <w:keepNext/>
              <w:keepLines/>
              <w:widowControl w:val="0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D9AF74" w14:textId="77777777" w:rsidR="00B421C4" w:rsidRPr="004D7ADC" w:rsidRDefault="00B421C4" w:rsidP="002B7F41">
            <w:pPr>
              <w:keepNext/>
              <w:keepLines/>
              <w:widowControl w:val="0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2CB296" w14:textId="77777777" w:rsidR="00B421C4" w:rsidRPr="004D7ADC" w:rsidRDefault="00B421C4" w:rsidP="002B7F41">
            <w:pPr>
              <w:keepNext/>
              <w:keepLines/>
              <w:widowControl w:val="0"/>
              <w:ind w:left="143" w:right="136" w:hanging="3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CBD5E0" w14:textId="77777777" w:rsidR="00B421C4" w:rsidRPr="004D7ADC" w:rsidRDefault="00B421C4" w:rsidP="002B7F41">
            <w:pPr>
              <w:keepNext/>
              <w:keepLines/>
              <w:widowControl w:val="0"/>
              <w:ind w:left="31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D89A63" w14:textId="77777777" w:rsidR="00B421C4" w:rsidRPr="004D7ADC" w:rsidRDefault="00B421C4" w:rsidP="002B7F41">
            <w:pPr>
              <w:keepNext/>
              <w:keepLines/>
              <w:widowControl w:val="0"/>
              <w:ind w:left="34" w:right="136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Hodnotenie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A7A1A8" w14:textId="77777777" w:rsidR="00B421C4" w:rsidRPr="004D7ADC" w:rsidRDefault="00B421C4" w:rsidP="002B7F41">
            <w:pPr>
              <w:keepNext/>
              <w:keepLines/>
              <w:widowControl w:val="0"/>
              <w:ind w:left="143" w:right="136" w:hanging="3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B421C4" w:rsidRPr="004D7ADC" w14:paraId="65C79B23" w14:textId="77777777" w:rsidTr="002B7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0CD9D6" w14:textId="77777777" w:rsidR="00B421C4" w:rsidRPr="004D7ADC" w:rsidRDefault="00B421C4" w:rsidP="002B7F41">
            <w:pPr>
              <w:keepNext/>
              <w:keepLines/>
              <w:widowControl w:val="0"/>
              <w:spacing w:line="269" w:lineRule="exact"/>
              <w:ind w:right="2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0DB437" w14:textId="77777777" w:rsidR="00B421C4" w:rsidRPr="004D7ADC" w:rsidRDefault="00B421C4" w:rsidP="002B7F41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B421C4" w:rsidRPr="004D7ADC" w14:paraId="03E4433C" w14:textId="77777777" w:rsidTr="002B7F41">
        <w:trPr>
          <w:trHeight w:val="8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2E7" w14:textId="77777777" w:rsidR="00B421C4" w:rsidRPr="004D7ADC" w:rsidRDefault="00B421C4" w:rsidP="002B7F41">
            <w:pPr>
              <w:keepNext/>
              <w:keepLines/>
              <w:spacing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B50F" w14:textId="77777777" w:rsidR="00B421C4" w:rsidRPr="004D7ADC" w:rsidRDefault="00B421C4" w:rsidP="002B7F41">
            <w:pPr>
              <w:keepNext/>
              <w:keepLines/>
              <w:spacing w:line="256" w:lineRule="auto"/>
              <w:outlineLvl w:val="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IROP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B75" w14:textId="77777777" w:rsidR="00B421C4" w:rsidRPr="004D7ADC" w:rsidRDefault="00B421C4" w:rsidP="002B7F41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intervenčnou stratégiou IROP, špecifickým cieľom 1.1  </w:t>
            </w:r>
            <w:r w:rsidRPr="00DB4827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Zlepšenie dostupnosti k infraštruktúre TEN-T a cestám I. triedy s dôrazom na rozvoj </w:t>
            </w:r>
            <w:proofErr w:type="spellStart"/>
            <w:r w:rsidRPr="00DB4827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multimodálneho</w:t>
            </w:r>
            <w:proofErr w:type="spellEnd"/>
            <w:r w:rsidRPr="00DB4827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dopravného systému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60E18B62" w14:textId="77777777" w:rsidR="00B421C4" w:rsidRPr="004D7ADC" w:rsidRDefault="00B421C4" w:rsidP="002B7F41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7AD0D63" w14:textId="77777777" w:rsidR="00B421C4" w:rsidRPr="004D7ADC" w:rsidRDefault="00B421C4" w:rsidP="002B7F41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správne zameranie projektu v rozsahu vecného súladu:</w:t>
            </w:r>
          </w:p>
          <w:p w14:paraId="54E76030" w14:textId="77777777" w:rsidR="00B421C4" w:rsidRPr="004D7ADC" w:rsidRDefault="00B421C4" w:rsidP="002B7F41">
            <w:pPr>
              <w:keepNext/>
              <w:keepLines/>
              <w:numPr>
                <w:ilvl w:val="0"/>
                <w:numId w:val="33"/>
              </w:numPr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projektu s príslušným špecifickým cieľ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 OP,</w:t>
            </w:r>
          </w:p>
          <w:p w14:paraId="4B61E761" w14:textId="77777777" w:rsidR="00B421C4" w:rsidRPr="004D7ADC" w:rsidRDefault="00B421C4" w:rsidP="002B7F41">
            <w:pPr>
              <w:keepNext/>
              <w:keepLines/>
              <w:numPr>
                <w:ilvl w:val="0"/>
                <w:numId w:val="33"/>
              </w:numPr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cieľov projektu s očakávanými výsledkami IROP,</w:t>
            </w:r>
          </w:p>
          <w:p w14:paraId="05F65B32" w14:textId="77777777" w:rsidR="00B421C4" w:rsidRPr="004D7ADC" w:rsidRDefault="00B421C4" w:rsidP="002B7F41">
            <w:pPr>
              <w:keepNext/>
              <w:keepLines/>
              <w:numPr>
                <w:ilvl w:val="0"/>
                <w:numId w:val="33"/>
              </w:numPr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hlavných aktivít projektu s definovanými oprávnenými aktivitami IROP,</w:t>
            </w:r>
          </w:p>
          <w:p w14:paraId="5715304E" w14:textId="77777777" w:rsidR="00B421C4" w:rsidRPr="004D7ADC" w:rsidRDefault="00B421C4" w:rsidP="002B7F41">
            <w:pPr>
              <w:keepNext/>
              <w:keepLines/>
              <w:numPr>
                <w:ilvl w:val="0"/>
                <w:numId w:val="33"/>
              </w:numPr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projektu s hlavnými zásadami výberu operácií pre príslušný špecifický cieľ.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</w:p>
          <w:p w14:paraId="62EB0171" w14:textId="77777777" w:rsidR="00B421C4" w:rsidRPr="004D7ADC" w:rsidRDefault="00B421C4" w:rsidP="002B7F41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Na rozdiel od administratívneho overenia ide o hĺbkové posúdenie vecnej (obsahovej) stránky projektu z hľadiska jeho súladu so stratégiou a cieľmi prioritnej osi 1 v danej oblasti.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579" w14:textId="77777777" w:rsidR="00B421C4" w:rsidRPr="004D7ADC" w:rsidRDefault="00B421C4" w:rsidP="002B7F41">
            <w:pPr>
              <w:keepNext/>
              <w:keepLines/>
              <w:spacing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529A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A25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intervenčnou stratégiou IROP v danej oblasti.</w:t>
            </w:r>
          </w:p>
        </w:tc>
      </w:tr>
      <w:tr w:rsidR="00B421C4" w:rsidRPr="004D7ADC" w14:paraId="1D9D92A2" w14:textId="77777777" w:rsidTr="002B7F41">
        <w:trPr>
          <w:trHeight w:val="54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F69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5A0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BA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51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EC3" w14:textId="77777777" w:rsidR="00B421C4" w:rsidRPr="004D7ADC" w:rsidRDefault="00B421C4" w:rsidP="002B7F41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7E5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intervenčnou stratégiou IROP v danej oblasti, resp. tento súlad je iba v deklaratívnej rovine.</w:t>
            </w:r>
          </w:p>
        </w:tc>
      </w:tr>
      <w:tr w:rsidR="00B421C4" w:rsidRPr="004D7ADC" w14:paraId="0E42ECB5" w14:textId="77777777" w:rsidTr="002B7F41">
        <w:trPr>
          <w:trHeight w:val="40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0B4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.2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3028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EA8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 vypracovanou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UMR.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141A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E0AB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D4F1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Regionálnou integrovanou územnou stratégiou/Integrovanou územnou stratégiou UMR.</w:t>
            </w:r>
          </w:p>
        </w:tc>
      </w:tr>
      <w:tr w:rsidR="00B421C4" w:rsidRPr="004D7ADC" w14:paraId="6F0243AE" w14:textId="77777777" w:rsidTr="002B7F41">
        <w:trPr>
          <w:trHeight w:val="5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65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AFD3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DCC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30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E6EC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6BE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Regionálnou integrovanou územnou stratégiou/Integrovanou územnou stratégiou UMR.</w:t>
            </w:r>
          </w:p>
        </w:tc>
      </w:tr>
      <w:tr w:rsidR="00B421C4" w:rsidRPr="004D7ADC" w14:paraId="76679B93" w14:textId="77777777" w:rsidTr="002B7F41">
        <w:trPr>
          <w:trHeight w:val="69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DF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767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D8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vypracovaným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Plánom udržateľnej mobility.</w:t>
            </w:r>
          </w:p>
          <w:p w14:paraId="50467C82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3B237539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5A54D80F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</w:t>
            </w:r>
            <w:r>
              <w:rPr>
                <w:rStyle w:val="Odkaznapoznmkupodiarou"/>
                <w:rFonts w:ascii="Arial" w:hAnsi="Arial"/>
                <w:i/>
                <w:color w:val="000000" w:themeColor="text1"/>
                <w:sz w:val="19"/>
                <w:szCs w:val="19"/>
              </w:rPr>
              <w:footnoteReference w:id="1"/>
            </w: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“ intervenciách.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4D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F79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2D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Plánom udržateľnej mobility.</w:t>
            </w:r>
          </w:p>
        </w:tc>
      </w:tr>
      <w:tr w:rsidR="00B421C4" w:rsidRPr="004D7ADC" w14:paraId="2AA22EB8" w14:textId="77777777" w:rsidTr="002B7F41">
        <w:trPr>
          <w:trHeight w:val="39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C7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71E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9FC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DB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E5B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06E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Plánom udržateľnej mobility.</w:t>
            </w:r>
          </w:p>
        </w:tc>
      </w:tr>
      <w:tr w:rsidR="00B421C4" w:rsidRPr="004D7ADC" w14:paraId="05FD3C47" w14:textId="77777777" w:rsidTr="002B7F41">
        <w:trPr>
          <w:trHeight w:val="16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0BC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CD1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8BC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30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987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0589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Neaplikuje sa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pre daný typ intervencie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421C4" w:rsidRPr="004D7ADC" w14:paraId="0F742DB9" w14:textId="77777777" w:rsidTr="002B7F41">
        <w:trPr>
          <w:trHeight w:val="343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BA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14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rekonštrukcie/</w:t>
            </w:r>
          </w:p>
          <w:p w14:paraId="73B182C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výstavby mostného objektu s plánom udržateľnej </w:t>
            </w:r>
          </w:p>
          <w:p w14:paraId="7BF3EAA8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mobility 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 odstráneniu úzkych miest na dôležitých  komunikáciách určených pre VOD</w:t>
            </w:r>
          </w:p>
          <w:p w14:paraId="577E165B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D7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rekonštrukcie/výstavby mostného objektu vychádza z plánu udržateľnej mobility a zároveň jeho príspevok k odstráneniu úzkych miest na dôležitých  komunikáciách určených pre VOD. </w:t>
            </w:r>
          </w:p>
          <w:p w14:paraId="173C7B28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4D6E5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Zároveň musí byť splnená podmienka, že tieto objekty sú zaradené do kategórie stavebného stavu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„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zlý až havarijný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“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638F046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0A7D1FD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12F74BB" w14:textId="77777777" w:rsidR="00B421C4" w:rsidRPr="00947D79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pri projektoch týkajúcich sa samostatnej rekonštrukcie/výstavby mostného objektu.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F0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CAB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892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vychádza z plánu udržateľnej mestskej/regionálnej mobility a zároveň prispieva k odstráneniu úzkych miest na dôležitých  komunikáciách určených pre VOD. </w:t>
            </w:r>
          </w:p>
          <w:p w14:paraId="2B344628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Mostné objekty sú zaradené do kategórie stavebného stavu zlý až havarijný.</w:t>
            </w:r>
          </w:p>
        </w:tc>
      </w:tr>
      <w:tr w:rsidR="00B421C4" w:rsidRPr="004D7ADC" w14:paraId="70D291EC" w14:textId="77777777" w:rsidTr="002B7F41">
        <w:trPr>
          <w:trHeight w:val="54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6B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A6F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C0B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32E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29A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E9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nie je identifikovaný v pláne udržateľnej mestskej/regionálnej </w:t>
            </w:r>
            <w:r w:rsidRPr="00330557">
              <w:rPr>
                <w:rFonts w:ascii="Arial" w:hAnsi="Arial" w:cs="Arial"/>
                <w:color w:val="000000" w:themeColor="text1"/>
                <w:sz w:val="19"/>
                <w:szCs w:val="19"/>
              </w:rPr>
              <w:t>mobility a/alebo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neprispieva k odstráneniu úzkych miest na dôležitých  komunikáciách určených pre VOD. </w:t>
            </w:r>
          </w:p>
          <w:p w14:paraId="72D858C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Mostné objekty nie sú zaradené do kategórie stavebného stavu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„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zlý až havarijný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“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421C4" w:rsidRPr="004D7ADC" w14:paraId="3F15A891" w14:textId="77777777" w:rsidTr="002B7F41">
        <w:trPr>
          <w:trHeight w:val="732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D7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023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ED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7A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E6A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166" w14:textId="77777777" w:rsidR="00B421C4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Neaplikuje sa pri identifikovaných „bezpečných/istých“ intervenciách. </w:t>
            </w:r>
          </w:p>
          <w:p w14:paraId="276340DD" w14:textId="77777777" w:rsidR="00B421C4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25BC2CF6" w14:textId="77777777" w:rsidR="00B421C4" w:rsidRPr="002F7E7D" w:rsidRDefault="00B421C4" w:rsidP="002B7F41"/>
        </w:tc>
      </w:tr>
      <w:tr w:rsidR="00B421C4" w:rsidRPr="004D7ADC" w14:paraId="2DD350AD" w14:textId="77777777" w:rsidTr="002B7F41">
        <w:trPr>
          <w:trHeight w:val="16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9C4A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8A603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horizontálnym princípom nediskriminácie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5A6D7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Posudzuje sa, či je projekt v súlade s horizontálnym princípom nediskriminácia resp. s podmienkami prístupnosti podľa č. 9 Prístupnosť Dohovoru OSN o právach osôb so zdravotným postihnutím.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E799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C5B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27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Projekt spĺňa podmienku prístupnosti podľa čl. 9 Dohovoru OSN o právach osôb so zdravotným postihnutím (vyhláška MŽP SR 532/2002 Z. z., Zákon č. 50/1976 Z. z. o územnom plánovaní a stavebnom poriadku).</w:t>
            </w:r>
          </w:p>
        </w:tc>
      </w:tr>
      <w:tr w:rsidR="00B421C4" w:rsidRPr="004D7ADC" w14:paraId="43E44332" w14:textId="77777777" w:rsidTr="002B7F41">
        <w:trPr>
          <w:trHeight w:val="1498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B97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E20B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BBB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BDF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64A79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4086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Projekt nespĺňa podmienku prístupnosti podľa čl. 9 Dohovoru OSN o právach osôb so zdravotným postihnutím (vyhláška MŽP SR 532/2002 Z. z., Zákon č. 50/1976 Z. z. o územnom plánovaní a stavebnom poriadku).</w:t>
            </w:r>
          </w:p>
        </w:tc>
      </w:tr>
      <w:tr w:rsidR="00B421C4" w:rsidRPr="004D7ADC" w14:paraId="20EA8E94" w14:textId="77777777" w:rsidTr="002B7F41">
        <w:trPr>
          <w:trHeight w:val="59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A9D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33F5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vyváženému územnému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rozvoju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273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Kritérium hodnotí mieru príspevku projektu k prepájaniu centier osídlenia (v zmysle Prílohy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č. 4 k Metodike </w:t>
            </w: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multikriteriálneho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hodnotenia investičných projektov pre IROP/RIÚS) a prístupu k základným sociálnym službám (vzdelanie, zdravotná a sociálna starostlivosť, kultúra atď.).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D0A2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921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AD8C41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prepájaniu centier osídlenia a prístupu k základným sociálnym službám.</w:t>
            </w:r>
          </w:p>
        </w:tc>
      </w:tr>
      <w:tr w:rsidR="00B421C4" w:rsidRPr="004D7ADC" w14:paraId="58F6F815" w14:textId="77777777" w:rsidTr="002B7F41">
        <w:trPr>
          <w:trHeight w:val="55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8BF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9360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864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C7FA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A387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467C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prepájaniu centier osídlenia a prístupu k základným sociálnym službám.</w:t>
            </w:r>
          </w:p>
        </w:tc>
      </w:tr>
      <w:tr w:rsidR="00B421C4" w:rsidRPr="004D7ADC" w14:paraId="2EAF10FA" w14:textId="77777777" w:rsidTr="002B7F41">
        <w:trPr>
          <w:trHeight w:val="557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3332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B86B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vytváraniu podmienok pre hospodársky rast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DA3" w14:textId="77777777" w:rsidR="00B421C4" w:rsidRPr="004D7ADC" w:rsidRDefault="00B421C4" w:rsidP="002B7F41">
            <w:pPr>
              <w:ind w:hanging="16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príspevok projektu k napojeniu: </w:t>
            </w:r>
          </w:p>
          <w:p w14:paraId="50AF5BF7" w14:textId="77777777" w:rsidR="00B421C4" w:rsidRPr="004D7ADC" w:rsidRDefault="00B421C4" w:rsidP="002B7F4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11" w:hanging="27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4D7AD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sk-SK"/>
              </w:rPr>
              <w:t>priemyselných parkov a/alebo</w:t>
            </w:r>
          </w:p>
          <w:p w14:paraId="72680631" w14:textId="77777777" w:rsidR="00B421C4" w:rsidRDefault="00B421C4" w:rsidP="00B421C4">
            <w:pPr>
              <w:numPr>
                <w:ilvl w:val="0"/>
                <w:numId w:val="22"/>
              </w:numPr>
              <w:ind w:left="411" w:hanging="270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priemyselných zón a významných podnikov z hľadiska zamestnanosti a/alebo</w:t>
            </w:r>
          </w:p>
          <w:p w14:paraId="1BC2827C" w14:textId="77777777" w:rsidR="00B421C4" w:rsidRDefault="00B421C4" w:rsidP="00B421C4">
            <w:pPr>
              <w:numPr>
                <w:ilvl w:val="0"/>
                <w:numId w:val="22"/>
              </w:numPr>
              <w:ind w:left="411" w:hanging="270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prekladísk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intermodálnej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dopravy</w:t>
            </w:r>
          </w:p>
          <w:p w14:paraId="10148C1E" w14:textId="77777777" w:rsidR="00B421C4" w:rsidRPr="004D7ADC" w:rsidRDefault="00B421C4" w:rsidP="002B7F41">
            <w:pPr>
              <w:ind w:left="411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14:paraId="7F500FCB" w14:textId="77777777" w:rsidR="00B421C4" w:rsidRPr="004D7ADC" w:rsidRDefault="00B421C4" w:rsidP="002B7F41">
            <w:pPr>
              <w:ind w:left="-39" w:firstLine="23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na dopravnú infraštruktúru vyšších kategórií.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E817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26923F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5C55732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vytvára infraštruktúrne podmienky pre hospodársky rast a ekonomický rozvoj prostredníctvom napojenia priemyselných parkov a/alebo zón a významných podnikov a/alebo prekladísk 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intermodálnej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prepravy na dopravnú infraštruktúru vyšších kategórií.</w:t>
            </w:r>
          </w:p>
        </w:tc>
      </w:tr>
      <w:tr w:rsidR="00B421C4" w:rsidRPr="004D7ADC" w14:paraId="185D3CC2" w14:textId="77777777" w:rsidTr="002B7F41">
        <w:trPr>
          <w:trHeight w:val="41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0B6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9CB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7D9E" w14:textId="77777777" w:rsidR="00B421C4" w:rsidRPr="004D7ADC" w:rsidRDefault="00B421C4" w:rsidP="002B7F41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ED50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0AE1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141D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nevytvára infraštruktúrne podmienky pre hospodársky rast a ekonomický rozvoj, tzn. neprispieva k napojeniu priemyselných parkov a/alebo zón a významných podnikov a/alebo prekladísk 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intermodálnej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prepravy na dopravnú infraštruktúru vyšších kategórií.</w:t>
            </w:r>
          </w:p>
        </w:tc>
      </w:tr>
      <w:tr w:rsidR="00B421C4" w:rsidRPr="004D7ADC" w14:paraId="3504EC45" w14:textId="77777777" w:rsidTr="002B7F41">
        <w:trPr>
          <w:trHeight w:val="89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95F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4854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Synergia a 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komplementarita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projektmi nadnárodnej a národnej cestnej dopravnej siete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9F8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dodatočné, resp. doplnkové efekty s investičnými intervenciami v podobe veľkých/národných projektov nadnárodnej a národnej cestnej dopravnej siete v operačných programoch OPD 2007 – 2013 a OPII 2014 – 2020 alebo projektmi výstavby diaľnic, rýchlostných ciest a ciest I. triedy financovanými z národných zdrojov či formou verejno-súkromných partnerstiev (PPP).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A051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8E210D3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0D8" w14:textId="77777777" w:rsidR="00B421C4" w:rsidRPr="004D7ADC" w:rsidRDefault="00B421C4" w:rsidP="002B7F41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116A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dodatočné, resp.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efekty s investičnými intervenciami v podobe veľkých/národných projektov nadnárodnej a národnej cestnej dopravnej siete.</w:t>
            </w:r>
          </w:p>
        </w:tc>
      </w:tr>
      <w:tr w:rsidR="00B421C4" w:rsidRPr="004D7ADC" w14:paraId="143D20B6" w14:textId="77777777" w:rsidTr="002B7F41">
        <w:trPr>
          <w:trHeight w:val="9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7F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9A7D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A3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6EC0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89C0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67F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nemá žiadne dodatočné, resp.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efekty s investičnými intervenciami v podobe veľkých/národných projektov nadnárodnej a národnej cestnej dopravnej siete.</w:t>
            </w:r>
          </w:p>
        </w:tc>
      </w:tr>
      <w:tr w:rsidR="00B421C4" w:rsidRPr="004D7ADC" w14:paraId="0505BE17" w14:textId="77777777" w:rsidTr="002B7F41">
        <w:trPr>
          <w:trHeight w:val="1178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9F84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43AC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podpore verejnej osobnej dopravy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A9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mieru príspevku projektu k zlepšeniu podmienok pre cestnú hromadnú dopravu ako súčasti </w:t>
            </w: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multimodálneho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systému VOD, tvorbe integrovaných </w:t>
            </w: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multimodálnych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systémov dopravy alebo zabezpečuje prístup k verejnej osobnej doprave. </w:t>
            </w:r>
          </w:p>
          <w:p w14:paraId="138FBB9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príspevok projektu k nasledovným oblastiam:</w:t>
            </w:r>
          </w:p>
          <w:p w14:paraId="0C1C51F2" w14:textId="77777777" w:rsidR="00B421C4" w:rsidRPr="004D7ADC" w:rsidRDefault="00B421C4" w:rsidP="002B7F41">
            <w:pPr>
              <w:numPr>
                <w:ilvl w:val="0"/>
                <w:numId w:val="22"/>
              </w:numPr>
              <w:ind w:left="411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skráteniu jazdnej doby verejnej osobnej dopravy,</w:t>
            </w:r>
          </w:p>
          <w:p w14:paraId="35806C55" w14:textId="77777777" w:rsidR="00B421C4" w:rsidRPr="004D7ADC" w:rsidRDefault="00B421C4" w:rsidP="002B7F41">
            <w:pPr>
              <w:numPr>
                <w:ilvl w:val="0"/>
                <w:numId w:val="22"/>
              </w:numPr>
              <w:ind w:left="411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zníženiu prevádzkových nákladov verejnej osobnej dopravy,</w:t>
            </w:r>
          </w:p>
          <w:p w14:paraId="1AC8D44B" w14:textId="77777777" w:rsidR="00B421C4" w:rsidRPr="004D7ADC" w:rsidRDefault="00B421C4" w:rsidP="002B7F41">
            <w:pPr>
              <w:numPr>
                <w:ilvl w:val="0"/>
                <w:numId w:val="22"/>
              </w:numPr>
              <w:ind w:left="411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integrácii a previazanosti služieb vo verejnej osobnej doprave,</w:t>
            </w:r>
          </w:p>
          <w:p w14:paraId="25850BCD" w14:textId="77777777" w:rsidR="00B421C4" w:rsidRDefault="00B421C4" w:rsidP="002B7F41">
            <w:pPr>
              <w:numPr>
                <w:ilvl w:val="0"/>
                <w:numId w:val="22"/>
              </w:numPr>
              <w:ind w:left="411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využívaniu moderných IKT vo väzbe na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potreby cestujúcich,</w:t>
            </w:r>
          </w:p>
          <w:p w14:paraId="7C22870B" w14:textId="77777777" w:rsidR="00B421C4" w:rsidRPr="00D20DD5" w:rsidRDefault="00B421C4" w:rsidP="002B7F41">
            <w:pPr>
              <w:numPr>
                <w:ilvl w:val="0"/>
                <w:numId w:val="22"/>
              </w:numPr>
              <w:ind w:left="411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0DD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rozvoju </w:t>
            </w:r>
            <w:proofErr w:type="spell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</w:t>
            </w:r>
            <w:r w:rsidRPr="00D20DD5">
              <w:rPr>
                <w:rFonts w:ascii="Arial" w:hAnsi="Arial" w:cs="Arial"/>
                <w:color w:val="000000" w:themeColor="text1"/>
                <w:sz w:val="19"/>
                <w:szCs w:val="19"/>
              </w:rPr>
              <w:t>ultimodality</w:t>
            </w:r>
            <w:proofErr w:type="spellEnd"/>
            <w:r w:rsidRPr="00D20DD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 osobnej doprave.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D73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494209BD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8642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495A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min. 3 uvedeným oblastiam  a zároveň je dôležitou spojnicou pre miestnu/národnú verejnú osobnú dopravu alebo zabezpečuje prístup k verejnej osobnej doprave.</w:t>
            </w:r>
          </w:p>
        </w:tc>
      </w:tr>
      <w:tr w:rsidR="00B421C4" w:rsidRPr="004D7ADC" w14:paraId="0C9CDFBD" w14:textId="77777777" w:rsidTr="002B7F41">
        <w:trPr>
          <w:trHeight w:val="113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B44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169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D9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887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189B" w14:textId="77777777" w:rsidR="00B421C4" w:rsidRPr="002F7E7D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CC00" w14:textId="77777777" w:rsidR="00B421C4" w:rsidRPr="002F7E7D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min. 3 uvedeným oblastiam, ale nepredstavuje dôležitú spojnicu pre miestnu/národnú verejnú osobnú dopravu ani nezabezpečuje prístup k verejnej osobnej doprave.</w:t>
            </w:r>
          </w:p>
        </w:tc>
      </w:tr>
      <w:tr w:rsidR="00B421C4" w:rsidRPr="004D7ADC" w14:paraId="2E1D6CBA" w14:textId="77777777" w:rsidTr="002B7F41">
        <w:trPr>
          <w:trHeight w:val="101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0ED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7F0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4FC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565F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57A7" w14:textId="77777777" w:rsidR="00B421C4" w:rsidRPr="002F7E7D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4CAE" w14:textId="77777777" w:rsidR="00B421C4" w:rsidRPr="002F7E7D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2 uvedeným oblastiam.</w:t>
            </w:r>
          </w:p>
        </w:tc>
      </w:tr>
      <w:tr w:rsidR="00B421C4" w:rsidRPr="004D7ADC" w14:paraId="097491D7" w14:textId="77777777" w:rsidTr="002B7F41">
        <w:trPr>
          <w:trHeight w:val="88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FA4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666A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A43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BD5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9768" w14:textId="77777777" w:rsidR="00B421C4" w:rsidRPr="002F7E7D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D5721" w14:textId="77777777" w:rsidR="00B421C4" w:rsidRPr="002F7E7D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podpore VOD, resp. prispieva k menej ako 2 oblastiam.</w:t>
            </w:r>
          </w:p>
        </w:tc>
      </w:tr>
      <w:tr w:rsidR="00B421C4" w:rsidRPr="004D7ADC" w14:paraId="264FC8E0" w14:textId="77777777" w:rsidTr="002B7F41">
        <w:trPr>
          <w:trHeight w:val="398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A8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A70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 </w:t>
            </w:r>
          </w:p>
          <w:p w14:paraId="79E71C0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nemotorovej dopravy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C3C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mieru príspevku projektu k zlepšeniu podmienok nemotorovej dopravy – zvýšenie bezpečnosti zraniteľných účastníkov prepravy, segregácia cestnej dopravy a </w:t>
            </w: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cyklodopravy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2F0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48CE6E8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282D0" w14:textId="77777777" w:rsidR="00B421C4" w:rsidRPr="00100CD2" w:rsidRDefault="00B421C4" w:rsidP="002B7F41">
            <w:pPr>
              <w:widowControl w:val="0"/>
              <w:spacing w:after="160" w:line="259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13CA0" w14:textId="77777777" w:rsidR="00B421C4" w:rsidRPr="002F7E7D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podpore nemotorovej dopravy</w:t>
            </w:r>
            <w:r w:rsidRPr="002F7E7D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segregáciou cestnej dopravy a </w:t>
            </w:r>
            <w:proofErr w:type="spellStart"/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cyklodopravy</w:t>
            </w:r>
            <w:proofErr w:type="spellEnd"/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421C4" w:rsidRPr="004D7ADC" w14:paraId="2DD915D6" w14:textId="77777777" w:rsidTr="002B7F41">
        <w:trPr>
          <w:trHeight w:val="39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1D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8FC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C0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006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9FAF6" w14:textId="77777777" w:rsidR="00B421C4" w:rsidRPr="002F7E7D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6E9B" w14:textId="77777777" w:rsidR="00B421C4" w:rsidRPr="002F7E7D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prispieva k podpore nemotorovej dopravy, avšak bez segregácie cestnej dopravy a </w:t>
            </w:r>
            <w:proofErr w:type="spellStart"/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cyklodopravy</w:t>
            </w:r>
            <w:proofErr w:type="spellEnd"/>
            <w:r w:rsidRPr="002F7E7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421C4" w:rsidRPr="004D7ADC" w14:paraId="040DF3E6" w14:textId="77777777" w:rsidTr="002B7F41">
        <w:trPr>
          <w:trHeight w:val="34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14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19A8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FE0C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FF2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717B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4E42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podpore nemotorovej dopravy.</w:t>
            </w:r>
          </w:p>
        </w:tc>
      </w:tr>
      <w:tr w:rsidR="00B421C4" w:rsidRPr="004D7ADC" w14:paraId="009F8B50" w14:textId="77777777" w:rsidTr="002B7F41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81B1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338D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04F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3023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735A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05DC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B421C4" w:rsidRPr="004D7ADC" w14:paraId="312C9F8F" w14:textId="77777777" w:rsidTr="002B7F41">
        <w:trPr>
          <w:trHeight w:val="425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2CFF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D735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BD72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8E8D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8811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F401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a nepodporuje integrovaný prístup a nevytvára synergický efekt s inými aktivitami IROP alebo iných OP .</w:t>
            </w:r>
          </w:p>
        </w:tc>
      </w:tr>
      <w:tr w:rsidR="00B421C4" w:rsidRPr="004D7ADC" w14:paraId="01412189" w14:textId="77777777" w:rsidTr="002B7F41">
        <w:trPr>
          <w:trHeight w:val="225"/>
        </w:trPr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F895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387B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región</w:t>
            </w:r>
          </w:p>
        </w:tc>
        <w:tc>
          <w:tcPr>
            <w:tcW w:w="1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A40C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2047" w14:textId="77777777" w:rsidR="00B421C4" w:rsidRPr="004D7ADC" w:rsidRDefault="00B421C4" w:rsidP="002B7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72D9F4F1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C7C0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D083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región.</w:t>
            </w:r>
          </w:p>
        </w:tc>
      </w:tr>
      <w:tr w:rsidR="00B421C4" w:rsidRPr="004D7ADC" w14:paraId="50FE0B33" w14:textId="77777777" w:rsidTr="002B7F41">
        <w:trPr>
          <w:trHeight w:val="185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467B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C1FE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DC08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DF91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B483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E294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región.</w:t>
            </w:r>
          </w:p>
        </w:tc>
      </w:tr>
      <w:tr w:rsidR="00B421C4" w:rsidRPr="004D7ADC" w14:paraId="12044F01" w14:textId="77777777" w:rsidTr="002B7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008FA6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3B143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B421C4" w:rsidRPr="004D7ADC" w14:paraId="748F8D59" w14:textId="77777777" w:rsidTr="002B7F41">
        <w:trPr>
          <w:trHeight w:val="98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8FE9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C07A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233" w14:textId="77777777" w:rsidR="00B421C4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  <w:p w14:paraId="6058CC1C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495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6559F33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F93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C5E4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B421C4" w:rsidRPr="004D7ADC" w14:paraId="2E0181F4" w14:textId="77777777" w:rsidTr="002B7F41">
        <w:trPr>
          <w:trHeight w:val="174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12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655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D94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543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5E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1C2B" w14:textId="77777777" w:rsidR="00B421C4" w:rsidRPr="004D7ADC" w:rsidRDefault="00B421C4" w:rsidP="002B7F41">
            <w:pPr>
              <w:spacing w:line="257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niektoré aktivity sa javia ako nevhodné pre realizáciu  projektu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Nedostatky nie sú závažného charakteru, neohrozujú jeho úspešnú realizáciu. </w:t>
            </w:r>
          </w:p>
        </w:tc>
      </w:tr>
      <w:tr w:rsidR="00B421C4" w:rsidRPr="004D7ADC" w14:paraId="417EF552" w14:textId="77777777" w:rsidTr="002B7F41">
        <w:trPr>
          <w:trHeight w:val="43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97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5F3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9D4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17B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C26" w14:textId="77777777" w:rsidR="00B421C4" w:rsidRPr="004D7ADC" w:rsidRDefault="00B421C4" w:rsidP="002B7F41">
            <w:pPr>
              <w:tabs>
                <w:tab w:val="left" w:pos="473"/>
              </w:tabs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A865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pre jeho realizáciu. Nedostatky sú závažného charakteru, ohrozujú jeho úspešnú realizáciu.</w:t>
            </w:r>
          </w:p>
        </w:tc>
      </w:tr>
      <w:tr w:rsidR="00B421C4" w:rsidRPr="004D7ADC" w14:paraId="045D2500" w14:textId="77777777" w:rsidTr="002B7F41">
        <w:trPr>
          <w:trHeight w:val="171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2155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8BDA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F918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F1D4" w14:textId="77777777" w:rsidR="00B421C4" w:rsidRPr="004D7ADC" w:rsidRDefault="00B421C4" w:rsidP="002B7F41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7A9FF8E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9A2C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652B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B421C4" w:rsidRPr="004D7ADC" w14:paraId="289C9C5B" w14:textId="77777777" w:rsidTr="002B7F41">
        <w:trPr>
          <w:trHeight w:val="198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269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A6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D79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07A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AA2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367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prepojené, časové lehoty realizácie aktivít nie sú reálne, nie sú chronologicky usporiadané a nie sú v súlade so súvisiacou dokumentáciou.</w:t>
            </w:r>
          </w:p>
        </w:tc>
      </w:tr>
      <w:tr w:rsidR="00B421C4" w:rsidRPr="004D7ADC" w14:paraId="21515EFC" w14:textId="77777777" w:rsidTr="002B7F41">
        <w:trPr>
          <w:trHeight w:val="5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52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17B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C8E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0DF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2C05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A89D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prepojené, časové lehoty realizácie aktivít nie sú reálne, nie sú chronologicky usporiadané, nie sú v súlade so súvisiacou dokumentáciou. </w:t>
            </w:r>
          </w:p>
        </w:tc>
      </w:tr>
      <w:tr w:rsidR="00B421C4" w:rsidRPr="004D7ADC" w14:paraId="556E1B4C" w14:textId="77777777" w:rsidTr="002B7F41">
        <w:trPr>
          <w:trHeight w:val="24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BC1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AB2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ED3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vzhľadom na výšku žiadaného NFP.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0DE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52440CBB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31B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50E5BDE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3BFD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Value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for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money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“. Prípadné nedostatky nepredstavujú vážne ohrozenie dosiahnutia cieľov projektu.</w:t>
            </w:r>
          </w:p>
        </w:tc>
      </w:tr>
      <w:tr w:rsidR="00B421C4" w:rsidRPr="004D7ADC" w14:paraId="37792A3A" w14:textId="77777777" w:rsidTr="002B7F41">
        <w:trPr>
          <w:trHeight w:val="30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9E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ADD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29E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AAF4" w14:textId="77777777" w:rsidR="00B421C4" w:rsidRPr="004D7ADC" w:rsidRDefault="00B421C4" w:rsidP="002B7F4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230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CA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B421C4" w:rsidRPr="004D7ADC" w14:paraId="403CAB87" w14:textId="77777777" w:rsidTr="002B7F41">
        <w:trPr>
          <w:trHeight w:val="116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887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FB7D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Technické riešenie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28E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projekt:</w:t>
            </w:r>
          </w:p>
          <w:p w14:paraId="64E60D12" w14:textId="77777777" w:rsidR="00B421C4" w:rsidRPr="004D7ADC" w:rsidRDefault="00B421C4" w:rsidP="002B7F41">
            <w:pPr>
              <w:pStyle w:val="Odsekzoznamu"/>
              <w:numPr>
                <w:ilvl w:val="0"/>
                <w:numId w:val="27"/>
              </w:numPr>
              <w:ind w:left="321" w:hanging="27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C84A6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zavádza opatrenia pre odstraňovanie nehodových lokalít a zvýšenie bezpečnosti (mimoúrovňové križovanie, zmeny riešenia </w:t>
            </w:r>
            <w:r w:rsidRPr="00C84A6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lastRenderedPageBreak/>
              <w:t>vedenia dopravy, okružné križovatky a pod.),</w:t>
            </w:r>
          </w:p>
          <w:p w14:paraId="6890636C" w14:textId="77777777" w:rsidR="00B421C4" w:rsidRPr="004D7ADC" w:rsidRDefault="00B421C4" w:rsidP="002B7F41">
            <w:pPr>
              <w:pStyle w:val="Odsekzoznamu"/>
              <w:numPr>
                <w:ilvl w:val="0"/>
                <w:numId w:val="27"/>
              </w:numPr>
              <w:spacing w:after="60"/>
              <w:ind w:left="321" w:hanging="270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zavádza inteligentné riadiace systémy dopravy na zvýšenie bezpečnosti na cestách a križovatkách zamerané na organizáciu, reguláciu a riadenie dopravy (signalizačné zariadenia, ktoré reagujú na rýchlosť vozidiel, a pod.),</w:t>
            </w:r>
          </w:p>
          <w:p w14:paraId="0643180E" w14:textId="77777777" w:rsidR="00B421C4" w:rsidRPr="004D7ADC" w:rsidRDefault="00B421C4" w:rsidP="002B7F41">
            <w:pPr>
              <w:pStyle w:val="Odsekzoznamu"/>
              <w:numPr>
                <w:ilvl w:val="0"/>
                <w:numId w:val="27"/>
              </w:numPr>
              <w:spacing w:after="60"/>
              <w:ind w:left="321" w:hanging="27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zavádza dopravn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é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subsystémy zabezpečujúce zvyšovanie úrovne bezpečnostných aspektov pre bezpečný pohyb zraniteľných účastníkov premávky, predovšetkým chodcov a cyklistov (radarové merače rýchlosti, vhodné prvky upokojovania dopravy a pod.);</w:t>
            </w:r>
          </w:p>
          <w:p w14:paraId="56FE8130" w14:textId="77777777" w:rsidR="00B421C4" w:rsidRPr="00BC4A51" w:rsidRDefault="00B421C4" w:rsidP="002B7F41">
            <w:pPr>
              <w:numPr>
                <w:ilvl w:val="0"/>
                <w:numId w:val="27"/>
              </w:numPr>
              <w:spacing w:after="60"/>
              <w:ind w:left="321" w:hanging="270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obsahuje aktivity zamerané na zmierňovanie dopadov negatívnych vplyvov dopravy na životné prostredie a obyvateľov prejazdných úsekov ciest cez mestá a obce (napr. budovanie protihlukových opatrení, účinných systémov odvodnenia a pod.).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FCD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609854DB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94A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CA8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obsahuje/zavádza prvky zo všetkých 4 uvedených oblastí.</w:t>
            </w:r>
          </w:p>
        </w:tc>
      </w:tr>
      <w:tr w:rsidR="00B421C4" w:rsidRPr="004D7ADC" w14:paraId="4B3E4F9A" w14:textId="77777777" w:rsidTr="002B7F41">
        <w:trPr>
          <w:trHeight w:val="10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35B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17AE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29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78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E83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117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obsahuje/zavádza prvky z 3 uvedených oblastí.</w:t>
            </w:r>
          </w:p>
        </w:tc>
      </w:tr>
      <w:tr w:rsidR="00B421C4" w:rsidRPr="004D7ADC" w14:paraId="56BD766D" w14:textId="77777777" w:rsidTr="002B7F41">
        <w:trPr>
          <w:trHeight w:val="14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564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D20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EFA0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F49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C44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4A5B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obsahuje/zavádza prvky z 2 uvedených oblastí.</w:t>
            </w:r>
          </w:p>
        </w:tc>
      </w:tr>
      <w:tr w:rsidR="00B421C4" w:rsidRPr="004D7ADC" w14:paraId="41FC0A34" w14:textId="77777777" w:rsidTr="002B7F41">
        <w:trPr>
          <w:trHeight w:val="170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069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BF2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25C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7C5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C88E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DD36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obsahuje/zavádza prvky z jednej uvedenej oblasti.</w:t>
            </w:r>
          </w:p>
        </w:tc>
      </w:tr>
      <w:tr w:rsidR="00B421C4" w:rsidRPr="004D7ADC" w14:paraId="445CE8E5" w14:textId="77777777" w:rsidTr="002B7F41">
        <w:trPr>
          <w:trHeight w:val="14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3F7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722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056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317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97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BA68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neobsahuje/nezavádza uvedené prvky.</w:t>
            </w:r>
          </w:p>
        </w:tc>
      </w:tr>
      <w:tr w:rsidR="00B421C4" w:rsidRPr="004D7ADC" w14:paraId="5EF018CB" w14:textId="77777777" w:rsidTr="002B7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5F6D1D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E9B5CB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B421C4" w:rsidRPr="004D7ADC" w14:paraId="24D45E3F" w14:textId="77777777" w:rsidTr="002B7F41">
        <w:trPr>
          <w:trHeight w:val="13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FABD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D1DDD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FA15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ADCD" w14:textId="77777777" w:rsidR="00B421C4" w:rsidRPr="00EF7063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F7063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EF7063">
              <w:rPr>
                <w:rFonts w:ascii="Arial" w:hAnsi="Arial" w:cs="Arial"/>
                <w:color w:val="000000" w:themeColor="text1"/>
                <w:sz w:val="19"/>
                <w:szCs w:val="19"/>
              </w:rPr>
              <w:t>s dostatočnými administratívnymi a odbornými kapacitami na riadenie projektu (projektový manažment, monitorovanie, financovanie, publicita, dodržiavanie ustanovení zmluvy o NFP) a odborná kapacita pre realizáciu aktivít projektu (vrátane rozdelenia kompetencií, definovania potrebných odborných znalostí, vzdelania atď.).</w:t>
            </w:r>
          </w:p>
          <w:p w14:paraId="2D5C77D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F7063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Administratívne a odborné kapacity môžu byť zabezpečené buď z interných alebo externých zdrojov.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4F6DB82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F3DF26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68A260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CE199A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5CFB37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C23DCD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DC7921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A0C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00CB7E02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B891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621A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kapacity žiadateľa sú dostatočné z hľadiska ich počtu, odborných znalostí a skúseností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J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ednotlivé kompetencie v rámci projektového tímu sú zadefinované komplexne a vytvárajú predpoklad pre správne riadenie a implementáciu projektu. </w:t>
            </w:r>
          </w:p>
          <w:p w14:paraId="4956531A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0FBEF1E7" w14:textId="77777777" w:rsidR="00B421C4" w:rsidRPr="004D7ADC" w:rsidRDefault="00B421C4" w:rsidP="002B7F41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2B52DC26" w14:textId="77777777" w:rsidR="00B421C4" w:rsidRPr="004D7ADC" w:rsidRDefault="00B421C4" w:rsidP="002B7F41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internými kapacitami primeranými rozsahu projektu, ktoré majú skúsenosti s riadením </w:t>
            </w:r>
            <w:r w:rsidRPr="00B7272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obdobných/porovnateľných projektov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</w:tr>
      <w:tr w:rsidR="00B421C4" w:rsidRPr="004D7ADC" w14:paraId="3E8C1A42" w14:textId="77777777" w:rsidTr="002B7F41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527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157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451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445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3C5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4F6E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dostatočné z hľadiska ich počtu, odborných znalostí a skúseností s riadením porovnateľných projektov. Žiadateľ má zabezpečené, resp. deklaruje zabezpečenie riadenia projektu internými alebo externými kapacitami, avšak v niektorej z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oblastí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ako napr. počet administratívnych a odborných kapacít, zadefinovanie jednotlivých kompetencií v rámci projektového tímu a pod.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sa objavujú nedostatky, ktoré však nemajú rozhodujúci vplyv na správne riadenie a implementáciu projektu. </w:t>
            </w:r>
          </w:p>
        </w:tc>
      </w:tr>
      <w:tr w:rsidR="00B421C4" w:rsidRPr="004D7ADC" w14:paraId="3EE88C4E" w14:textId="77777777" w:rsidTr="002B7F41">
        <w:trPr>
          <w:trHeight w:val="36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340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2F5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8ED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FE0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8BF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5842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 skúsenosti s riadením porovnateľných projektov, nekompletný projektový tím. Nedostatky administratívnych kapacít ohrozujú správne riadenie a implementáciu projektu.</w:t>
            </w:r>
          </w:p>
        </w:tc>
      </w:tr>
      <w:tr w:rsidR="00B421C4" w:rsidRPr="004D7ADC" w14:paraId="17589B6E" w14:textId="77777777" w:rsidTr="002B7F41">
        <w:trPr>
          <w:trHeight w:val="30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C3E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8A8D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F8A5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BF5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792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0A5D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421C4" w:rsidRPr="004D7ADC" w14:paraId="098D16A1" w14:textId="77777777" w:rsidTr="002B7F41">
        <w:trPr>
          <w:trHeight w:val="19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985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F39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A0F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99F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DC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052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B421C4" w:rsidRPr="004D7ADC" w14:paraId="3DF579F9" w14:textId="77777777" w:rsidTr="002B7F41">
        <w:trPr>
          <w:trHeight w:val="108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D3F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EE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EDD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C2E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E851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4171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B421C4" w:rsidRPr="004D7ADC" w14:paraId="50A8B949" w14:textId="77777777" w:rsidTr="002B7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550AEB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909B76" w14:textId="77777777" w:rsidR="00B421C4" w:rsidRPr="004D7ADC" w:rsidRDefault="00B421C4" w:rsidP="002B7F41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B421C4" w:rsidRPr="004D7ADC" w14:paraId="46A89731" w14:textId="77777777" w:rsidTr="002B7F41">
        <w:trPr>
          <w:trHeight w:val="54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900EE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59B60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Socio-ekonomický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prínos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6A7E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Je CBA vypočítaná podľa postupov pre realizáciu CBA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uvedených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 Príručke k analýze nákladov a výnosov projektov cestnej infraštruktúry IROP a je projekt ekonomicky efektívny a pre spoločnosť prínosný?</w:t>
            </w:r>
          </w:p>
          <w:p w14:paraId="2F038C87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Zároveň sa posúdi, či projekt znižuje prevádzkové náklady na opravu a údržbu komunikácií.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2E173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BA6A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52D7" w14:textId="77777777" w:rsidR="00B421C4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CBA je vypočítaná správne. Projekt je ekonomicky efektívny a pre spoločnosť prínosný.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2C39F63F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D1DD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znižuje prevádzkové náklady na opravu a údržbu komunikácií (ak relevantné).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421C4" w:rsidRPr="004D7ADC" w14:paraId="3C83661F" w14:textId="77777777" w:rsidTr="002B7F41">
        <w:trPr>
          <w:trHeight w:val="38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D178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B8E8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687C9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4083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9917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FE44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CBA je vypočítaná správne a projekt nie je ekonomicky efektívny a pre spoločnosť prínosný, </w:t>
            </w:r>
            <w:r w:rsidRPr="002D1DD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alebo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CBA nie je vypočítaná správne.</w:t>
            </w:r>
          </w:p>
        </w:tc>
      </w:tr>
      <w:tr w:rsidR="00B421C4" w:rsidRPr="004D7ADC" w14:paraId="72EB1F43" w14:textId="77777777" w:rsidTr="002B7F41">
        <w:trPr>
          <w:trHeight w:val="116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100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6965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A9B" w14:textId="77777777" w:rsidR="00B421C4" w:rsidRPr="004D7ADC" w:rsidRDefault="00B421C4" w:rsidP="002B7F41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14:paraId="340F97A7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5539B61C" w14:textId="77777777" w:rsidR="00B421C4" w:rsidRPr="004D7ADC" w:rsidRDefault="00B421C4" w:rsidP="002B7F41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4536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F7D1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8A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nárokovaných celkových oprávnených výdavkov projektu je vecne oprávnených (obsahová oprávnenosť, účelnosť a účinnosť). </w:t>
            </w:r>
          </w:p>
        </w:tc>
      </w:tr>
      <w:tr w:rsidR="00B421C4" w:rsidRPr="004D7ADC" w14:paraId="0C18944D" w14:textId="77777777" w:rsidTr="002B7F41">
        <w:trPr>
          <w:trHeight w:val="80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31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ECD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A9C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FB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90ED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0B7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nárokovaných celkových oprávnených výdavkov projektu je vecne oprávnených (obsahová oprávnenosť, účelnosť a účinnosť).</w:t>
            </w:r>
          </w:p>
        </w:tc>
      </w:tr>
      <w:tr w:rsidR="00B421C4" w:rsidRPr="004D7ADC" w14:paraId="5BB68A12" w14:textId="77777777" w:rsidTr="002B7F41">
        <w:trPr>
          <w:trHeight w:val="107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FCF4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DF23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C5BA" w14:textId="77777777" w:rsidR="00B421C4" w:rsidRPr="004D7ADC" w:rsidRDefault="00B421C4" w:rsidP="002B7F4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552B4EAE" w14:textId="77777777" w:rsidR="00B421C4" w:rsidRPr="004D7ADC" w:rsidRDefault="00B421C4" w:rsidP="002B7F4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79764871" w14:textId="77777777" w:rsidR="00B421C4" w:rsidRPr="004D7ADC" w:rsidRDefault="00B421C4" w:rsidP="002B7F4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Uvedené sa overuje prostredníctvom stanovených </w:t>
            </w: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benchmarkov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posudok).</w:t>
            </w:r>
          </w:p>
          <w:p w14:paraId="49C61215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EB09335" w14:textId="77777777" w:rsidR="00B421C4" w:rsidRPr="004D7ADC" w:rsidRDefault="00B421C4" w:rsidP="002B7F41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 xml:space="preserve">V prípade prekročenia stanovených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 xml:space="preserve"> alebo prekročenia stanovených finančných limitov budú výdavky nad referenčnú hodnotu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>benchmarku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>, alebo výdavky nad stanovený limit posúdené ako neoprávnené. Ak neoprávnené výdavky projektu neprekročia limit uvedený v kritériu 4.1, projekt nebude diskvalifikovaný.</w:t>
            </w:r>
          </w:p>
          <w:p w14:paraId="670C4173" w14:textId="77777777" w:rsidR="00B421C4" w:rsidRPr="004D7ADC" w:rsidRDefault="00B421C4" w:rsidP="002B7F41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5C37D9E1" w14:textId="77777777" w:rsidR="00B421C4" w:rsidRPr="004D7ADC" w:rsidRDefault="00B421C4" w:rsidP="002B7F41">
            <w:pPr>
              <w:widowControl w:val="0"/>
              <w:rPr>
                <w:rFonts w:ascii="Arial" w:eastAsia="Arial Unicode MS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654D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12FA2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D52F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56A3890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5ACD4C4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0F32A9D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421C4" w:rsidRPr="004D7ADC" w14:paraId="7BB7EB95" w14:textId="77777777" w:rsidTr="002B7F41">
        <w:trPr>
          <w:trHeight w:val="29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7D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4F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6DC" w14:textId="77777777" w:rsidR="00B421C4" w:rsidRPr="004D7ADC" w:rsidRDefault="00B421C4" w:rsidP="002B7F41">
            <w:pPr>
              <w:rPr>
                <w:rFonts w:ascii="Arial" w:eastAsia="Arial Unicode MS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F08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C38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6E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/alebo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 efektívne, nezodpovedajú obvyklým cenám v danom čase a mieste, nespĺňajú cieľ minimalizácie nákladov pri dodržaní požadovanej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kvality výstupov.</w:t>
            </w:r>
          </w:p>
          <w:p w14:paraId="02366471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421C4" w:rsidRPr="004D7ADC" w14:paraId="29D16A63" w14:textId="77777777" w:rsidTr="002B7F41">
        <w:trPr>
          <w:trHeight w:val="6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5BD9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4.4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77AC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5F10" w14:textId="77777777" w:rsidR="00B421C4" w:rsidRPr="004D7ADC" w:rsidRDefault="00B421C4" w:rsidP="002B7F41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t.j. finančného krytia prevádzky projektu (CF - </w:t>
            </w:r>
            <w:proofErr w:type="spellStart"/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cash</w:t>
            </w:r>
            <w:proofErr w:type="spellEnd"/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</w:t>
            </w:r>
            <w:proofErr w:type="spellStart"/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6A84A294" w14:textId="77777777" w:rsidR="00B421C4" w:rsidRPr="004D7ADC" w:rsidRDefault="00B421C4" w:rsidP="002B7F41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7D5E09B0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sz w:val="19"/>
                <w:szCs w:val="19"/>
                <w:u w:color="000000"/>
              </w:rPr>
            </w:pP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na základe ukazovateľa likvidity a ukazovateľa zadlženosti</w:t>
            </w:r>
            <w:r w:rsidRPr="004D7ADC">
              <w:rPr>
                <w:rFonts w:ascii="Arial" w:hAnsi="Arial" w:cs="Arial"/>
                <w:sz w:val="19"/>
                <w:szCs w:val="19"/>
                <w:u w:color="000000"/>
              </w:rPr>
              <w:t>).</w:t>
            </w:r>
          </w:p>
          <w:p w14:paraId="1BA6A3CB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sz w:val="19"/>
                <w:szCs w:val="19"/>
                <w:u w:color="000000"/>
              </w:rPr>
              <w:t>Taktiež sa posudzuje, či je udržateľnosť projektu zohľadnená v Pláne údržby ciest na úrovni žiadateľa.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66A2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337F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5B8C" w14:textId="77777777" w:rsidR="00B421C4" w:rsidRPr="004D7ADC" w:rsidRDefault="00B421C4" w:rsidP="002B7F41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  <w:p w14:paraId="624FC8A6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Udržateľnosť projektu je zohľadnená v Pláne údržb</w:t>
            </w: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y</w:t>
            </w: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ciest na úrovni žiadateľa.</w:t>
            </w:r>
          </w:p>
        </w:tc>
      </w:tr>
      <w:tr w:rsidR="00B421C4" w:rsidRPr="004D7ADC" w14:paraId="77507374" w14:textId="77777777" w:rsidTr="002B7F41">
        <w:trPr>
          <w:trHeight w:val="301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28E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6CE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84A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EDC7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DBCF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3EDA" w14:textId="77777777" w:rsidR="00B421C4" w:rsidRPr="004D7ADC" w:rsidRDefault="00B421C4" w:rsidP="002B7F41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</w:t>
            </w:r>
            <w:r w:rsidRPr="002D1DD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projektu), a/alebo   </w:t>
            </w:r>
            <w:r w:rsidRPr="002D1DDD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</w:t>
            </w: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pre realizáciu projektu</w:t>
            </w:r>
            <w:r w:rsidRPr="002D1DDD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, a/alebo</w:t>
            </w: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u</w:t>
            </w: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držateľnosť projektu </w:t>
            </w: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nie </w:t>
            </w: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je zohľadnená v Pláne údržb</w:t>
            </w: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y</w:t>
            </w:r>
            <w:r w:rsidRPr="004D7ADC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ciest na úrovni žiadateľa.</w:t>
            </w:r>
          </w:p>
          <w:p w14:paraId="25A2F2FC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421C4" w:rsidRPr="004D7ADC" w14:paraId="0B8927FC" w14:textId="77777777" w:rsidTr="002B7F41">
        <w:trPr>
          <w:trHeight w:val="66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509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4.5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9B0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299" w14:textId="77777777" w:rsidR="00B421C4" w:rsidRPr="004D7ADC" w:rsidRDefault="00B421C4" w:rsidP="002B7F41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35E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7A8B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07D5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B421C4" w:rsidRPr="004D7ADC" w14:paraId="4C134E4B" w14:textId="77777777" w:rsidTr="002B7F41">
        <w:trPr>
          <w:trHeight w:val="54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B7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18E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FC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F4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017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AC4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B421C4" w:rsidRPr="004D7ADC" w14:paraId="4E5091DD" w14:textId="77777777" w:rsidTr="002B7F41">
        <w:trPr>
          <w:trHeight w:val="83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6E4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B499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F6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04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AD8F" w14:textId="77777777" w:rsidR="00B421C4" w:rsidRPr="004D7ADC" w:rsidRDefault="00B421C4" w:rsidP="002B7F4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48E1" w14:textId="77777777" w:rsidR="00B421C4" w:rsidRPr="004D7ADC" w:rsidRDefault="00B421C4" w:rsidP="002B7F41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B421C4" w:rsidRPr="004D7ADC" w14:paraId="35A67B31" w14:textId="77777777" w:rsidTr="002B7F41">
        <w:trPr>
          <w:trHeight w:val="8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8FC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C06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7005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AF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EEA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5B4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B421C4" w:rsidRPr="004D7ADC" w14:paraId="26464316" w14:textId="77777777" w:rsidTr="002B7F41">
        <w:trPr>
          <w:trHeight w:val="22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0E9E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4.6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B3537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54C15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97F1" w14:textId="77777777" w:rsidR="00B421C4" w:rsidRPr="004D7ADC" w:rsidRDefault="00B421C4" w:rsidP="002B7F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7FA6025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54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B5D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B421C4" w:rsidRPr="004D7ADC" w14:paraId="4252B80E" w14:textId="77777777" w:rsidTr="002B7F41">
        <w:trPr>
          <w:trHeight w:val="36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749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9747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1512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29D7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10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27E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B421C4" w:rsidRPr="004D7ADC" w14:paraId="147E9C69" w14:textId="77777777" w:rsidTr="002B7F41">
        <w:trPr>
          <w:trHeight w:val="24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855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09F" w14:textId="77777777" w:rsidR="00B421C4" w:rsidRPr="004D7ADC" w:rsidRDefault="00B421C4" w:rsidP="002B7F4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47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E6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62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6E0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38640D5D" w14:textId="77777777" w:rsidR="00B421C4" w:rsidRPr="004D7ADC" w:rsidRDefault="00B421C4" w:rsidP="00B421C4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br/>
      </w:r>
      <w:r w:rsidRPr="004D7ADC">
        <w:rPr>
          <w:rFonts w:ascii="Arial" w:hAnsi="Arial" w:cs="Arial"/>
          <w:b/>
          <w:color w:val="000000" w:themeColor="text1"/>
          <w:sz w:val="24"/>
          <w:szCs w:val="19"/>
        </w:rPr>
        <w:t>Sumarizačný prehľad hodnotiacich kritérií</w:t>
      </w:r>
    </w:p>
    <w:tbl>
      <w:tblPr>
        <w:tblStyle w:val="TableGrid3"/>
        <w:tblW w:w="5013" w:type="pct"/>
        <w:tblLayout w:type="fixed"/>
        <w:tblLook w:val="04A0" w:firstRow="1" w:lastRow="0" w:firstColumn="1" w:lastColumn="0" w:noHBand="0" w:noVBand="1"/>
      </w:tblPr>
      <w:tblGrid>
        <w:gridCol w:w="1817"/>
        <w:gridCol w:w="10207"/>
        <w:gridCol w:w="1277"/>
        <w:gridCol w:w="1277"/>
        <w:gridCol w:w="1077"/>
      </w:tblGrid>
      <w:tr w:rsidR="00B421C4" w:rsidRPr="004D7ADC" w14:paraId="522F520A" w14:textId="77777777" w:rsidTr="002B7F4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61784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5057A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3F279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DE8CB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CA3A6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B421C4" w:rsidRPr="004D7ADC" w14:paraId="0AEA3EB2" w14:textId="77777777" w:rsidTr="002B7F41">
        <w:trPr>
          <w:trHeight w:val="35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6B348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C0D25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intervenčnou stratégiou IROP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10AF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DE33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1C39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51D8CB2D" w14:textId="77777777" w:rsidTr="002B7F41">
        <w:trPr>
          <w:trHeight w:val="21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F24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6FC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1.2 Súlad projektu s RIÚS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D56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B2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F7D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202B836B" w14:textId="77777777" w:rsidTr="002B7F41">
        <w:trPr>
          <w:trHeight w:val="33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5AC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97E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1.3 Súlad projektu s Plánom udržateľnej mobility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4C5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E794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F2E9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1DF85722" w14:textId="77777777" w:rsidTr="002B7F41">
        <w:trPr>
          <w:trHeight w:val="466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5FA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AB9CB" w14:textId="77777777" w:rsidR="00B421C4" w:rsidRPr="004D7ADC" w:rsidRDefault="00B421C4" w:rsidP="002B7F41">
            <w:pPr>
              <w:spacing w:line="256" w:lineRule="auto"/>
              <w:ind w:left="317" w:hanging="317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rekonštrukcie/výstavby mostného objektu s plánom udržateľnej mobility a  príspevok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projektu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k odstráneniu úzkych miest na dôležitých  komunikáciách určených pre VOD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88D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BC59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821D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47D9C266" w14:textId="77777777" w:rsidTr="002B7F41">
        <w:trPr>
          <w:trHeight w:val="1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52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BFC" w14:textId="77777777" w:rsidR="00B421C4" w:rsidRPr="004D7ADC" w:rsidRDefault="00B421C4" w:rsidP="002B7F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1.5 Súlad projektu s horizontálnym princípom nediskriminácie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CE7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47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3D4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08D49798" w14:textId="77777777" w:rsidTr="002B7F41">
        <w:trPr>
          <w:trHeight w:val="1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B07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D1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1.6 Príspevok projektu k vyváženému územnému rozvoju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C32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F8F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1BF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B421C4" w:rsidRPr="004D7ADC" w14:paraId="35F65742" w14:textId="77777777" w:rsidTr="002B7F41">
        <w:trPr>
          <w:trHeight w:val="2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52EC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041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1.7 Príspevok projektu k vytváraniu podmienok pre hospodársky rast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F1A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609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C25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B421C4" w:rsidRPr="004D7ADC" w14:paraId="212E4B57" w14:textId="77777777" w:rsidTr="002B7F41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40E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24DA" w14:textId="77777777" w:rsidR="00B421C4" w:rsidRPr="004D7ADC" w:rsidRDefault="00B421C4" w:rsidP="002B7F41">
            <w:pPr>
              <w:spacing w:line="256" w:lineRule="auto"/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1.8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Synergia a </w:t>
            </w:r>
            <w:proofErr w:type="spellStart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komplementarita</w:t>
            </w:r>
            <w:proofErr w:type="spellEnd"/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projektmi nadnárodnej a národnej cestnej dopravnej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siete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A2D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4F0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899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B421C4" w:rsidRPr="004D7ADC" w14:paraId="7A020859" w14:textId="77777777" w:rsidTr="002B7F41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136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B1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1.9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 verejnej osobnej dopravy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9E5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FF1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0;1;3;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329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</w:tr>
      <w:tr w:rsidR="00B421C4" w:rsidRPr="004D7ADC" w14:paraId="151C2556" w14:textId="77777777" w:rsidTr="002B7F41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2668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492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1.10 </w:t>
            </w: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 nemotorovej dopravy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7A8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04E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6E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B421C4" w:rsidRPr="004D7ADC" w14:paraId="0A535934" w14:textId="77777777" w:rsidTr="002B7F41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4C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48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1.11 Príspevok projektu k integrovaným operáciám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2A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A2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E6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B421C4" w:rsidRPr="004D7ADC" w14:paraId="5BD2C20C" w14:textId="77777777" w:rsidTr="002B7F41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A8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26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1.12 Príspevok projektu k plneniu cieľov Stratégie EÚ pre dunajský región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9D2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DFE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3D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</w:tr>
      <w:tr w:rsidR="00B421C4" w:rsidRPr="004D7ADC" w14:paraId="6A7AF864" w14:textId="77777777" w:rsidTr="002B7F41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1B4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B015EBD" w14:textId="77777777" w:rsidR="00B421C4" w:rsidRPr="004D7ADC" w:rsidRDefault="00B421C4" w:rsidP="002B7F41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9C2F22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C9073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2696F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25</w:t>
            </w:r>
          </w:p>
        </w:tc>
      </w:tr>
      <w:tr w:rsidR="00B421C4" w:rsidRPr="004D7ADC" w14:paraId="2FAD9CC9" w14:textId="77777777" w:rsidTr="002B7F41">
        <w:trPr>
          <w:trHeight w:val="13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981309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F9AB" w14:textId="77777777" w:rsidR="00B421C4" w:rsidRPr="004D7ADC" w:rsidRDefault="00B421C4" w:rsidP="002B7F41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CDD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9E33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65A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B421C4" w:rsidRPr="004D7ADC" w14:paraId="04F408AA" w14:textId="77777777" w:rsidTr="002B7F41">
        <w:trPr>
          <w:trHeight w:val="13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867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5219" w14:textId="77777777" w:rsidR="00B421C4" w:rsidRPr="004D7ADC" w:rsidRDefault="00B421C4" w:rsidP="002B7F41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A0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19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DA7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B421C4" w:rsidRPr="004D7ADC" w14:paraId="7788C455" w14:textId="77777777" w:rsidTr="002B7F41">
        <w:trPr>
          <w:trHeight w:val="661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230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558AD" w14:textId="77777777" w:rsidR="00B421C4" w:rsidRPr="004D7ADC" w:rsidRDefault="00B421C4" w:rsidP="002B7F41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7A0D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2B1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8949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B421C4" w:rsidRPr="004D7ADC" w14:paraId="2CE7E2C5" w14:textId="77777777" w:rsidTr="002B7F41">
        <w:trPr>
          <w:trHeight w:val="2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F78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B941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Technické riešenie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C9D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B45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3DC7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B421C4" w:rsidRPr="004D7ADC" w14:paraId="3F0FF48C" w14:textId="77777777" w:rsidTr="002B7F41">
        <w:trPr>
          <w:trHeight w:val="23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37C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4A246AB" w14:textId="77777777" w:rsidR="00B421C4" w:rsidRPr="004D7ADC" w:rsidRDefault="00B421C4" w:rsidP="002B7F41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7DFA2A" w14:textId="77777777" w:rsidR="00B421C4" w:rsidRPr="004D7ADC" w:rsidRDefault="00B421C4" w:rsidP="002B7F41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F31A9D" w14:textId="77777777" w:rsidR="00B421C4" w:rsidRPr="004D7ADC" w:rsidRDefault="00B421C4" w:rsidP="002B7F41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50CE88" w14:textId="77777777" w:rsidR="00B421C4" w:rsidRPr="004D7ADC" w:rsidRDefault="00B421C4" w:rsidP="002B7F41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19</w:t>
            </w:r>
          </w:p>
        </w:tc>
      </w:tr>
      <w:tr w:rsidR="00B421C4" w:rsidRPr="004D7ADC" w14:paraId="68176C3D" w14:textId="77777777" w:rsidTr="002B7F41">
        <w:trPr>
          <w:trHeight w:val="18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25811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2E3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CC2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85CE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172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B421C4" w:rsidRPr="004D7ADC" w14:paraId="7EB4F1C1" w14:textId="77777777" w:rsidTr="002B7F41">
        <w:trPr>
          <w:trHeight w:val="22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530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F87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3E5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015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5F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B421C4" w:rsidRPr="004D7ADC" w14:paraId="1751F4E5" w14:textId="77777777" w:rsidTr="002B7F41">
        <w:trPr>
          <w:trHeight w:val="16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65D5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06E8BC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F5EED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D8B73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F9EEF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B421C4" w:rsidRPr="004D7ADC" w14:paraId="6B08DE0C" w14:textId="77777777" w:rsidTr="002B7F41">
        <w:trPr>
          <w:trHeight w:val="24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2CA34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831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4.1 </w:t>
            </w:r>
            <w:proofErr w:type="spellStart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Socio-ekonomický</w:t>
            </w:r>
            <w:proofErr w:type="spellEnd"/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prínos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720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905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CB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531F2D97" w14:textId="77777777" w:rsidTr="002B7F41">
        <w:trPr>
          <w:trHeight w:val="31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5D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60B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4.2 Vecná oprávnenosť výdavkov projektu - obsahová oprávnenosť, účelnosť a účinnosť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5E6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FD5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11BC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07E73B71" w14:textId="77777777" w:rsidTr="002B7F41">
        <w:trPr>
          <w:trHeight w:val="27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E0F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E73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4.3 Efektívnosť a hospodárnosť výdavkov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45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1D6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338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5019C7B5" w14:textId="77777777" w:rsidTr="002B7F41">
        <w:trPr>
          <w:trHeight w:val="23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0756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4B4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4.4 Finančná udržateľnosť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9BD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FA9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4BB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421C4" w:rsidRPr="004D7ADC" w14:paraId="603ABDB6" w14:textId="77777777" w:rsidTr="002B7F41">
        <w:trPr>
          <w:trHeight w:val="284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596D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68F0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4.5 Miera vecnej oprávnenosti výdavkov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9DD2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AF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5760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B421C4" w:rsidRPr="004D7ADC" w14:paraId="71C95384" w14:textId="77777777" w:rsidTr="002B7F41">
        <w:trPr>
          <w:trHeight w:val="11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E7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4.6 Štruktúra a správnosť rozpočtu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3D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F0F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CE4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B421C4" w:rsidRPr="004D7ADC" w14:paraId="40F9D43B" w14:textId="77777777" w:rsidTr="002B7F41">
        <w:trPr>
          <w:trHeight w:val="21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F41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AC25ABE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D2007EF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DD3EA7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B97CEA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B421C4" w:rsidRPr="004D7ADC" w14:paraId="4DFE191F" w14:textId="77777777" w:rsidTr="002B7F41"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4B4FB041" w14:textId="77777777" w:rsidR="00B421C4" w:rsidRPr="004D7ADC" w:rsidRDefault="00B421C4" w:rsidP="002B7F41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B2978C4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10AD82A" w14:textId="77777777" w:rsidR="00B421C4" w:rsidRPr="004D7ADC" w:rsidRDefault="00B421C4" w:rsidP="002B7F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137861" w14:textId="77777777" w:rsidR="00B421C4" w:rsidRPr="004D7ADC" w:rsidRDefault="00B421C4" w:rsidP="002B7F41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58</w:t>
            </w:r>
          </w:p>
        </w:tc>
      </w:tr>
    </w:tbl>
    <w:p w14:paraId="628B0E15" w14:textId="08D451BD" w:rsidR="00E478A6" w:rsidRPr="004D7ADC" w:rsidRDefault="00B421C4" w:rsidP="00B421C4">
      <w:pPr>
        <w:spacing w:after="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4D7ADC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bodovaných hodnotiacich kritérií, t.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4D7ADC">
        <w:rPr>
          <w:rFonts w:ascii="Arial" w:hAnsi="Arial" w:cs="Arial"/>
          <w:b/>
          <w:color w:val="000000" w:themeColor="text1"/>
          <w:sz w:val="19"/>
          <w:szCs w:val="19"/>
        </w:rPr>
        <w:t xml:space="preserve">j. </w:t>
      </w:r>
      <w:r>
        <w:rPr>
          <w:rFonts w:ascii="Arial" w:hAnsi="Arial" w:cs="Arial"/>
          <w:b/>
          <w:color w:val="000000" w:themeColor="text1"/>
          <w:sz w:val="19"/>
          <w:szCs w:val="19"/>
        </w:rPr>
        <w:t>35</w:t>
      </w:r>
      <w:r w:rsidRPr="004D7ADC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  <w:bookmarkStart w:id="0" w:name="_GoBack"/>
      <w:bookmarkEnd w:id="0"/>
    </w:p>
    <w:sectPr w:rsidR="00E478A6" w:rsidRPr="004D7ADC" w:rsidSect="00410507"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DE5F9" w14:textId="77777777" w:rsidR="00CD2616" w:rsidRDefault="00CD2616" w:rsidP="006447D5">
      <w:pPr>
        <w:spacing w:after="0" w:line="240" w:lineRule="auto"/>
      </w:pPr>
      <w:r>
        <w:separator/>
      </w:r>
    </w:p>
  </w:endnote>
  <w:endnote w:type="continuationSeparator" w:id="0">
    <w:p w14:paraId="55D10C69" w14:textId="77777777" w:rsidR="00CD2616" w:rsidRDefault="00CD261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071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B8A0F" w14:textId="77777777" w:rsidR="008C5DB1" w:rsidRDefault="008C5DB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C40D6" w14:textId="77777777" w:rsidR="008C5DB1" w:rsidRDefault="008C5D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1815" w14:textId="77777777" w:rsidR="00CD2616" w:rsidRDefault="00CD2616" w:rsidP="006447D5">
      <w:pPr>
        <w:spacing w:after="0" w:line="240" w:lineRule="auto"/>
      </w:pPr>
      <w:r>
        <w:separator/>
      </w:r>
    </w:p>
  </w:footnote>
  <w:footnote w:type="continuationSeparator" w:id="0">
    <w:p w14:paraId="4219F977" w14:textId="77777777" w:rsidR="00CD2616" w:rsidRDefault="00CD2616" w:rsidP="006447D5">
      <w:pPr>
        <w:spacing w:after="0" w:line="240" w:lineRule="auto"/>
      </w:pPr>
      <w:r>
        <w:continuationSeparator/>
      </w:r>
    </w:p>
  </w:footnote>
  <w:footnote w:id="1">
    <w:p w14:paraId="584321FD" w14:textId="77777777" w:rsidR="00B421C4" w:rsidRPr="00D57638" w:rsidRDefault="00B421C4" w:rsidP="00B421C4">
      <w:pPr>
        <w:pStyle w:val="Textpoznmkypodiarou"/>
        <w:rPr>
          <w:rFonts w:ascii="Arial" w:hAnsi="Arial" w:cs="Arial"/>
        </w:rPr>
      </w:pPr>
      <w:r w:rsidRPr="00D57638">
        <w:rPr>
          <w:rStyle w:val="Odkaznapoznmkupodiarou"/>
          <w:rFonts w:ascii="Arial" w:hAnsi="Arial" w:cs="Arial"/>
        </w:rPr>
        <w:footnoteRef/>
      </w:r>
      <w:r w:rsidRPr="00D57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 sa</w:t>
      </w:r>
      <w:r w:rsidRPr="00D57638">
        <w:rPr>
          <w:rFonts w:ascii="Arial" w:hAnsi="Arial" w:cs="Arial"/>
        </w:rPr>
        <w:t xml:space="preserve"> o „bezpečné/isté“ riešenia pre akýkoľvek strategický rozvojový dokument pre oblasť dopravy a/alebo sú už dostatočne odôvodnené národnou dopravnou stratégiou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3661" w14:textId="77777777" w:rsidR="00D27E1B" w:rsidRDefault="00D27E1B" w:rsidP="00D27E1B">
    <w:pPr>
      <w:pStyle w:val="Hlavika"/>
      <w:tabs>
        <w:tab w:val="left" w:pos="1977"/>
      </w:tabs>
      <w:ind w:firstLine="1977"/>
    </w:pPr>
    <w:r w:rsidRPr="005D59EA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E42E567" wp14:editId="2767765D">
          <wp:simplePos x="0" y="0"/>
          <wp:positionH relativeFrom="column">
            <wp:posOffset>4033520</wp:posOffset>
          </wp:positionH>
          <wp:positionV relativeFrom="paragraph">
            <wp:posOffset>-516890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7348E60" wp14:editId="4646C261">
          <wp:simplePos x="0" y="0"/>
          <wp:positionH relativeFrom="column">
            <wp:posOffset>7875905</wp:posOffset>
          </wp:positionH>
          <wp:positionV relativeFrom="paragraph">
            <wp:posOffset>-78740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39BE459" wp14:editId="2E93ED65">
          <wp:simplePos x="0" y="0"/>
          <wp:positionH relativeFrom="column">
            <wp:posOffset>363220</wp:posOffset>
          </wp:positionH>
          <wp:positionV relativeFrom="paragraph">
            <wp:posOffset>-92075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B0607" w14:textId="77777777" w:rsidR="00D27E1B" w:rsidRDefault="00D27E1B" w:rsidP="00D27E1B">
    <w:pPr>
      <w:pStyle w:val="Hlavika"/>
    </w:pPr>
  </w:p>
  <w:p w14:paraId="452EA93B" w14:textId="77777777" w:rsidR="000259B0" w:rsidRDefault="000259B0" w:rsidP="000259B0">
    <w:pPr>
      <w:pStyle w:val="Hlavika"/>
      <w:tabs>
        <w:tab w:val="clear" w:pos="4680"/>
        <w:tab w:val="left" w:pos="1977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973"/>
    <w:multiLevelType w:val="hybridMultilevel"/>
    <w:tmpl w:val="F1DC3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57F3C"/>
    <w:multiLevelType w:val="hybridMultilevel"/>
    <w:tmpl w:val="BAE472CA"/>
    <w:lvl w:ilvl="0" w:tplc="99721602">
      <w:start w:val="1"/>
      <w:numFmt w:val="upperLetter"/>
      <w:lvlText w:val="%1)"/>
      <w:lvlJc w:val="left"/>
      <w:pPr>
        <w:ind w:left="720" w:hanging="360"/>
      </w:pPr>
      <w:rPr>
        <w:rFonts w:eastAsia="Helvetica" w:cs="Times New Roman"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5B46"/>
    <w:multiLevelType w:val="hybridMultilevel"/>
    <w:tmpl w:val="9D4C021A"/>
    <w:lvl w:ilvl="0" w:tplc="EFC027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811A7"/>
    <w:multiLevelType w:val="hybridMultilevel"/>
    <w:tmpl w:val="EF7864AC"/>
    <w:lvl w:ilvl="0" w:tplc="A932704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D02AC"/>
    <w:multiLevelType w:val="hybridMultilevel"/>
    <w:tmpl w:val="59020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C37B5"/>
    <w:multiLevelType w:val="hybridMultilevel"/>
    <w:tmpl w:val="B15A7124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35EC"/>
    <w:multiLevelType w:val="hybridMultilevel"/>
    <w:tmpl w:val="BCEAF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7"/>
  </w:num>
  <w:num w:numId="5">
    <w:abstractNumId w:val="28"/>
  </w:num>
  <w:num w:numId="6">
    <w:abstractNumId w:val="8"/>
  </w:num>
  <w:num w:numId="7">
    <w:abstractNumId w:val="24"/>
  </w:num>
  <w:num w:numId="8">
    <w:abstractNumId w:val="11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9"/>
  </w:num>
  <w:num w:numId="17">
    <w:abstractNumId w:val="17"/>
  </w:num>
  <w:num w:numId="18">
    <w:abstractNumId w:val="25"/>
  </w:num>
  <w:num w:numId="19">
    <w:abstractNumId w:val="21"/>
  </w:num>
  <w:num w:numId="20">
    <w:abstractNumId w:val="3"/>
  </w:num>
  <w:num w:numId="21">
    <w:abstractNumId w:val="23"/>
  </w:num>
  <w:num w:numId="22">
    <w:abstractNumId w:val="0"/>
  </w:num>
  <w:num w:numId="23">
    <w:abstractNumId w:val="3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30"/>
  </w:num>
  <w:num w:numId="31">
    <w:abstractNumId w:val="10"/>
  </w:num>
  <w:num w:numId="32">
    <w:abstractNumId w:val="20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0C26"/>
    <w:rsid w:val="00006F6E"/>
    <w:rsid w:val="0000702A"/>
    <w:rsid w:val="000079A8"/>
    <w:rsid w:val="00010A2D"/>
    <w:rsid w:val="00011451"/>
    <w:rsid w:val="00012F49"/>
    <w:rsid w:val="0001581E"/>
    <w:rsid w:val="0001588A"/>
    <w:rsid w:val="0001660D"/>
    <w:rsid w:val="000259B0"/>
    <w:rsid w:val="000271E9"/>
    <w:rsid w:val="000314C5"/>
    <w:rsid w:val="00032EAB"/>
    <w:rsid w:val="000337E9"/>
    <w:rsid w:val="00044C4F"/>
    <w:rsid w:val="000463F5"/>
    <w:rsid w:val="00053DF4"/>
    <w:rsid w:val="00055A2D"/>
    <w:rsid w:val="0005645B"/>
    <w:rsid w:val="000579E5"/>
    <w:rsid w:val="00060851"/>
    <w:rsid w:val="00063001"/>
    <w:rsid w:val="00063118"/>
    <w:rsid w:val="0006402A"/>
    <w:rsid w:val="00066478"/>
    <w:rsid w:val="000717BD"/>
    <w:rsid w:val="00071E45"/>
    <w:rsid w:val="0007302B"/>
    <w:rsid w:val="000732B9"/>
    <w:rsid w:val="00073386"/>
    <w:rsid w:val="00076DFE"/>
    <w:rsid w:val="0007717F"/>
    <w:rsid w:val="00080068"/>
    <w:rsid w:val="0008140D"/>
    <w:rsid w:val="00084683"/>
    <w:rsid w:val="0008777E"/>
    <w:rsid w:val="000879B8"/>
    <w:rsid w:val="000944CC"/>
    <w:rsid w:val="000956D6"/>
    <w:rsid w:val="00096C0C"/>
    <w:rsid w:val="00097647"/>
    <w:rsid w:val="00097B9F"/>
    <w:rsid w:val="000A03B6"/>
    <w:rsid w:val="000A4A34"/>
    <w:rsid w:val="000A4D5A"/>
    <w:rsid w:val="000A514D"/>
    <w:rsid w:val="000A5427"/>
    <w:rsid w:val="000A6622"/>
    <w:rsid w:val="000A74C2"/>
    <w:rsid w:val="000A7917"/>
    <w:rsid w:val="000B046D"/>
    <w:rsid w:val="000B1408"/>
    <w:rsid w:val="000B1F02"/>
    <w:rsid w:val="000B52FD"/>
    <w:rsid w:val="000B55FC"/>
    <w:rsid w:val="000B6FD8"/>
    <w:rsid w:val="000C0810"/>
    <w:rsid w:val="000C159E"/>
    <w:rsid w:val="000D123F"/>
    <w:rsid w:val="000D1C14"/>
    <w:rsid w:val="000D28B0"/>
    <w:rsid w:val="000D363E"/>
    <w:rsid w:val="000D4486"/>
    <w:rsid w:val="000D54F1"/>
    <w:rsid w:val="000E110E"/>
    <w:rsid w:val="000E22EF"/>
    <w:rsid w:val="000E2A2C"/>
    <w:rsid w:val="000F7BCA"/>
    <w:rsid w:val="00100200"/>
    <w:rsid w:val="00102385"/>
    <w:rsid w:val="00104329"/>
    <w:rsid w:val="00104812"/>
    <w:rsid w:val="00107DC2"/>
    <w:rsid w:val="00111333"/>
    <w:rsid w:val="00112A1D"/>
    <w:rsid w:val="00112DDE"/>
    <w:rsid w:val="00116456"/>
    <w:rsid w:val="00120768"/>
    <w:rsid w:val="0012320C"/>
    <w:rsid w:val="00123979"/>
    <w:rsid w:val="00125D0C"/>
    <w:rsid w:val="001266A0"/>
    <w:rsid w:val="00126E03"/>
    <w:rsid w:val="0012716B"/>
    <w:rsid w:val="0012785C"/>
    <w:rsid w:val="0013048D"/>
    <w:rsid w:val="00133218"/>
    <w:rsid w:val="0013600D"/>
    <w:rsid w:val="00137BF7"/>
    <w:rsid w:val="00140F23"/>
    <w:rsid w:val="00142FD9"/>
    <w:rsid w:val="001435FF"/>
    <w:rsid w:val="001440D9"/>
    <w:rsid w:val="001502C2"/>
    <w:rsid w:val="00162DC4"/>
    <w:rsid w:val="001658B7"/>
    <w:rsid w:val="001711ED"/>
    <w:rsid w:val="001714EF"/>
    <w:rsid w:val="0017203F"/>
    <w:rsid w:val="001769BC"/>
    <w:rsid w:val="0018641E"/>
    <w:rsid w:val="00187338"/>
    <w:rsid w:val="00190454"/>
    <w:rsid w:val="00192A08"/>
    <w:rsid w:val="00192C69"/>
    <w:rsid w:val="00193188"/>
    <w:rsid w:val="001953A3"/>
    <w:rsid w:val="00195F00"/>
    <w:rsid w:val="001A1C5D"/>
    <w:rsid w:val="001A64EA"/>
    <w:rsid w:val="001B6898"/>
    <w:rsid w:val="001B6B5E"/>
    <w:rsid w:val="001B7B26"/>
    <w:rsid w:val="001C21DD"/>
    <w:rsid w:val="001C4A0C"/>
    <w:rsid w:val="001D0B15"/>
    <w:rsid w:val="001D0B8B"/>
    <w:rsid w:val="001D0D02"/>
    <w:rsid w:val="001D0D37"/>
    <w:rsid w:val="001D1854"/>
    <w:rsid w:val="001D1A22"/>
    <w:rsid w:val="001D3E6E"/>
    <w:rsid w:val="001D4B07"/>
    <w:rsid w:val="001D6344"/>
    <w:rsid w:val="001D7BB2"/>
    <w:rsid w:val="001E10C6"/>
    <w:rsid w:val="001E14C1"/>
    <w:rsid w:val="001E19F0"/>
    <w:rsid w:val="001E6A35"/>
    <w:rsid w:val="001E70A9"/>
    <w:rsid w:val="001E78F1"/>
    <w:rsid w:val="001F0938"/>
    <w:rsid w:val="001F41DE"/>
    <w:rsid w:val="00206A9C"/>
    <w:rsid w:val="00206C30"/>
    <w:rsid w:val="0021212A"/>
    <w:rsid w:val="00216D1E"/>
    <w:rsid w:val="00220989"/>
    <w:rsid w:val="00221C3A"/>
    <w:rsid w:val="00225A4B"/>
    <w:rsid w:val="00225C89"/>
    <w:rsid w:val="00226709"/>
    <w:rsid w:val="00230E81"/>
    <w:rsid w:val="00234364"/>
    <w:rsid w:val="002349F6"/>
    <w:rsid w:val="002363B9"/>
    <w:rsid w:val="00237713"/>
    <w:rsid w:val="00240572"/>
    <w:rsid w:val="00241F1A"/>
    <w:rsid w:val="002440F6"/>
    <w:rsid w:val="002514BF"/>
    <w:rsid w:val="002541FD"/>
    <w:rsid w:val="0025496C"/>
    <w:rsid w:val="00254E31"/>
    <w:rsid w:val="00267077"/>
    <w:rsid w:val="0027109D"/>
    <w:rsid w:val="00273E9B"/>
    <w:rsid w:val="00275D95"/>
    <w:rsid w:val="00275EC2"/>
    <w:rsid w:val="00276741"/>
    <w:rsid w:val="002770FE"/>
    <w:rsid w:val="00281453"/>
    <w:rsid w:val="00281F2B"/>
    <w:rsid w:val="0028698C"/>
    <w:rsid w:val="0028704D"/>
    <w:rsid w:val="00290948"/>
    <w:rsid w:val="00293A55"/>
    <w:rsid w:val="00294505"/>
    <w:rsid w:val="00297E2A"/>
    <w:rsid w:val="002A0734"/>
    <w:rsid w:val="002A0F60"/>
    <w:rsid w:val="002B38DF"/>
    <w:rsid w:val="002B3A18"/>
    <w:rsid w:val="002B4195"/>
    <w:rsid w:val="002B5816"/>
    <w:rsid w:val="002B69E0"/>
    <w:rsid w:val="002B7238"/>
    <w:rsid w:val="002C012C"/>
    <w:rsid w:val="002C3625"/>
    <w:rsid w:val="002D0E71"/>
    <w:rsid w:val="002D1DDD"/>
    <w:rsid w:val="002D30EF"/>
    <w:rsid w:val="002D5412"/>
    <w:rsid w:val="002D71E6"/>
    <w:rsid w:val="002E1D42"/>
    <w:rsid w:val="002E24F1"/>
    <w:rsid w:val="002E4D51"/>
    <w:rsid w:val="002E5849"/>
    <w:rsid w:val="002E629C"/>
    <w:rsid w:val="002E7672"/>
    <w:rsid w:val="002F07B1"/>
    <w:rsid w:val="002F206B"/>
    <w:rsid w:val="002F40AF"/>
    <w:rsid w:val="002F42CE"/>
    <w:rsid w:val="002F7E7D"/>
    <w:rsid w:val="00303EC6"/>
    <w:rsid w:val="0030523B"/>
    <w:rsid w:val="00307678"/>
    <w:rsid w:val="00307C69"/>
    <w:rsid w:val="00307EB6"/>
    <w:rsid w:val="00313ED8"/>
    <w:rsid w:val="00314D44"/>
    <w:rsid w:val="00317374"/>
    <w:rsid w:val="003179FD"/>
    <w:rsid w:val="00320183"/>
    <w:rsid w:val="0032112F"/>
    <w:rsid w:val="00326384"/>
    <w:rsid w:val="00326421"/>
    <w:rsid w:val="003269E1"/>
    <w:rsid w:val="003273A9"/>
    <w:rsid w:val="00327FAC"/>
    <w:rsid w:val="00330557"/>
    <w:rsid w:val="003320FE"/>
    <w:rsid w:val="003337C0"/>
    <w:rsid w:val="00336872"/>
    <w:rsid w:val="00340819"/>
    <w:rsid w:val="00344FDF"/>
    <w:rsid w:val="003541B9"/>
    <w:rsid w:val="003627FB"/>
    <w:rsid w:val="003641EA"/>
    <w:rsid w:val="00365D87"/>
    <w:rsid w:val="003734EE"/>
    <w:rsid w:val="00380C46"/>
    <w:rsid w:val="003813EB"/>
    <w:rsid w:val="003821F7"/>
    <w:rsid w:val="00384E08"/>
    <w:rsid w:val="0038512E"/>
    <w:rsid w:val="0039163A"/>
    <w:rsid w:val="00392A44"/>
    <w:rsid w:val="00393DD9"/>
    <w:rsid w:val="003940A4"/>
    <w:rsid w:val="00395821"/>
    <w:rsid w:val="003A2184"/>
    <w:rsid w:val="003A52F3"/>
    <w:rsid w:val="003A594C"/>
    <w:rsid w:val="003A6358"/>
    <w:rsid w:val="003B32AA"/>
    <w:rsid w:val="003B460E"/>
    <w:rsid w:val="003C0111"/>
    <w:rsid w:val="003C0C4C"/>
    <w:rsid w:val="003C19C2"/>
    <w:rsid w:val="003C1E0A"/>
    <w:rsid w:val="003C3AA4"/>
    <w:rsid w:val="003C3B73"/>
    <w:rsid w:val="003C3BA1"/>
    <w:rsid w:val="003C4EF8"/>
    <w:rsid w:val="003C52DC"/>
    <w:rsid w:val="003C5846"/>
    <w:rsid w:val="003C7A2D"/>
    <w:rsid w:val="003D585A"/>
    <w:rsid w:val="003E13FA"/>
    <w:rsid w:val="003E3CB4"/>
    <w:rsid w:val="003E7EC6"/>
    <w:rsid w:val="003F28D3"/>
    <w:rsid w:val="003F2E32"/>
    <w:rsid w:val="003F6D5C"/>
    <w:rsid w:val="003F749D"/>
    <w:rsid w:val="004036DD"/>
    <w:rsid w:val="00404055"/>
    <w:rsid w:val="00407993"/>
    <w:rsid w:val="00410507"/>
    <w:rsid w:val="00412C46"/>
    <w:rsid w:val="00412FA0"/>
    <w:rsid w:val="00413751"/>
    <w:rsid w:val="00413E8F"/>
    <w:rsid w:val="004207A1"/>
    <w:rsid w:val="00420E07"/>
    <w:rsid w:val="00425EAC"/>
    <w:rsid w:val="004261B8"/>
    <w:rsid w:val="00430852"/>
    <w:rsid w:val="00431C3F"/>
    <w:rsid w:val="00434596"/>
    <w:rsid w:val="00436BDD"/>
    <w:rsid w:val="00440986"/>
    <w:rsid w:val="0044194A"/>
    <w:rsid w:val="00442D84"/>
    <w:rsid w:val="004446A5"/>
    <w:rsid w:val="00444FCC"/>
    <w:rsid w:val="0044548E"/>
    <w:rsid w:val="00445684"/>
    <w:rsid w:val="00445704"/>
    <w:rsid w:val="00447D47"/>
    <w:rsid w:val="00450852"/>
    <w:rsid w:val="00453905"/>
    <w:rsid w:val="00453E6F"/>
    <w:rsid w:val="00455167"/>
    <w:rsid w:val="004563D9"/>
    <w:rsid w:val="00457071"/>
    <w:rsid w:val="004601B2"/>
    <w:rsid w:val="004602FE"/>
    <w:rsid w:val="0046160D"/>
    <w:rsid w:val="00461E72"/>
    <w:rsid w:val="00470660"/>
    <w:rsid w:val="004710D6"/>
    <w:rsid w:val="00472769"/>
    <w:rsid w:val="00477E44"/>
    <w:rsid w:val="00480D9F"/>
    <w:rsid w:val="00481967"/>
    <w:rsid w:val="00482F12"/>
    <w:rsid w:val="004831D3"/>
    <w:rsid w:val="00484FF4"/>
    <w:rsid w:val="004860DB"/>
    <w:rsid w:val="00486D48"/>
    <w:rsid w:val="00492C48"/>
    <w:rsid w:val="00493788"/>
    <w:rsid w:val="00493914"/>
    <w:rsid w:val="00497488"/>
    <w:rsid w:val="004A0684"/>
    <w:rsid w:val="004A6A50"/>
    <w:rsid w:val="004B0BDC"/>
    <w:rsid w:val="004B3FA1"/>
    <w:rsid w:val="004B5519"/>
    <w:rsid w:val="004B5B76"/>
    <w:rsid w:val="004B6989"/>
    <w:rsid w:val="004B756D"/>
    <w:rsid w:val="004C6A47"/>
    <w:rsid w:val="004D222E"/>
    <w:rsid w:val="004D4595"/>
    <w:rsid w:val="004D4862"/>
    <w:rsid w:val="004D7452"/>
    <w:rsid w:val="004D7ADC"/>
    <w:rsid w:val="004E04B0"/>
    <w:rsid w:val="004E27AC"/>
    <w:rsid w:val="004E6E70"/>
    <w:rsid w:val="004E6F28"/>
    <w:rsid w:val="004F088A"/>
    <w:rsid w:val="004F2CDE"/>
    <w:rsid w:val="004F3F1D"/>
    <w:rsid w:val="004F40BE"/>
    <w:rsid w:val="004F4B9F"/>
    <w:rsid w:val="004F5631"/>
    <w:rsid w:val="00500F2E"/>
    <w:rsid w:val="005032FB"/>
    <w:rsid w:val="00504839"/>
    <w:rsid w:val="005051D9"/>
    <w:rsid w:val="00505B40"/>
    <w:rsid w:val="0050602D"/>
    <w:rsid w:val="005113A6"/>
    <w:rsid w:val="0051226C"/>
    <w:rsid w:val="0051632E"/>
    <w:rsid w:val="00516AFC"/>
    <w:rsid w:val="0052202B"/>
    <w:rsid w:val="005226AC"/>
    <w:rsid w:val="00524CEC"/>
    <w:rsid w:val="005268B1"/>
    <w:rsid w:val="00526E04"/>
    <w:rsid w:val="005273A4"/>
    <w:rsid w:val="00527808"/>
    <w:rsid w:val="00532E3A"/>
    <w:rsid w:val="00533EDA"/>
    <w:rsid w:val="00537661"/>
    <w:rsid w:val="0053771B"/>
    <w:rsid w:val="0054149D"/>
    <w:rsid w:val="0054352E"/>
    <w:rsid w:val="0054484D"/>
    <w:rsid w:val="005453CA"/>
    <w:rsid w:val="00552242"/>
    <w:rsid w:val="0055315A"/>
    <w:rsid w:val="005551C5"/>
    <w:rsid w:val="00574223"/>
    <w:rsid w:val="0057652E"/>
    <w:rsid w:val="00581A45"/>
    <w:rsid w:val="0058247B"/>
    <w:rsid w:val="0058395C"/>
    <w:rsid w:val="00584DC2"/>
    <w:rsid w:val="00593832"/>
    <w:rsid w:val="00595B20"/>
    <w:rsid w:val="00595BE1"/>
    <w:rsid w:val="0059761F"/>
    <w:rsid w:val="005A1EE9"/>
    <w:rsid w:val="005A2A5C"/>
    <w:rsid w:val="005A2DAF"/>
    <w:rsid w:val="005A56C8"/>
    <w:rsid w:val="005A5D2C"/>
    <w:rsid w:val="005A6186"/>
    <w:rsid w:val="005B0587"/>
    <w:rsid w:val="005B1EA3"/>
    <w:rsid w:val="005B3219"/>
    <w:rsid w:val="005B53B3"/>
    <w:rsid w:val="005B58C0"/>
    <w:rsid w:val="005B64E5"/>
    <w:rsid w:val="005B6B73"/>
    <w:rsid w:val="005B72B0"/>
    <w:rsid w:val="005C0D61"/>
    <w:rsid w:val="005C1D17"/>
    <w:rsid w:val="005C3194"/>
    <w:rsid w:val="005D0916"/>
    <w:rsid w:val="005D230B"/>
    <w:rsid w:val="005D281E"/>
    <w:rsid w:val="005D5DFC"/>
    <w:rsid w:val="005D7A69"/>
    <w:rsid w:val="005D7F01"/>
    <w:rsid w:val="005E4F09"/>
    <w:rsid w:val="005E5F54"/>
    <w:rsid w:val="005E6FF6"/>
    <w:rsid w:val="005E79ED"/>
    <w:rsid w:val="005F092D"/>
    <w:rsid w:val="005F10A6"/>
    <w:rsid w:val="005F1478"/>
    <w:rsid w:val="00600C4F"/>
    <w:rsid w:val="00605006"/>
    <w:rsid w:val="00605C42"/>
    <w:rsid w:val="00611A9C"/>
    <w:rsid w:val="0061310C"/>
    <w:rsid w:val="0061400E"/>
    <w:rsid w:val="00616475"/>
    <w:rsid w:val="00620D1A"/>
    <w:rsid w:val="0062171E"/>
    <w:rsid w:val="00630897"/>
    <w:rsid w:val="006316D9"/>
    <w:rsid w:val="00631D3F"/>
    <w:rsid w:val="0063387B"/>
    <w:rsid w:val="00633A6D"/>
    <w:rsid w:val="00633BC1"/>
    <w:rsid w:val="00634BA2"/>
    <w:rsid w:val="0063635B"/>
    <w:rsid w:val="00640C3F"/>
    <w:rsid w:val="006436E8"/>
    <w:rsid w:val="006447D5"/>
    <w:rsid w:val="00644ADD"/>
    <w:rsid w:val="00647457"/>
    <w:rsid w:val="006511CD"/>
    <w:rsid w:val="00656A72"/>
    <w:rsid w:val="0065797F"/>
    <w:rsid w:val="00662168"/>
    <w:rsid w:val="006639C1"/>
    <w:rsid w:val="00675A56"/>
    <w:rsid w:val="00677B16"/>
    <w:rsid w:val="00681513"/>
    <w:rsid w:val="00682507"/>
    <w:rsid w:val="00685A5F"/>
    <w:rsid w:val="00690904"/>
    <w:rsid w:val="00693D4B"/>
    <w:rsid w:val="0069606B"/>
    <w:rsid w:val="006A0B81"/>
    <w:rsid w:val="006A173E"/>
    <w:rsid w:val="006A1A38"/>
    <w:rsid w:val="006A25AE"/>
    <w:rsid w:val="006A373F"/>
    <w:rsid w:val="006A3873"/>
    <w:rsid w:val="006A45D7"/>
    <w:rsid w:val="006A4DB4"/>
    <w:rsid w:val="006B342D"/>
    <w:rsid w:val="006B396B"/>
    <w:rsid w:val="006B3FDE"/>
    <w:rsid w:val="006B58E1"/>
    <w:rsid w:val="006C0E70"/>
    <w:rsid w:val="006C24B0"/>
    <w:rsid w:val="006C38A1"/>
    <w:rsid w:val="006C5A15"/>
    <w:rsid w:val="006D3334"/>
    <w:rsid w:val="006D513D"/>
    <w:rsid w:val="006E5342"/>
    <w:rsid w:val="006F0665"/>
    <w:rsid w:val="006F242F"/>
    <w:rsid w:val="006F6E4B"/>
    <w:rsid w:val="006F79BB"/>
    <w:rsid w:val="00704EBA"/>
    <w:rsid w:val="0071203B"/>
    <w:rsid w:val="00712319"/>
    <w:rsid w:val="00715F66"/>
    <w:rsid w:val="00716EE1"/>
    <w:rsid w:val="00726517"/>
    <w:rsid w:val="00731D5F"/>
    <w:rsid w:val="00735FC6"/>
    <w:rsid w:val="00736B1F"/>
    <w:rsid w:val="00737FE6"/>
    <w:rsid w:val="00741EEF"/>
    <w:rsid w:val="007466FF"/>
    <w:rsid w:val="00750D1E"/>
    <w:rsid w:val="00752B70"/>
    <w:rsid w:val="007558B7"/>
    <w:rsid w:val="00757CC9"/>
    <w:rsid w:val="00764C65"/>
    <w:rsid w:val="00767508"/>
    <w:rsid w:val="00771679"/>
    <w:rsid w:val="00775B0E"/>
    <w:rsid w:val="00775D4F"/>
    <w:rsid w:val="0077610D"/>
    <w:rsid w:val="00776E20"/>
    <w:rsid w:val="007777CE"/>
    <w:rsid w:val="00777B2D"/>
    <w:rsid w:val="00781E9F"/>
    <w:rsid w:val="00787641"/>
    <w:rsid w:val="00794471"/>
    <w:rsid w:val="00794986"/>
    <w:rsid w:val="00794ED5"/>
    <w:rsid w:val="007A21D8"/>
    <w:rsid w:val="007A3934"/>
    <w:rsid w:val="007A5652"/>
    <w:rsid w:val="007A63EA"/>
    <w:rsid w:val="007A66BB"/>
    <w:rsid w:val="007B1085"/>
    <w:rsid w:val="007C416E"/>
    <w:rsid w:val="007C688D"/>
    <w:rsid w:val="007D0CCF"/>
    <w:rsid w:val="007D216A"/>
    <w:rsid w:val="007D2241"/>
    <w:rsid w:val="007D4C56"/>
    <w:rsid w:val="007D5AB6"/>
    <w:rsid w:val="007E02B5"/>
    <w:rsid w:val="007E0D53"/>
    <w:rsid w:val="007E11BB"/>
    <w:rsid w:val="007E6F49"/>
    <w:rsid w:val="007E7547"/>
    <w:rsid w:val="007F391F"/>
    <w:rsid w:val="007F4600"/>
    <w:rsid w:val="007F7E87"/>
    <w:rsid w:val="00803636"/>
    <w:rsid w:val="00803830"/>
    <w:rsid w:val="00805D7F"/>
    <w:rsid w:val="00806B67"/>
    <w:rsid w:val="00811203"/>
    <w:rsid w:val="00813681"/>
    <w:rsid w:val="00815F8F"/>
    <w:rsid w:val="00816151"/>
    <w:rsid w:val="00817006"/>
    <w:rsid w:val="00820EFB"/>
    <w:rsid w:val="00823E50"/>
    <w:rsid w:val="008258C4"/>
    <w:rsid w:val="00827943"/>
    <w:rsid w:val="00832E11"/>
    <w:rsid w:val="00834FA7"/>
    <w:rsid w:val="00835730"/>
    <w:rsid w:val="00836214"/>
    <w:rsid w:val="0084048B"/>
    <w:rsid w:val="008411C7"/>
    <w:rsid w:val="0084248B"/>
    <w:rsid w:val="0085134A"/>
    <w:rsid w:val="00852213"/>
    <w:rsid w:val="008544DC"/>
    <w:rsid w:val="00854E5C"/>
    <w:rsid w:val="00855EC9"/>
    <w:rsid w:val="0085794A"/>
    <w:rsid w:val="00860E78"/>
    <w:rsid w:val="0086726F"/>
    <w:rsid w:val="00876F01"/>
    <w:rsid w:val="00881404"/>
    <w:rsid w:val="00884B2A"/>
    <w:rsid w:val="008868CB"/>
    <w:rsid w:val="00892C76"/>
    <w:rsid w:val="00894842"/>
    <w:rsid w:val="0089625B"/>
    <w:rsid w:val="008976E0"/>
    <w:rsid w:val="008978FD"/>
    <w:rsid w:val="008A3D50"/>
    <w:rsid w:val="008A57E8"/>
    <w:rsid w:val="008A584C"/>
    <w:rsid w:val="008B2724"/>
    <w:rsid w:val="008B5B1A"/>
    <w:rsid w:val="008C045A"/>
    <w:rsid w:val="008C062F"/>
    <w:rsid w:val="008C1B78"/>
    <w:rsid w:val="008C3178"/>
    <w:rsid w:val="008C3491"/>
    <w:rsid w:val="008C5DB1"/>
    <w:rsid w:val="008C7FFD"/>
    <w:rsid w:val="008D14C2"/>
    <w:rsid w:val="008D18DA"/>
    <w:rsid w:val="008D1F73"/>
    <w:rsid w:val="008D2056"/>
    <w:rsid w:val="008D29B9"/>
    <w:rsid w:val="008D2A53"/>
    <w:rsid w:val="008D4C3C"/>
    <w:rsid w:val="008D5F05"/>
    <w:rsid w:val="008D71E2"/>
    <w:rsid w:val="008E0E6B"/>
    <w:rsid w:val="008E65B4"/>
    <w:rsid w:val="008F2CA3"/>
    <w:rsid w:val="008F397B"/>
    <w:rsid w:val="0090309B"/>
    <w:rsid w:val="009063AF"/>
    <w:rsid w:val="009100F3"/>
    <w:rsid w:val="00912DE3"/>
    <w:rsid w:val="00912EAD"/>
    <w:rsid w:val="00917104"/>
    <w:rsid w:val="009178C1"/>
    <w:rsid w:val="009201D7"/>
    <w:rsid w:val="00923003"/>
    <w:rsid w:val="00926FD8"/>
    <w:rsid w:val="00930A61"/>
    <w:rsid w:val="0093381E"/>
    <w:rsid w:val="00935F63"/>
    <w:rsid w:val="00937178"/>
    <w:rsid w:val="00937BC5"/>
    <w:rsid w:val="009409BA"/>
    <w:rsid w:val="00942AD7"/>
    <w:rsid w:val="00942C51"/>
    <w:rsid w:val="009436F8"/>
    <w:rsid w:val="009451FC"/>
    <w:rsid w:val="00945820"/>
    <w:rsid w:val="00946635"/>
    <w:rsid w:val="009472B3"/>
    <w:rsid w:val="00961A68"/>
    <w:rsid w:val="009620CE"/>
    <w:rsid w:val="00967553"/>
    <w:rsid w:val="00974B62"/>
    <w:rsid w:val="00976D25"/>
    <w:rsid w:val="009838AC"/>
    <w:rsid w:val="009859D5"/>
    <w:rsid w:val="009877B3"/>
    <w:rsid w:val="00992DC2"/>
    <w:rsid w:val="00994C5A"/>
    <w:rsid w:val="00994E14"/>
    <w:rsid w:val="009A1D93"/>
    <w:rsid w:val="009A31D1"/>
    <w:rsid w:val="009A4784"/>
    <w:rsid w:val="009A7AEA"/>
    <w:rsid w:val="009B3050"/>
    <w:rsid w:val="009B5010"/>
    <w:rsid w:val="009C4230"/>
    <w:rsid w:val="009D1264"/>
    <w:rsid w:val="009D13DC"/>
    <w:rsid w:val="009D2290"/>
    <w:rsid w:val="009D3FE2"/>
    <w:rsid w:val="009D45BD"/>
    <w:rsid w:val="009D50FB"/>
    <w:rsid w:val="009D7170"/>
    <w:rsid w:val="009E6B1D"/>
    <w:rsid w:val="009F3EA7"/>
    <w:rsid w:val="009F522C"/>
    <w:rsid w:val="009F61A8"/>
    <w:rsid w:val="009F6C4A"/>
    <w:rsid w:val="00A0127B"/>
    <w:rsid w:val="00A05000"/>
    <w:rsid w:val="00A066D2"/>
    <w:rsid w:val="00A17455"/>
    <w:rsid w:val="00A24AAB"/>
    <w:rsid w:val="00A255C3"/>
    <w:rsid w:val="00A2679A"/>
    <w:rsid w:val="00A27375"/>
    <w:rsid w:val="00A320A0"/>
    <w:rsid w:val="00A320B8"/>
    <w:rsid w:val="00A32F68"/>
    <w:rsid w:val="00A352A7"/>
    <w:rsid w:val="00A35755"/>
    <w:rsid w:val="00A40C38"/>
    <w:rsid w:val="00A443E5"/>
    <w:rsid w:val="00A52F11"/>
    <w:rsid w:val="00A55FF5"/>
    <w:rsid w:val="00A56B59"/>
    <w:rsid w:val="00A612A4"/>
    <w:rsid w:val="00A6147C"/>
    <w:rsid w:val="00A625A1"/>
    <w:rsid w:val="00A65B56"/>
    <w:rsid w:val="00A72B82"/>
    <w:rsid w:val="00A74622"/>
    <w:rsid w:val="00A80F92"/>
    <w:rsid w:val="00A83B87"/>
    <w:rsid w:val="00A83F0B"/>
    <w:rsid w:val="00A8557A"/>
    <w:rsid w:val="00A90712"/>
    <w:rsid w:val="00A94048"/>
    <w:rsid w:val="00A97D98"/>
    <w:rsid w:val="00AA25AF"/>
    <w:rsid w:val="00AA33BE"/>
    <w:rsid w:val="00AA52AB"/>
    <w:rsid w:val="00AB10B3"/>
    <w:rsid w:val="00AB1998"/>
    <w:rsid w:val="00AB27C1"/>
    <w:rsid w:val="00AB3156"/>
    <w:rsid w:val="00AB7C6D"/>
    <w:rsid w:val="00AC6707"/>
    <w:rsid w:val="00AD063D"/>
    <w:rsid w:val="00AD086A"/>
    <w:rsid w:val="00AD08E1"/>
    <w:rsid w:val="00AD1102"/>
    <w:rsid w:val="00AD240A"/>
    <w:rsid w:val="00AD30C0"/>
    <w:rsid w:val="00AD74AC"/>
    <w:rsid w:val="00AE20AD"/>
    <w:rsid w:val="00AE3EDF"/>
    <w:rsid w:val="00AE7306"/>
    <w:rsid w:val="00AF23A3"/>
    <w:rsid w:val="00AF2D0B"/>
    <w:rsid w:val="00AF3968"/>
    <w:rsid w:val="00AF53D5"/>
    <w:rsid w:val="00AF557B"/>
    <w:rsid w:val="00AF57D6"/>
    <w:rsid w:val="00B002CF"/>
    <w:rsid w:val="00B03A81"/>
    <w:rsid w:val="00B03AC5"/>
    <w:rsid w:val="00B03C92"/>
    <w:rsid w:val="00B040A9"/>
    <w:rsid w:val="00B06A6C"/>
    <w:rsid w:val="00B06AA6"/>
    <w:rsid w:val="00B06AFB"/>
    <w:rsid w:val="00B111DD"/>
    <w:rsid w:val="00B1456D"/>
    <w:rsid w:val="00B169BD"/>
    <w:rsid w:val="00B17CB2"/>
    <w:rsid w:val="00B21C24"/>
    <w:rsid w:val="00B2226B"/>
    <w:rsid w:val="00B224DA"/>
    <w:rsid w:val="00B24A9C"/>
    <w:rsid w:val="00B253C5"/>
    <w:rsid w:val="00B27BF9"/>
    <w:rsid w:val="00B30383"/>
    <w:rsid w:val="00B32026"/>
    <w:rsid w:val="00B34267"/>
    <w:rsid w:val="00B342A2"/>
    <w:rsid w:val="00B351B9"/>
    <w:rsid w:val="00B416D8"/>
    <w:rsid w:val="00B421C4"/>
    <w:rsid w:val="00B4348F"/>
    <w:rsid w:val="00B43EB2"/>
    <w:rsid w:val="00B43F51"/>
    <w:rsid w:val="00B444EF"/>
    <w:rsid w:val="00B4529A"/>
    <w:rsid w:val="00B455BE"/>
    <w:rsid w:val="00B47DBF"/>
    <w:rsid w:val="00B51876"/>
    <w:rsid w:val="00B5333E"/>
    <w:rsid w:val="00B54823"/>
    <w:rsid w:val="00B5566B"/>
    <w:rsid w:val="00B55B1D"/>
    <w:rsid w:val="00B57FFC"/>
    <w:rsid w:val="00B60AC2"/>
    <w:rsid w:val="00B6140B"/>
    <w:rsid w:val="00B646C0"/>
    <w:rsid w:val="00B65B4C"/>
    <w:rsid w:val="00B67BB2"/>
    <w:rsid w:val="00B70C64"/>
    <w:rsid w:val="00B71612"/>
    <w:rsid w:val="00B71AFD"/>
    <w:rsid w:val="00B72152"/>
    <w:rsid w:val="00B74B23"/>
    <w:rsid w:val="00B77D29"/>
    <w:rsid w:val="00B77E74"/>
    <w:rsid w:val="00B83291"/>
    <w:rsid w:val="00B84148"/>
    <w:rsid w:val="00B8483B"/>
    <w:rsid w:val="00B863A2"/>
    <w:rsid w:val="00B864A9"/>
    <w:rsid w:val="00B86876"/>
    <w:rsid w:val="00B906A9"/>
    <w:rsid w:val="00B91B5C"/>
    <w:rsid w:val="00B94FE9"/>
    <w:rsid w:val="00B97A45"/>
    <w:rsid w:val="00B97B61"/>
    <w:rsid w:val="00BA030D"/>
    <w:rsid w:val="00BA1913"/>
    <w:rsid w:val="00BA2926"/>
    <w:rsid w:val="00BA318A"/>
    <w:rsid w:val="00BA32B5"/>
    <w:rsid w:val="00BB3F1E"/>
    <w:rsid w:val="00BB41D1"/>
    <w:rsid w:val="00BB5997"/>
    <w:rsid w:val="00BB7AEE"/>
    <w:rsid w:val="00BC21DD"/>
    <w:rsid w:val="00BC3352"/>
    <w:rsid w:val="00BC36F8"/>
    <w:rsid w:val="00BC4A51"/>
    <w:rsid w:val="00BC7820"/>
    <w:rsid w:val="00BD28BD"/>
    <w:rsid w:val="00BD3358"/>
    <w:rsid w:val="00BD3D20"/>
    <w:rsid w:val="00BE16B3"/>
    <w:rsid w:val="00BE2087"/>
    <w:rsid w:val="00BE3E03"/>
    <w:rsid w:val="00BE48D8"/>
    <w:rsid w:val="00BE6A42"/>
    <w:rsid w:val="00BE6B85"/>
    <w:rsid w:val="00BF0A6C"/>
    <w:rsid w:val="00BF0BCC"/>
    <w:rsid w:val="00BF64DC"/>
    <w:rsid w:val="00C0025E"/>
    <w:rsid w:val="00C0731F"/>
    <w:rsid w:val="00C1039D"/>
    <w:rsid w:val="00C11189"/>
    <w:rsid w:val="00C13C57"/>
    <w:rsid w:val="00C156E3"/>
    <w:rsid w:val="00C17D09"/>
    <w:rsid w:val="00C214DE"/>
    <w:rsid w:val="00C22E7B"/>
    <w:rsid w:val="00C2353F"/>
    <w:rsid w:val="00C31AB1"/>
    <w:rsid w:val="00C330D0"/>
    <w:rsid w:val="00C477C9"/>
    <w:rsid w:val="00C54CE4"/>
    <w:rsid w:val="00C5674D"/>
    <w:rsid w:val="00C61412"/>
    <w:rsid w:val="00C62F6F"/>
    <w:rsid w:val="00C64E05"/>
    <w:rsid w:val="00C6566C"/>
    <w:rsid w:val="00C67A24"/>
    <w:rsid w:val="00C7089B"/>
    <w:rsid w:val="00C70EC8"/>
    <w:rsid w:val="00C72CF8"/>
    <w:rsid w:val="00C7787D"/>
    <w:rsid w:val="00C77A23"/>
    <w:rsid w:val="00C80F70"/>
    <w:rsid w:val="00C84A64"/>
    <w:rsid w:val="00C850AE"/>
    <w:rsid w:val="00C9162D"/>
    <w:rsid w:val="00CA2519"/>
    <w:rsid w:val="00CA54FF"/>
    <w:rsid w:val="00CB29DB"/>
    <w:rsid w:val="00CB36B7"/>
    <w:rsid w:val="00CB38E8"/>
    <w:rsid w:val="00CB3EB8"/>
    <w:rsid w:val="00CB53F1"/>
    <w:rsid w:val="00CB6893"/>
    <w:rsid w:val="00CC24BF"/>
    <w:rsid w:val="00CC4336"/>
    <w:rsid w:val="00CD1A46"/>
    <w:rsid w:val="00CD2616"/>
    <w:rsid w:val="00CD40C5"/>
    <w:rsid w:val="00CE18FF"/>
    <w:rsid w:val="00CE454F"/>
    <w:rsid w:val="00CE65FF"/>
    <w:rsid w:val="00CF2402"/>
    <w:rsid w:val="00CF4836"/>
    <w:rsid w:val="00D0459C"/>
    <w:rsid w:val="00D05B26"/>
    <w:rsid w:val="00D05D18"/>
    <w:rsid w:val="00D20DD5"/>
    <w:rsid w:val="00D21C27"/>
    <w:rsid w:val="00D21D8F"/>
    <w:rsid w:val="00D2210A"/>
    <w:rsid w:val="00D26527"/>
    <w:rsid w:val="00D27E0F"/>
    <w:rsid w:val="00D27E1B"/>
    <w:rsid w:val="00D30656"/>
    <w:rsid w:val="00D30823"/>
    <w:rsid w:val="00D33B7A"/>
    <w:rsid w:val="00D35AA2"/>
    <w:rsid w:val="00D37702"/>
    <w:rsid w:val="00D43317"/>
    <w:rsid w:val="00D46D24"/>
    <w:rsid w:val="00D51595"/>
    <w:rsid w:val="00D5278E"/>
    <w:rsid w:val="00D5610F"/>
    <w:rsid w:val="00D64AC5"/>
    <w:rsid w:val="00D67C90"/>
    <w:rsid w:val="00D70CC5"/>
    <w:rsid w:val="00D72DB9"/>
    <w:rsid w:val="00D824E5"/>
    <w:rsid w:val="00D842CA"/>
    <w:rsid w:val="00D862F9"/>
    <w:rsid w:val="00D8689E"/>
    <w:rsid w:val="00D8753A"/>
    <w:rsid w:val="00D95960"/>
    <w:rsid w:val="00D965B2"/>
    <w:rsid w:val="00D96B8F"/>
    <w:rsid w:val="00D96FA7"/>
    <w:rsid w:val="00DA1A1C"/>
    <w:rsid w:val="00DA73D0"/>
    <w:rsid w:val="00DB363E"/>
    <w:rsid w:val="00DB3E61"/>
    <w:rsid w:val="00DB4827"/>
    <w:rsid w:val="00DB51F3"/>
    <w:rsid w:val="00DC07BA"/>
    <w:rsid w:val="00DC153C"/>
    <w:rsid w:val="00DC695C"/>
    <w:rsid w:val="00DD06A6"/>
    <w:rsid w:val="00DD1EC0"/>
    <w:rsid w:val="00DD61E4"/>
    <w:rsid w:val="00DE14BC"/>
    <w:rsid w:val="00DE242C"/>
    <w:rsid w:val="00DE3808"/>
    <w:rsid w:val="00DE713A"/>
    <w:rsid w:val="00DE7446"/>
    <w:rsid w:val="00DF1CA4"/>
    <w:rsid w:val="00E01AA6"/>
    <w:rsid w:val="00E0305B"/>
    <w:rsid w:val="00E05F86"/>
    <w:rsid w:val="00E07B79"/>
    <w:rsid w:val="00E106F1"/>
    <w:rsid w:val="00E12F9F"/>
    <w:rsid w:val="00E16FAB"/>
    <w:rsid w:val="00E3096A"/>
    <w:rsid w:val="00E31288"/>
    <w:rsid w:val="00E355EB"/>
    <w:rsid w:val="00E3739D"/>
    <w:rsid w:val="00E425B1"/>
    <w:rsid w:val="00E425C3"/>
    <w:rsid w:val="00E4374A"/>
    <w:rsid w:val="00E43C3C"/>
    <w:rsid w:val="00E45B64"/>
    <w:rsid w:val="00E478A6"/>
    <w:rsid w:val="00E52B07"/>
    <w:rsid w:val="00E55894"/>
    <w:rsid w:val="00E6373D"/>
    <w:rsid w:val="00E63C59"/>
    <w:rsid w:val="00E6607A"/>
    <w:rsid w:val="00E70621"/>
    <w:rsid w:val="00E7360A"/>
    <w:rsid w:val="00E73884"/>
    <w:rsid w:val="00E740FA"/>
    <w:rsid w:val="00E827CD"/>
    <w:rsid w:val="00E83F6D"/>
    <w:rsid w:val="00E84EFF"/>
    <w:rsid w:val="00E85BE3"/>
    <w:rsid w:val="00E87576"/>
    <w:rsid w:val="00E87650"/>
    <w:rsid w:val="00E90EF7"/>
    <w:rsid w:val="00E92DCE"/>
    <w:rsid w:val="00E967F7"/>
    <w:rsid w:val="00E96E8F"/>
    <w:rsid w:val="00E9798E"/>
    <w:rsid w:val="00EA49D1"/>
    <w:rsid w:val="00EB6D26"/>
    <w:rsid w:val="00EB6D7B"/>
    <w:rsid w:val="00EC0AD1"/>
    <w:rsid w:val="00EC2933"/>
    <w:rsid w:val="00EC6766"/>
    <w:rsid w:val="00EC75FC"/>
    <w:rsid w:val="00ED180B"/>
    <w:rsid w:val="00ED2578"/>
    <w:rsid w:val="00ED6263"/>
    <w:rsid w:val="00EE0518"/>
    <w:rsid w:val="00EE1A62"/>
    <w:rsid w:val="00EE1B9E"/>
    <w:rsid w:val="00EE1D1A"/>
    <w:rsid w:val="00EE4073"/>
    <w:rsid w:val="00EF138B"/>
    <w:rsid w:val="00EF152F"/>
    <w:rsid w:val="00EF6549"/>
    <w:rsid w:val="00EF6DFA"/>
    <w:rsid w:val="00EF7063"/>
    <w:rsid w:val="00F01A74"/>
    <w:rsid w:val="00F03D55"/>
    <w:rsid w:val="00F04E86"/>
    <w:rsid w:val="00F04E95"/>
    <w:rsid w:val="00F06C7B"/>
    <w:rsid w:val="00F10779"/>
    <w:rsid w:val="00F148C7"/>
    <w:rsid w:val="00F15027"/>
    <w:rsid w:val="00F152B3"/>
    <w:rsid w:val="00F165CB"/>
    <w:rsid w:val="00F21056"/>
    <w:rsid w:val="00F2141D"/>
    <w:rsid w:val="00F2219F"/>
    <w:rsid w:val="00F225C5"/>
    <w:rsid w:val="00F314FA"/>
    <w:rsid w:val="00F31ADA"/>
    <w:rsid w:val="00F34827"/>
    <w:rsid w:val="00F354B5"/>
    <w:rsid w:val="00F4187A"/>
    <w:rsid w:val="00F41AC2"/>
    <w:rsid w:val="00F42723"/>
    <w:rsid w:val="00F448AA"/>
    <w:rsid w:val="00F44AD3"/>
    <w:rsid w:val="00F44C61"/>
    <w:rsid w:val="00F45DCB"/>
    <w:rsid w:val="00F4608A"/>
    <w:rsid w:val="00F5190F"/>
    <w:rsid w:val="00F52522"/>
    <w:rsid w:val="00F537B9"/>
    <w:rsid w:val="00F5663B"/>
    <w:rsid w:val="00F75632"/>
    <w:rsid w:val="00F75D5D"/>
    <w:rsid w:val="00F77C70"/>
    <w:rsid w:val="00F81D2F"/>
    <w:rsid w:val="00F93FD7"/>
    <w:rsid w:val="00F96D79"/>
    <w:rsid w:val="00FA0875"/>
    <w:rsid w:val="00FA1DCA"/>
    <w:rsid w:val="00FA416E"/>
    <w:rsid w:val="00FA447C"/>
    <w:rsid w:val="00FB00B5"/>
    <w:rsid w:val="00FB017D"/>
    <w:rsid w:val="00FB130E"/>
    <w:rsid w:val="00FB1F26"/>
    <w:rsid w:val="00FB2443"/>
    <w:rsid w:val="00FB3AAC"/>
    <w:rsid w:val="00FC32B8"/>
    <w:rsid w:val="00FC4B51"/>
    <w:rsid w:val="00FC6F9D"/>
    <w:rsid w:val="00FD0155"/>
    <w:rsid w:val="00FD04CE"/>
    <w:rsid w:val="00FE0B3F"/>
    <w:rsid w:val="00FE4493"/>
    <w:rsid w:val="00FE4747"/>
    <w:rsid w:val="00FF0F63"/>
    <w:rsid w:val="00FF1202"/>
    <w:rsid w:val="00FF4D6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9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85A"/>
  </w:style>
  <w:style w:type="paragraph" w:styleId="Pta">
    <w:name w:val="footer"/>
    <w:basedOn w:val="Normlny"/>
    <w:link w:val="PtaChar"/>
    <w:uiPriority w:val="99"/>
    <w:unhideWhenUsed/>
    <w:rsid w:val="003D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85A"/>
  </w:style>
  <w:style w:type="table" w:customStyle="1" w:styleId="TableGrid1">
    <w:name w:val="Table Grid1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1B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85A"/>
  </w:style>
  <w:style w:type="paragraph" w:styleId="Pta">
    <w:name w:val="footer"/>
    <w:basedOn w:val="Normlny"/>
    <w:link w:val="PtaChar"/>
    <w:uiPriority w:val="99"/>
    <w:unhideWhenUsed/>
    <w:rsid w:val="003D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85A"/>
  </w:style>
  <w:style w:type="table" w:customStyle="1" w:styleId="TableGrid1">
    <w:name w:val="Table Grid1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1B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0622-4418-4BCD-ACA8-8E9494AA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4019</Words>
  <Characters>22909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2016-09-04T14:58:00Z</dcterms:created>
  <dcterms:modified xsi:type="dcterms:W3CDTF">2016-10-24T12:54:00Z</dcterms:modified>
</cp:coreProperties>
</file>