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6" w:rsidRDefault="007E1806" w:rsidP="007E1806">
      <w:pPr>
        <w:rPr>
          <w:rFonts w:ascii="Arial" w:hAnsi="Arial" w:cs="Arial"/>
          <w:b/>
          <w:color w:val="548DD4" w:themeColor="text2" w:themeTint="99"/>
        </w:rPr>
      </w:pPr>
      <w:bookmarkStart w:id="0" w:name="_Toc452385228"/>
      <w:bookmarkStart w:id="1" w:name="_GoBack"/>
      <w:bookmarkEnd w:id="1"/>
      <w:r w:rsidRPr="00803D5A">
        <w:rPr>
          <w:rFonts w:ascii="Arial" w:hAnsi="Arial" w:cs="Arial"/>
          <w:b/>
          <w:color w:val="548DD4" w:themeColor="text2" w:themeTint="99"/>
        </w:rPr>
        <w:t xml:space="preserve">Príloha č. </w:t>
      </w:r>
      <w:r w:rsidR="0079792A">
        <w:rPr>
          <w:rFonts w:ascii="Arial" w:hAnsi="Arial" w:cs="Arial"/>
          <w:b/>
          <w:color w:val="548DD4" w:themeColor="text2" w:themeTint="99"/>
        </w:rPr>
        <w:t>IV</w:t>
      </w:r>
      <w:r w:rsidRPr="00803D5A">
        <w:rPr>
          <w:rFonts w:ascii="Arial" w:hAnsi="Arial" w:cs="Arial"/>
          <w:b/>
          <w:color w:val="548DD4" w:themeColor="text2" w:themeTint="99"/>
        </w:rPr>
        <w:t> </w:t>
      </w:r>
      <w:r w:rsidRPr="00DB488D">
        <w:rPr>
          <w:rFonts w:ascii="Arial" w:hAnsi="Arial" w:cs="Arial"/>
          <w:b/>
          <w:color w:val="548DD4" w:themeColor="text2" w:themeTint="99"/>
        </w:rPr>
        <w:t>Výročnej správy Integrovaného regionálneho operačného programu 2014 – 2020</w:t>
      </w:r>
    </w:p>
    <w:p w:rsidR="007E1806" w:rsidRDefault="007E1806" w:rsidP="007E1806">
      <w:pPr>
        <w:pStyle w:val="Nadpis1"/>
        <w:numPr>
          <w:ilvl w:val="0"/>
          <w:numId w:val="0"/>
        </w:numPr>
        <w:rPr>
          <w:rFonts w:cs="Arial"/>
        </w:rPr>
      </w:pPr>
    </w:p>
    <w:p w:rsidR="007E1806" w:rsidRPr="00D31770" w:rsidRDefault="007E1806" w:rsidP="007E1806">
      <w:pPr>
        <w:pStyle w:val="Nadpis1"/>
        <w:numPr>
          <w:ilvl w:val="0"/>
          <w:numId w:val="0"/>
        </w:numPr>
        <w:rPr>
          <w:rFonts w:eastAsiaTheme="minorHAnsi" w:cs="Arial"/>
          <w:sz w:val="20"/>
          <w:szCs w:val="20"/>
          <w:lang w:eastAsia="en-US"/>
        </w:rPr>
      </w:pPr>
      <w:r w:rsidRPr="00D31770">
        <w:rPr>
          <w:rFonts w:eastAsiaTheme="minorHAnsi" w:cs="Arial"/>
          <w:sz w:val="20"/>
          <w:szCs w:val="20"/>
          <w:lang w:eastAsia="en-US"/>
        </w:rPr>
        <w:t>Z</w:t>
      </w:r>
      <w:r w:rsidR="00D31770">
        <w:rPr>
          <w:rFonts w:eastAsiaTheme="minorHAnsi" w:cs="Arial"/>
          <w:sz w:val="20"/>
          <w:szCs w:val="20"/>
          <w:lang w:eastAsia="en-US"/>
        </w:rPr>
        <w:t>OZNAM SKRATIEK</w:t>
      </w:r>
      <w:bookmarkEnd w:id="0"/>
      <w:r w:rsidRPr="00D31770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7E1806" w:rsidRPr="002B6571" w:rsidRDefault="007E1806" w:rsidP="007E1806">
      <w:pPr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8125"/>
      </w:tblGrid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DBE5F1" w:themeFill="accent1" w:themeFillTint="33"/>
            <w:noWrap/>
            <w:vAlign w:val="bottom"/>
            <w:hideMark/>
          </w:tcPr>
          <w:p w:rsidR="007E1806" w:rsidRPr="007E1806" w:rsidRDefault="007E1806" w:rsidP="008B75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1806">
              <w:rPr>
                <w:rFonts w:ascii="Arial" w:hAnsi="Arial" w:cs="Arial"/>
                <w:b/>
                <w:sz w:val="20"/>
                <w:szCs w:val="20"/>
              </w:rPr>
              <w:t>skratka</w:t>
            </w:r>
          </w:p>
        </w:tc>
        <w:tc>
          <w:tcPr>
            <w:tcW w:w="8125" w:type="dxa"/>
            <w:shd w:val="clear" w:color="auto" w:fill="DBE5F1" w:themeFill="accent1" w:themeFillTint="33"/>
            <w:noWrap/>
            <w:vAlign w:val="bottom"/>
            <w:hideMark/>
          </w:tcPr>
          <w:p w:rsidR="007E1806" w:rsidRPr="007E1806" w:rsidRDefault="007E1806" w:rsidP="008B75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1806">
              <w:rPr>
                <w:rFonts w:ascii="Arial" w:hAnsi="Arial" w:cs="Arial"/>
                <w:b/>
                <w:sz w:val="20"/>
                <w:szCs w:val="20"/>
              </w:rPr>
              <w:t>plné znenie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BBSK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Banskobystrický samosprávny kraj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BSK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Bratislavský samosprávny kraj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Certifikačný orgán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COV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Celkové oprávnené výdavky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CKO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Centrálny koordinačný orgán (na Úrade vlády SR)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CLLD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miestny rozvoj vedený komunitou 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ante kondicionalita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EFRR / ERDF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Európsky fond regionálneho rozvoja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Európska komisia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EPFRV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Európsky poľnohospodársky fond pre rozvoj vidieka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ESF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Európsky sociálny fond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EŠIF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Európske štrukturálne a investičné fondy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EÚ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Európska únia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FN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finančné nástroje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GEAK</w:t>
            </w:r>
          </w:p>
        </w:tc>
        <w:tc>
          <w:tcPr>
            <w:tcW w:w="8125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B6571">
              <w:rPr>
                <w:rFonts w:ascii="Arial" w:hAnsi="Arial" w:cs="Arial"/>
                <w:sz w:val="20"/>
                <w:szCs w:val="20"/>
              </w:rPr>
              <w:t>šeobecné (Gene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B6571">
              <w:rPr>
                <w:rFonts w:ascii="Arial" w:hAnsi="Arial" w:cs="Arial"/>
                <w:sz w:val="20"/>
                <w:szCs w:val="20"/>
              </w:rPr>
              <w:t>al) ex-ante kondicionality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HP ND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Horizontálny princíp nediskriminácia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HP RMŽ 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Horizontálny princíp rovnosť mužov a žien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HP UR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Horizontálny princíp udržateľný rozvoj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IROP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Integrovaný regionálny operačný program 2014-2020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IÚI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integrované územné investície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interný manuál procedúr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ITMS2014+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elektronický monitorovací systém pre programové obdobie 2014 - 2020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IZM</w:t>
            </w:r>
          </w:p>
        </w:tc>
        <w:tc>
          <w:tcPr>
            <w:tcW w:w="8125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Iniciatíva pre zamestnávanie mladých ľudí / YEI Youth Employment Initiative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KF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Kohézny fond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krajské mesto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kultúrny a kreatívny priemysel 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KVK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kľúčový výkonávací krok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miestna akčná skupina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MDVRR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dopravy, výstavby a regionálneho rozvoja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MF SR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financií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merná jednotka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MK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kultúry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MPSVR SR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práce, sociálnych vecí a rodiny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MPRV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MRK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Marginalizované rómske komunity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8125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menej rozvinutý región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MSP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malé a stredné podniky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MŠVVŠ SR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Monitorovací výbor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MV SR</w:t>
            </w:r>
          </w:p>
        </w:tc>
        <w:tc>
          <w:tcPr>
            <w:tcW w:w="8125" w:type="dxa"/>
            <w:shd w:val="clear" w:color="auto" w:fill="auto"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vnútra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MZ SR</w:t>
            </w:r>
          </w:p>
        </w:tc>
        <w:tc>
          <w:tcPr>
            <w:tcW w:w="8125" w:type="dxa"/>
            <w:shd w:val="clear" w:color="auto" w:fill="auto"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zdravotníctva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MŽP SR</w:t>
            </w:r>
          </w:p>
        </w:tc>
        <w:tc>
          <w:tcPr>
            <w:tcW w:w="8125" w:type="dxa"/>
            <w:shd w:val="clear" w:color="auto" w:fill="auto"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Ministerstvo životného prostredia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NCZI</w:t>
            </w:r>
          </w:p>
        </w:tc>
        <w:tc>
          <w:tcPr>
            <w:tcW w:w="8125" w:type="dxa"/>
            <w:shd w:val="clear" w:color="auto" w:fill="auto"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Národné centrum zdravotníckych informácií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OP II</w:t>
            </w:r>
          </w:p>
        </w:tc>
        <w:tc>
          <w:tcPr>
            <w:tcW w:w="8125" w:type="dxa"/>
            <w:shd w:val="clear" w:color="auto" w:fill="auto"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Operačný program Integrovaná infraštruktúra 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125" w:type="dxa"/>
            <w:shd w:val="clear" w:color="auto" w:fill="auto"/>
            <w:noWrap/>
            <w:vAlign w:val="bottom"/>
            <w:hideMark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prioritná os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lastRenderedPageBreak/>
              <w:t>PRV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Program rozvoja vidieka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PUM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Plán udržateľnej mobility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RIUS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Regionálna integrovaná územná stratégia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Riadiaci orgán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Regionálny operačný program 2007 - 2013 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Partnerstva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spoločný akčný plán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SEA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strategické environmentálne hodnotenie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SIEA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inovačná a energetická agentúra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sprostredkovateľský orgán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súhrnná žiadosť o platbu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ŠC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špecifický cieľ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ŠÚ SR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Štatistický úrad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TEAK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2B6571">
              <w:rPr>
                <w:rFonts w:ascii="Arial" w:hAnsi="Arial" w:cs="Arial"/>
                <w:sz w:val="20"/>
                <w:szCs w:val="20"/>
              </w:rPr>
              <w:t>matické (Thematic) ex-ante kondicionality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UMR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udržateľný mestský rozvoj 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ÚPSVR SR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Ústredie práce, sociálnych vecí a rodiny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ÚV SR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Úrad vlády Slovenskej republiky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VRR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B6571">
              <w:rPr>
                <w:rFonts w:ascii="Arial" w:hAnsi="Arial" w:cs="Arial"/>
                <w:sz w:val="20"/>
                <w:szCs w:val="20"/>
              </w:rPr>
              <w:t>iac rozvinutý región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VÚC</w:t>
            </w:r>
          </w:p>
        </w:tc>
        <w:tc>
          <w:tcPr>
            <w:tcW w:w="8125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vyšší územný celok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>ŽoNFP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571">
              <w:rPr>
                <w:rFonts w:ascii="Arial" w:hAnsi="Arial" w:cs="Arial"/>
                <w:sz w:val="20"/>
                <w:szCs w:val="20"/>
              </w:rPr>
              <w:t xml:space="preserve">žiadosť o nenávratný finančný príspevok </w:t>
            </w:r>
          </w:p>
        </w:tc>
      </w:tr>
      <w:tr w:rsidR="007E1806" w:rsidRPr="002B6571" w:rsidTr="007E1806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:rsidR="007E1806" w:rsidRPr="002B6571" w:rsidRDefault="007E1806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ŽoP</w:t>
            </w:r>
          </w:p>
        </w:tc>
        <w:tc>
          <w:tcPr>
            <w:tcW w:w="8125" w:type="dxa"/>
            <w:shd w:val="clear" w:color="auto" w:fill="auto"/>
            <w:noWrap/>
            <w:vAlign w:val="center"/>
          </w:tcPr>
          <w:p w:rsidR="007E1806" w:rsidRPr="002B6571" w:rsidRDefault="00D31770" w:rsidP="008B75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7E1806">
              <w:rPr>
                <w:rFonts w:ascii="Arial" w:hAnsi="Arial" w:cs="Arial"/>
                <w:sz w:val="20"/>
                <w:szCs w:val="20"/>
              </w:rPr>
              <w:t>iadosť o platbu</w:t>
            </w:r>
          </w:p>
        </w:tc>
      </w:tr>
    </w:tbl>
    <w:p w:rsidR="007E1806" w:rsidRPr="002B6571" w:rsidRDefault="007E1806" w:rsidP="007E1806">
      <w:pPr>
        <w:rPr>
          <w:rFonts w:ascii="Arial" w:eastAsiaTheme="minorHAnsi" w:hAnsi="Arial" w:cs="Arial"/>
        </w:rPr>
      </w:pPr>
    </w:p>
    <w:p w:rsidR="007E1806" w:rsidRPr="002B6571" w:rsidRDefault="007E1806" w:rsidP="007E1806">
      <w:pPr>
        <w:spacing w:after="200" w:line="276" w:lineRule="auto"/>
        <w:rPr>
          <w:rFonts w:ascii="Arial" w:eastAsiaTheme="minorHAnsi" w:hAnsi="Arial" w:cs="Arial"/>
        </w:rPr>
      </w:pPr>
      <w:r w:rsidRPr="002B6571">
        <w:rPr>
          <w:rFonts w:ascii="Arial" w:eastAsiaTheme="minorHAnsi" w:hAnsi="Arial" w:cs="Arial"/>
        </w:rPr>
        <w:br w:type="page"/>
      </w:r>
    </w:p>
    <w:p w:rsidR="001050D1" w:rsidRDefault="001050D1"/>
    <w:sectPr w:rsidR="0010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925"/>
    <w:multiLevelType w:val="multilevel"/>
    <w:tmpl w:val="D6841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1"/>
      <w:lvlText w:val="%1.%2."/>
      <w:lvlJc w:val="left"/>
      <w:pPr>
        <w:ind w:left="792" w:hanging="432"/>
      </w:pPr>
    </w:lvl>
    <w:lvl w:ilvl="2">
      <w:start w:val="1"/>
      <w:numFmt w:val="decimal"/>
      <w:pStyle w:val="Nadpis2"/>
      <w:lvlText w:val="%1.%2.%3."/>
      <w:lvlJc w:val="left"/>
      <w:pPr>
        <w:ind w:left="1224" w:hanging="504"/>
      </w:pPr>
    </w:lvl>
    <w:lvl w:ilvl="3">
      <w:start w:val="1"/>
      <w:numFmt w:val="decimal"/>
      <w:pStyle w:val="Nadpis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6"/>
    <w:rsid w:val="001050D1"/>
    <w:rsid w:val="0079792A"/>
    <w:rsid w:val="007E1806"/>
    <w:rsid w:val="009F170C"/>
    <w:rsid w:val="00D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806"/>
    <w:pPr>
      <w:numPr>
        <w:ilvl w:val="1"/>
        <w:numId w:val="1"/>
      </w:numPr>
      <w:ind w:left="431" w:hanging="431"/>
      <w:jc w:val="both"/>
      <w:outlineLvl w:val="0"/>
    </w:pPr>
    <w:rPr>
      <w:rFonts w:ascii="Arial" w:hAnsi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7E1806"/>
    <w:pPr>
      <w:numPr>
        <w:ilvl w:val="2"/>
      </w:numPr>
      <w:tabs>
        <w:tab w:val="left" w:pos="57"/>
      </w:tabs>
      <w:ind w:left="0" w:firstLine="0"/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7E1806"/>
    <w:pPr>
      <w:numPr>
        <w:ilvl w:val="3"/>
      </w:numPr>
      <w:ind w:left="646" w:hanging="646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806"/>
    <w:rPr>
      <w:rFonts w:ascii="Arial" w:eastAsia="Times New Roman" w:hAnsi="Arial" w:cs="Times New Roman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806"/>
    <w:rPr>
      <w:rFonts w:ascii="Arial" w:eastAsia="Times New Roman" w:hAnsi="Arial" w:cs="Times New Roman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806"/>
    <w:rPr>
      <w:rFonts w:ascii="Arial" w:eastAsia="Times New Roman" w:hAnsi="Arial" w:cs="Times New Roman"/>
      <w:b/>
      <w:color w:val="548DD4" w:themeColor="text2" w:themeTint="99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806"/>
    <w:pPr>
      <w:numPr>
        <w:ilvl w:val="1"/>
        <w:numId w:val="1"/>
      </w:numPr>
      <w:ind w:left="431" w:hanging="431"/>
      <w:jc w:val="both"/>
      <w:outlineLvl w:val="0"/>
    </w:pPr>
    <w:rPr>
      <w:rFonts w:ascii="Arial" w:hAnsi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7E1806"/>
    <w:pPr>
      <w:numPr>
        <w:ilvl w:val="2"/>
      </w:numPr>
      <w:tabs>
        <w:tab w:val="left" w:pos="57"/>
      </w:tabs>
      <w:ind w:left="0" w:firstLine="0"/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7E1806"/>
    <w:pPr>
      <w:numPr>
        <w:ilvl w:val="3"/>
      </w:numPr>
      <w:ind w:left="646" w:hanging="646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806"/>
    <w:rPr>
      <w:rFonts w:ascii="Arial" w:eastAsia="Times New Roman" w:hAnsi="Arial" w:cs="Times New Roman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806"/>
    <w:rPr>
      <w:rFonts w:ascii="Arial" w:eastAsia="Times New Roman" w:hAnsi="Arial" w:cs="Times New Roman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806"/>
    <w:rPr>
      <w:rFonts w:ascii="Arial" w:eastAsia="Times New Roman" w:hAnsi="Arial" w:cs="Times New Roman"/>
      <w:b/>
      <w:color w:val="548DD4" w:themeColor="text2" w:themeTint="99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Nedbalová Zuzana</dc:creator>
  <cp:lastModifiedBy>Odbor monitorovania a hodnotenia PRR</cp:lastModifiedBy>
  <cp:revision>2</cp:revision>
  <dcterms:created xsi:type="dcterms:W3CDTF">2016-10-27T14:53:00Z</dcterms:created>
  <dcterms:modified xsi:type="dcterms:W3CDTF">2016-10-27T14:53:00Z</dcterms:modified>
</cp:coreProperties>
</file>