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413B16" w:rsidRPr="002A752A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2A752A">
        <w:rPr>
          <w:rFonts w:ascii="Calibri" w:hAnsi="Calibri" w:cs="Arial"/>
          <w:b/>
          <w:color w:val="1F497D"/>
          <w:sz w:val="36"/>
          <w:szCs w:val="36"/>
        </w:rPr>
        <w:t>Integrovaný regionálny operačný program</w:t>
      </w:r>
    </w:p>
    <w:p w:rsidR="00413B16" w:rsidRPr="002A752A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2A752A">
        <w:rPr>
          <w:rFonts w:ascii="Calibri" w:hAnsi="Calibri" w:cs="Arial"/>
          <w:b/>
          <w:color w:val="1F497D"/>
          <w:sz w:val="36"/>
          <w:szCs w:val="36"/>
        </w:rPr>
        <w:t>2014 – 2020</w:t>
      </w:r>
    </w:p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2A752A">
        <w:rPr>
          <w:rFonts w:ascii="Calibri" w:hAnsi="Calibri" w:cs="Arial"/>
          <w:b/>
          <w:color w:val="1F497D"/>
          <w:sz w:val="36"/>
          <w:szCs w:val="36"/>
        </w:rPr>
        <w:t xml:space="preserve">Prioritná os </w:t>
      </w:r>
      <w:r>
        <w:rPr>
          <w:rFonts w:ascii="Calibri" w:hAnsi="Calibri" w:cs="Arial"/>
          <w:b/>
          <w:color w:val="1F497D"/>
          <w:sz w:val="36"/>
          <w:szCs w:val="36"/>
        </w:rPr>
        <w:t>5 Miestny rozvoj vedený komunitou</w:t>
      </w:r>
    </w:p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413B16" w:rsidRPr="006642B9" w:rsidRDefault="005154E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>
        <w:rPr>
          <w:rFonts w:ascii="Calibri" w:hAnsi="Calibri" w:cs="Arial"/>
          <w:b/>
          <w:color w:val="1F497D"/>
          <w:sz w:val="36"/>
          <w:szCs w:val="36"/>
        </w:rPr>
        <w:t>Vzor Harmonogramu výziev</w:t>
      </w:r>
    </w:p>
    <w:p w:rsidR="00413B16" w:rsidRPr="006642B9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6642B9">
        <w:rPr>
          <w:rFonts w:ascii="Calibri" w:hAnsi="Calibri" w:cs="Arial"/>
          <w:b/>
          <w:color w:val="1F497D"/>
          <w:sz w:val="36"/>
          <w:szCs w:val="36"/>
        </w:rPr>
        <w:t xml:space="preserve">Vzor č. </w:t>
      </w:r>
      <w:sdt>
        <w:sdtPr>
          <w:rPr>
            <w:rFonts w:ascii="Calibri" w:hAnsi="Calibri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948EDF264937401B850B78A1D6B58E60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Content>
          <w:r w:rsidR="00217CEC">
            <w:rPr>
              <w:rFonts w:ascii="Calibri" w:hAnsi="Calibri" w:cs="Arial"/>
              <w:b/>
              <w:color w:val="1F497D"/>
              <w:sz w:val="36"/>
              <w:szCs w:val="36"/>
            </w:rPr>
            <w:t>10</w:t>
          </w:r>
        </w:sdtContent>
      </w:sdt>
    </w:p>
    <w:p w:rsidR="00413B16" w:rsidRPr="006642B9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6642B9">
        <w:rPr>
          <w:rFonts w:ascii="Calibri" w:hAnsi="Calibri" w:cs="Arial"/>
          <w:b/>
          <w:color w:val="1F497D"/>
          <w:sz w:val="36"/>
          <w:szCs w:val="36"/>
        </w:rPr>
        <w:t xml:space="preserve">verzia </w:t>
      </w:r>
      <w:sdt>
        <w:sdtPr>
          <w:rPr>
            <w:rFonts w:ascii="Calibri" w:hAnsi="Calibri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C00230EDF92E41D7B2078735403BCF6B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Content>
          <w:r w:rsidR="00D61E17">
            <w:rPr>
              <w:rFonts w:ascii="Calibri" w:hAnsi="Calibri" w:cs="Arial"/>
              <w:b/>
              <w:color w:val="1F497D"/>
              <w:sz w:val="36"/>
              <w:szCs w:val="36"/>
            </w:rPr>
            <w:t>1</w:t>
          </w:r>
        </w:sdtContent>
      </w:sdt>
    </w:p>
    <w:p w:rsidR="00413B16" w:rsidRPr="006642B9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413B16" w:rsidRDefault="00413B16" w:rsidP="00413B16">
      <w:pPr>
        <w:spacing w:before="120" w:after="120"/>
        <w:rPr>
          <w:rFonts w:ascii="Calibri" w:hAnsi="Calibri" w:cs="Arial"/>
          <w:b/>
          <w:color w:val="1F497D"/>
          <w:sz w:val="36"/>
          <w:szCs w:val="36"/>
        </w:rPr>
      </w:pPr>
      <w:r>
        <w:rPr>
          <w:rFonts w:ascii="Calibri" w:hAnsi="Calibri" w:cs="Arial"/>
          <w:b/>
          <w:color w:val="1F497D"/>
          <w:sz w:val="36"/>
          <w:szCs w:val="36"/>
        </w:rPr>
        <w:t>Určené pre: Miestne akčné skupiny (MAS)</w:t>
      </w:r>
    </w:p>
    <w:p w:rsidR="00413B16" w:rsidRDefault="00413B16" w:rsidP="00413B16">
      <w:pPr>
        <w:spacing w:before="120" w:after="120"/>
        <w:ind w:left="1843" w:hanging="1843"/>
        <w:jc w:val="both"/>
        <w:rPr>
          <w:rFonts w:ascii="Calibri" w:hAnsi="Calibri" w:cs="Arial"/>
          <w:b/>
          <w:color w:val="1F497D"/>
          <w:sz w:val="36"/>
          <w:szCs w:val="36"/>
        </w:rPr>
      </w:pPr>
      <w:r>
        <w:rPr>
          <w:rFonts w:ascii="Calibri" w:hAnsi="Calibri" w:cs="Arial"/>
          <w:b/>
          <w:color w:val="1F497D"/>
          <w:sz w:val="36"/>
          <w:szCs w:val="36"/>
        </w:rPr>
        <w:t>Záväznosť:</w:t>
      </w:r>
      <w:r>
        <w:rPr>
          <w:rFonts w:ascii="Calibri" w:hAnsi="Calibri" w:cs="Arial"/>
          <w:b/>
          <w:color w:val="1F497D"/>
          <w:sz w:val="36"/>
          <w:szCs w:val="36"/>
        </w:rPr>
        <w:tab/>
      </w:r>
      <w:r w:rsidRPr="00940716">
        <w:rPr>
          <w:rFonts w:ascii="Calibri" w:hAnsi="Calibri" w:cs="Arial"/>
          <w:b/>
          <w:color w:val="1F497D"/>
          <w:sz w:val="36"/>
          <w:szCs w:val="36"/>
        </w:rPr>
        <w:t xml:space="preserve">Vzor je pre </w:t>
      </w:r>
      <w:r>
        <w:rPr>
          <w:rFonts w:ascii="Calibri" w:hAnsi="Calibri" w:cs="Arial"/>
          <w:b/>
          <w:color w:val="1F497D"/>
          <w:sz w:val="36"/>
          <w:szCs w:val="36"/>
        </w:rPr>
        <w:t>MAS záväzný.</w:t>
      </w:r>
    </w:p>
    <w:p w:rsidR="00413B16" w:rsidRDefault="00413B16" w:rsidP="00413B16">
      <w:pPr>
        <w:spacing w:after="0" w:line="240" w:lineRule="auto"/>
        <w:rPr>
          <w:rFonts w:eastAsia="Times New Roman" w:cs="Times New Roman"/>
          <w:b/>
          <w:sz w:val="28"/>
          <w:szCs w:val="20"/>
        </w:rPr>
      </w:pPr>
    </w:p>
    <w:p w:rsidR="00413B16" w:rsidRPr="002A752A" w:rsidRDefault="00413B16" w:rsidP="00413B16">
      <w:pPr>
        <w:rPr>
          <w:rFonts w:ascii="Calibri" w:eastAsia="Calibri" w:hAnsi="Calibri" w:cs="Arial"/>
          <w:b/>
          <w:smallCaps/>
          <w:sz w:val="20"/>
          <w:szCs w:val="20"/>
        </w:rPr>
      </w:pPr>
    </w:p>
    <w:p w:rsidR="00413B16" w:rsidRPr="00FC401E" w:rsidRDefault="00413B16" w:rsidP="00413B16">
      <w:pPr>
        <w:pStyle w:val="Nadpis1"/>
        <w:rPr>
          <w:rFonts w:asciiTheme="minorHAnsi" w:hAnsiTheme="minorHAnsi"/>
          <w:b/>
          <w:sz w:val="36"/>
        </w:rPr>
      </w:pPr>
      <w:bookmarkStart w:id="0" w:name="_Ref494968963"/>
      <w:r w:rsidRPr="00FC401E">
        <w:rPr>
          <w:rFonts w:asciiTheme="minorHAnsi" w:eastAsiaTheme="minorEastAsia" w:hAnsiTheme="minorHAnsi"/>
          <w:b/>
          <w:sz w:val="36"/>
        </w:rPr>
        <w:t xml:space="preserve">Dátum platnosti od:  </w:t>
      </w:r>
      <w:sdt>
        <w:sdtPr>
          <w:rPr>
            <w:rFonts w:asciiTheme="minorHAnsi" w:hAnsiTheme="minorHAnsi"/>
            <w:b/>
            <w:sz w:val="36"/>
          </w:rPr>
          <w:id w:val="1463773424"/>
          <w:placeholder>
            <w:docPart w:val="077F3E213F6140F1BE8CC8103E878869"/>
          </w:placeholder>
          <w:date w:fullDate="2018-10-05T00:00:00Z">
            <w:dateFormat w:val="dd.MM.yyyy"/>
            <w:lid w:val="sk-SK"/>
            <w:storeMappedDataAs w:val="dateTime"/>
            <w:calendar w:val="gregorian"/>
          </w:date>
        </w:sdtPr>
        <w:sdtContent>
          <w:r w:rsidR="0069646F">
            <w:rPr>
              <w:rFonts w:asciiTheme="minorHAnsi" w:hAnsiTheme="minorHAnsi"/>
              <w:b/>
              <w:sz w:val="36"/>
            </w:rPr>
            <w:t>05.10.2018</w:t>
          </w:r>
        </w:sdtContent>
      </w:sdt>
      <w:bookmarkEnd w:id="0"/>
    </w:p>
    <w:p w:rsidR="00413B16" w:rsidRPr="00413B16" w:rsidRDefault="00413B16" w:rsidP="00413B16">
      <w:pPr>
        <w:spacing w:before="120" w:after="120" w:line="240" w:lineRule="auto"/>
        <w:ind w:left="3540" w:firstLine="708"/>
        <w:jc w:val="center"/>
        <w:rPr>
          <w:rFonts w:asciiTheme="minorHAnsi" w:hAnsiTheme="minorHAnsi" w:cs="Arial"/>
          <w:sz w:val="20"/>
          <w:szCs w:val="20"/>
        </w:rPr>
      </w:pPr>
      <w:bookmarkStart w:id="1" w:name="_GoBack"/>
      <w:bookmarkEnd w:id="1"/>
    </w:p>
    <w:p w:rsidR="009C7008" w:rsidRPr="00E4368A" w:rsidRDefault="009C7008">
      <w:pPr>
        <w:rPr>
          <w:rFonts w:asciiTheme="minorHAnsi" w:hAnsiTheme="minorHAnsi"/>
          <w:b/>
          <w:i/>
          <w:sz w:val="22"/>
        </w:rPr>
        <w:sectPr w:rsidR="009C7008" w:rsidRPr="00E4368A" w:rsidSect="009C7008">
          <w:headerReference w:type="default" r:id="rId8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lastRenderedPageBreak/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2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="0051025E">
        <w:rPr>
          <w:rFonts w:asciiTheme="minorHAnsi" w:hAnsiTheme="minorHAnsi"/>
          <w:b/>
          <w:i/>
          <w:sz w:val="22"/>
        </w:rPr>
        <w:t xml:space="preserve"> 2019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="0051025E">
        <w:rPr>
          <w:rFonts w:asciiTheme="minorHAnsi" w:hAnsiTheme="minorHAnsi"/>
          <w:b/>
          <w:i/>
          <w:sz w:val="22"/>
        </w:rPr>
        <w:t xml:space="preserve"> 2019</w:t>
      </w:r>
      <w:r w:rsidRPr="00E4368A">
        <w:rPr>
          <w:rFonts w:asciiTheme="minorHAnsi" w:hAnsiTheme="minorHAnsi"/>
          <w:b/>
          <w:i/>
          <w:sz w:val="22"/>
        </w:rPr>
        <w:t>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197281">
        <w:rPr>
          <w:rFonts w:asciiTheme="minorHAnsi" w:hAnsiTheme="minorHAnsi"/>
          <w:i/>
          <w:sz w:val="22"/>
        </w:rPr>
        <w:t>Stratégia CLLD Stredný Gemer 2016-2023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197281">
        <w:rPr>
          <w:rFonts w:asciiTheme="minorHAnsi" w:hAnsiTheme="minorHAnsi"/>
          <w:i/>
          <w:sz w:val="22"/>
        </w:rPr>
        <w:t>VSP Stredný Gemer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384025">
        <w:rPr>
          <w:rFonts w:asciiTheme="minorHAnsi" w:hAnsiTheme="minorHAnsi"/>
          <w:sz w:val="22"/>
        </w:rPr>
        <w:t>20.6.2019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4"/>
      </w:r>
      <w:r w:rsidR="0010589A" w:rsidRPr="00E4368A">
        <w:rPr>
          <w:rFonts w:asciiTheme="minorHAnsi" w:hAnsiTheme="minorHAnsi"/>
          <w:sz w:val="22"/>
        </w:rPr>
        <w:tab/>
      </w:r>
      <w:r w:rsidR="00197281">
        <w:rPr>
          <w:rFonts w:asciiTheme="minorHAnsi" w:hAnsiTheme="minorHAnsi"/>
          <w:sz w:val="22"/>
        </w:rPr>
        <w:t>1</w:t>
      </w:r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2451" w:type="dxa"/>
        <w:jc w:val="center"/>
        <w:tblLayout w:type="fixed"/>
        <w:tblLook w:val="04A0"/>
      </w:tblPr>
      <w:tblGrid>
        <w:gridCol w:w="2058"/>
        <w:gridCol w:w="2144"/>
        <w:gridCol w:w="1786"/>
        <w:gridCol w:w="1371"/>
        <w:gridCol w:w="1542"/>
        <w:gridCol w:w="1542"/>
        <w:gridCol w:w="2008"/>
      </w:tblGrid>
      <w:tr w:rsidR="003E7163" w:rsidRPr="00E4368A" w:rsidTr="007005F5">
        <w:trPr>
          <w:trHeight w:val="754"/>
          <w:jc w:val="center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</w:rPr>
              <w:footnoteReference w:id="5"/>
            </w:r>
          </w:p>
        </w:tc>
        <w:tc>
          <w:tcPr>
            <w:tcW w:w="2144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MAS</w:t>
            </w:r>
            <w:r>
              <w:rPr>
                <w:rStyle w:val="Odkaznapoznmkupodiarou"/>
                <w:rFonts w:asciiTheme="minorHAnsi" w:hAnsiTheme="minorHAnsi"/>
              </w:rPr>
              <w:footnoteReference w:id="6"/>
            </w:r>
          </w:p>
        </w:tc>
        <w:tc>
          <w:tcPr>
            <w:tcW w:w="1786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Oprávnení žiadatelia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</w:rPr>
              <w:footnoteReference w:id="8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Dátum uzavretia výzvy</w:t>
            </w:r>
          </w:p>
        </w:tc>
        <w:tc>
          <w:tcPr>
            <w:tcW w:w="200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Indikatívna výška finančných prostriedkov určených na výzvu</w:t>
            </w:r>
          </w:p>
        </w:tc>
      </w:tr>
      <w:tr w:rsidR="003E7163" w:rsidRPr="00E4368A" w:rsidTr="007005F5">
        <w:trPr>
          <w:trHeight w:val="566"/>
          <w:jc w:val="center"/>
        </w:trPr>
        <w:tc>
          <w:tcPr>
            <w:tcW w:w="2058" w:type="dxa"/>
            <w:vAlign w:val="center"/>
          </w:tcPr>
          <w:p w:rsidR="003E7163" w:rsidRPr="00E4368A" w:rsidRDefault="00703517" w:rsidP="00EB0C73">
            <w:pPr>
              <w:jc w:val="center"/>
              <w:rPr>
                <w:rFonts w:asciiTheme="minorHAnsi" w:hAnsiTheme="minorHAnsi"/>
              </w:rPr>
            </w:pPr>
            <w:r w:rsidRPr="00B40F2E">
              <w:rPr>
                <w:rFonts w:asciiTheme="minorHAnsi" w:hAnsiTheme="minorHAnsi"/>
              </w:rPr>
              <w:t>5.1.1.Zvýšenie zamestnanosti na miestnej úrovni podporou podnikania a inovácií</w:t>
            </w:r>
          </w:p>
        </w:tc>
        <w:tc>
          <w:tcPr>
            <w:tcW w:w="2144" w:type="dxa"/>
          </w:tcPr>
          <w:p w:rsidR="003E7163" w:rsidRPr="00E4368A" w:rsidRDefault="00B40F2E" w:rsidP="00CD44D3">
            <w:pPr>
              <w:jc w:val="center"/>
              <w:rPr>
                <w:rFonts w:asciiTheme="minorHAnsi" w:hAnsiTheme="minorHAnsi"/>
              </w:rPr>
            </w:pPr>
            <w:r w:rsidRPr="00B40F2E">
              <w:rPr>
                <w:rFonts w:asciiTheme="minorHAnsi" w:hAnsiTheme="minorHAnsi"/>
              </w:rPr>
              <w:t xml:space="preserve">A1 </w:t>
            </w:r>
            <w:r w:rsidR="00CD44D3">
              <w:rPr>
                <w:rFonts w:asciiTheme="minorHAnsi" w:hAnsiTheme="minorHAnsi"/>
              </w:rPr>
              <w:t>Podpora podnikania a inovácií</w:t>
            </w:r>
          </w:p>
        </w:tc>
        <w:tc>
          <w:tcPr>
            <w:tcW w:w="1786" w:type="dxa"/>
            <w:vAlign w:val="center"/>
          </w:tcPr>
          <w:p w:rsidR="000A1E5D" w:rsidRPr="000A1E5D" w:rsidRDefault="000A1E5D" w:rsidP="00F26A4E">
            <w:pPr>
              <w:rPr>
                <w:rFonts w:asciiTheme="minorHAnsi" w:hAnsiTheme="minorHAnsi"/>
              </w:rPr>
            </w:pPr>
            <w:r w:rsidRPr="000A1E5D">
              <w:rPr>
                <w:rFonts w:asciiTheme="minorHAnsi" w:hAnsiTheme="minorHAnsi"/>
              </w:rPr>
              <w:t>A) novozaložené (začínajúce) SZČO, mikro, a malé podniky do 49 zamestnancov</w:t>
            </w:r>
          </w:p>
          <w:p w:rsidR="003E7163" w:rsidRPr="000A1E5D" w:rsidRDefault="000A1E5D" w:rsidP="00F26A4E">
            <w:pPr>
              <w:rPr>
                <w:i/>
              </w:rPr>
            </w:pPr>
            <w:r w:rsidRPr="000A1E5D">
              <w:rPr>
                <w:rFonts w:asciiTheme="minorHAnsi" w:hAnsiTheme="minorHAnsi"/>
              </w:rPr>
              <w:t xml:space="preserve">B) SZČO, mikro, a malé podniky do 49 zamestnancov </w:t>
            </w:r>
          </w:p>
        </w:tc>
        <w:tc>
          <w:tcPr>
            <w:tcW w:w="1371" w:type="dxa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otvorená</w:t>
            </w:r>
          </w:p>
        </w:tc>
        <w:tc>
          <w:tcPr>
            <w:tcW w:w="1542" w:type="dxa"/>
            <w:vAlign w:val="center"/>
          </w:tcPr>
          <w:p w:rsidR="003E7163" w:rsidRPr="00E4368A" w:rsidRDefault="00B40F2E" w:rsidP="00105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07/2019</w:t>
            </w:r>
          </w:p>
        </w:tc>
        <w:tc>
          <w:tcPr>
            <w:tcW w:w="1542" w:type="dxa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3E7163" w:rsidRPr="00E4368A" w:rsidRDefault="00CD44D3" w:rsidP="00EB0C7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EB0C73">
              <w:rPr>
                <w:rFonts w:asciiTheme="minorHAnsi" w:hAnsiTheme="minorHAnsi"/>
              </w:rPr>
              <w:t>00 000,- Eur</w:t>
            </w:r>
          </w:p>
        </w:tc>
      </w:tr>
      <w:tr w:rsidR="00C87366" w:rsidRPr="00E4368A" w:rsidTr="007005F5">
        <w:trPr>
          <w:trHeight w:val="252"/>
          <w:jc w:val="center"/>
        </w:trPr>
        <w:tc>
          <w:tcPr>
            <w:tcW w:w="2058" w:type="dxa"/>
          </w:tcPr>
          <w:p w:rsidR="00C87366" w:rsidRPr="00E4368A" w:rsidRDefault="007005F5" w:rsidP="007005F5">
            <w:pPr>
              <w:jc w:val="center"/>
              <w:rPr>
                <w:rFonts w:asciiTheme="minorHAnsi" w:hAnsiTheme="minorHAnsi"/>
              </w:rPr>
            </w:pPr>
            <w:r w:rsidRPr="007005F5">
              <w:rPr>
                <w:rFonts w:asciiTheme="minorHAnsi" w:hAnsiTheme="minorHAnsi" w:cstheme="minorHAnsi"/>
                <w:iCs/>
                <w:szCs w:val="24"/>
              </w:rPr>
              <w:lastRenderedPageBreak/>
              <w:t>5.1.2 - Zlepšenie udržateľných vzťahov medzi vidieckymi rozvojovými centrami a ich zázemím vo verejných službách a vo verejných infraštruktúrach</w:t>
            </w:r>
          </w:p>
        </w:tc>
        <w:tc>
          <w:tcPr>
            <w:tcW w:w="2144" w:type="dxa"/>
          </w:tcPr>
          <w:p w:rsidR="00C87366" w:rsidRPr="00E4368A" w:rsidRDefault="007005F5" w:rsidP="00CD44D3">
            <w:pPr>
              <w:pStyle w:val="Default"/>
              <w:spacing w:after="15"/>
              <w:ind w:left="34"/>
              <w:jc w:val="center"/>
              <w:rPr>
                <w:rFonts w:asciiTheme="minorHAnsi" w:hAnsiTheme="minorHAnsi"/>
              </w:rPr>
            </w:pPr>
            <w:r w:rsidRPr="007005F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B1 - Investície do cyklistických trás a súvisiacej podpornej infraštruktúry </w:t>
            </w:r>
          </w:p>
        </w:tc>
        <w:tc>
          <w:tcPr>
            <w:tcW w:w="1786" w:type="dxa"/>
          </w:tcPr>
          <w:p w:rsidR="007005F5" w:rsidRPr="000A1E5D" w:rsidRDefault="000343E2" w:rsidP="000A1E5D">
            <w:pPr>
              <w:rPr>
                <w:rFonts w:asciiTheme="minorHAnsi" w:hAnsiTheme="minorHAnsi"/>
              </w:rPr>
            </w:pPr>
            <w:r w:rsidRPr="000A1E5D">
              <w:rPr>
                <w:rFonts w:asciiTheme="minorHAnsi" w:hAnsiTheme="minorHAnsi"/>
              </w:rPr>
              <w:t>A)</w:t>
            </w:r>
            <w:r w:rsidR="000A1E5D">
              <w:rPr>
                <w:rFonts w:asciiTheme="minorHAnsi" w:hAnsiTheme="minorHAnsi"/>
              </w:rPr>
              <w:t xml:space="preserve"> m</w:t>
            </w:r>
            <w:r w:rsidR="007005F5" w:rsidRPr="000A1E5D">
              <w:rPr>
                <w:rFonts w:asciiTheme="minorHAnsi" w:hAnsiTheme="minorHAnsi"/>
              </w:rPr>
              <w:t>está</w:t>
            </w:r>
            <w:r w:rsidR="000A1E5D">
              <w:rPr>
                <w:rFonts w:asciiTheme="minorHAnsi" w:hAnsiTheme="minorHAnsi"/>
              </w:rPr>
              <w:t xml:space="preserve"> </w:t>
            </w:r>
            <w:r w:rsidR="007005F5" w:rsidRPr="000A1E5D">
              <w:rPr>
                <w:rFonts w:asciiTheme="minorHAnsi" w:hAnsiTheme="minorHAnsi"/>
              </w:rPr>
              <w:t>/</w:t>
            </w:r>
            <w:r w:rsidR="000A1E5D">
              <w:rPr>
                <w:rFonts w:asciiTheme="minorHAnsi" w:hAnsiTheme="minorHAnsi"/>
              </w:rPr>
              <w:t xml:space="preserve"> </w:t>
            </w:r>
            <w:r w:rsidR="007005F5" w:rsidRPr="000A1E5D">
              <w:rPr>
                <w:rFonts w:asciiTheme="minorHAnsi" w:hAnsiTheme="minorHAnsi"/>
              </w:rPr>
              <w:t>s</w:t>
            </w:r>
            <w:r w:rsidR="000A1E5D">
              <w:rPr>
                <w:rFonts w:asciiTheme="minorHAnsi" w:hAnsiTheme="minorHAnsi"/>
              </w:rPr>
              <w:t>amostatné mestské časti a obce</w:t>
            </w:r>
          </w:p>
          <w:p w:rsidR="007005F5" w:rsidRPr="000A1E5D" w:rsidRDefault="000343E2" w:rsidP="000A1E5D">
            <w:pPr>
              <w:rPr>
                <w:rFonts w:asciiTheme="minorHAnsi" w:hAnsiTheme="minorHAnsi"/>
              </w:rPr>
            </w:pPr>
            <w:r w:rsidRPr="000A1E5D">
              <w:rPr>
                <w:rFonts w:asciiTheme="minorHAnsi" w:hAnsiTheme="minorHAnsi"/>
              </w:rPr>
              <w:t xml:space="preserve">B) </w:t>
            </w:r>
            <w:r w:rsidR="000A1E5D">
              <w:rPr>
                <w:rFonts w:asciiTheme="minorHAnsi" w:hAnsiTheme="minorHAnsi"/>
              </w:rPr>
              <w:t>združenia miest a obcí</w:t>
            </w:r>
            <w:r w:rsidR="007005F5" w:rsidRPr="000A1E5D">
              <w:rPr>
                <w:rFonts w:asciiTheme="minorHAnsi" w:hAnsiTheme="minorHAnsi"/>
              </w:rPr>
              <w:t xml:space="preserve"> </w:t>
            </w:r>
          </w:p>
          <w:p w:rsidR="007005F5" w:rsidRPr="000A1E5D" w:rsidRDefault="000A1E5D" w:rsidP="000A1E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0343E2" w:rsidRPr="000A1E5D">
              <w:rPr>
                <w:rFonts w:asciiTheme="minorHAnsi" w:hAnsiTheme="minorHAnsi"/>
              </w:rPr>
              <w:t xml:space="preserve">) </w:t>
            </w:r>
            <w:r w:rsidR="007005F5" w:rsidRPr="000A1E5D">
              <w:rPr>
                <w:rFonts w:asciiTheme="minorHAnsi" w:hAnsiTheme="minorHAnsi"/>
              </w:rPr>
              <w:t xml:space="preserve">občianske združenia </w:t>
            </w:r>
          </w:p>
          <w:p w:rsidR="000A1E5D" w:rsidRDefault="000A1E5D" w:rsidP="000A1E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0343E2" w:rsidRPr="000A1E5D">
              <w:rPr>
                <w:rFonts w:asciiTheme="minorHAnsi" w:hAnsiTheme="minorHAnsi"/>
              </w:rPr>
              <w:t xml:space="preserve">) </w:t>
            </w:r>
            <w:r w:rsidR="007005F5" w:rsidRPr="000A1E5D">
              <w:rPr>
                <w:rFonts w:asciiTheme="minorHAnsi" w:hAnsiTheme="minorHAnsi"/>
              </w:rPr>
              <w:t>neziskové organizácie</w:t>
            </w:r>
          </w:p>
          <w:p w:rsidR="00C87366" w:rsidRPr="00E4368A" w:rsidRDefault="000A1E5D" w:rsidP="000A1E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E)</w:t>
            </w:r>
            <w:r w:rsidR="007005F5" w:rsidRPr="000A1E5D">
              <w:rPr>
                <w:rFonts w:asciiTheme="minorHAnsi" w:hAnsiTheme="minorHAnsi"/>
              </w:rPr>
              <w:t xml:space="preserve"> cirkevné organizácie</w:t>
            </w:r>
          </w:p>
        </w:tc>
        <w:tc>
          <w:tcPr>
            <w:tcW w:w="1371" w:type="dxa"/>
            <w:vAlign w:val="center"/>
          </w:tcPr>
          <w:p w:rsidR="00C87366" w:rsidRPr="00E4368A" w:rsidRDefault="007005F5" w:rsidP="007005F5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otvorená</w:t>
            </w:r>
          </w:p>
        </w:tc>
        <w:tc>
          <w:tcPr>
            <w:tcW w:w="1542" w:type="dxa"/>
            <w:vAlign w:val="center"/>
          </w:tcPr>
          <w:p w:rsidR="00C87366" w:rsidRPr="00E4368A" w:rsidRDefault="007005F5" w:rsidP="007005F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10/2019</w:t>
            </w:r>
          </w:p>
        </w:tc>
        <w:tc>
          <w:tcPr>
            <w:tcW w:w="1542" w:type="dxa"/>
            <w:vAlign w:val="center"/>
          </w:tcPr>
          <w:p w:rsidR="00C87366" w:rsidRPr="00E4368A" w:rsidRDefault="007005F5" w:rsidP="007005F5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C87366" w:rsidRPr="00E4368A" w:rsidRDefault="00CD44D3" w:rsidP="007005F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  <w:r w:rsidR="007005F5">
              <w:rPr>
                <w:rFonts w:asciiTheme="minorHAnsi" w:hAnsiTheme="minorHAnsi"/>
              </w:rPr>
              <w:t> 000,- Eur</w:t>
            </w:r>
          </w:p>
        </w:tc>
      </w:tr>
      <w:tr w:rsidR="00C87366" w:rsidRPr="00E4368A" w:rsidTr="007005F5">
        <w:trPr>
          <w:trHeight w:val="252"/>
          <w:jc w:val="center"/>
        </w:trPr>
        <w:tc>
          <w:tcPr>
            <w:tcW w:w="2058" w:type="dxa"/>
          </w:tcPr>
          <w:p w:rsidR="00C87366" w:rsidRPr="00E4368A" w:rsidRDefault="007005F5" w:rsidP="0038052C">
            <w:pPr>
              <w:jc w:val="center"/>
              <w:rPr>
                <w:rFonts w:asciiTheme="minorHAnsi" w:hAnsiTheme="minorHAnsi"/>
              </w:rPr>
            </w:pPr>
            <w:r w:rsidRPr="007005F5">
              <w:rPr>
                <w:rFonts w:asciiTheme="minorHAnsi" w:hAnsiTheme="minorHAnsi" w:cstheme="minorHAnsi"/>
                <w:iCs/>
                <w:szCs w:val="24"/>
              </w:rPr>
              <w:t>5.1.2 - Zlepšenie udržateľných vzťahov medzi vidieckymi rozvojovými centrami a ich zázemím vo verejných službách a vo verejných infraštruktúrach</w:t>
            </w:r>
          </w:p>
        </w:tc>
        <w:tc>
          <w:tcPr>
            <w:tcW w:w="2144" w:type="dxa"/>
          </w:tcPr>
          <w:p w:rsidR="00C87366" w:rsidRPr="007005F5" w:rsidRDefault="007005F5" w:rsidP="00BE44C3">
            <w:pPr>
              <w:pStyle w:val="Default"/>
              <w:spacing w:after="15"/>
              <w:ind w:left="34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005F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B2 - Zvyšovanie bezpečnosti a dostupnosti </w:t>
            </w:r>
          </w:p>
        </w:tc>
        <w:tc>
          <w:tcPr>
            <w:tcW w:w="1786" w:type="dxa"/>
          </w:tcPr>
          <w:p w:rsidR="000A1E5D" w:rsidRPr="000A1E5D" w:rsidRDefault="000A1E5D" w:rsidP="000A1E5D">
            <w:pPr>
              <w:rPr>
                <w:rFonts w:asciiTheme="minorHAnsi" w:hAnsiTheme="minorHAnsi"/>
              </w:rPr>
            </w:pPr>
            <w:r w:rsidRPr="000A1E5D">
              <w:rPr>
                <w:rFonts w:asciiTheme="minorHAnsi" w:hAnsiTheme="minorHAnsi"/>
              </w:rPr>
              <w:t>A)</w:t>
            </w:r>
            <w:r>
              <w:rPr>
                <w:rFonts w:asciiTheme="minorHAnsi" w:hAnsiTheme="minorHAnsi"/>
              </w:rPr>
              <w:t xml:space="preserve"> m</w:t>
            </w:r>
            <w:r w:rsidRPr="000A1E5D">
              <w:rPr>
                <w:rFonts w:asciiTheme="minorHAnsi" w:hAnsiTheme="minorHAnsi"/>
              </w:rPr>
              <w:t>está</w:t>
            </w:r>
            <w:r>
              <w:rPr>
                <w:rFonts w:asciiTheme="minorHAnsi" w:hAnsiTheme="minorHAnsi"/>
              </w:rPr>
              <w:t xml:space="preserve"> </w:t>
            </w:r>
            <w:r w:rsidRPr="000A1E5D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0A1E5D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amostatné mestské časti a obce</w:t>
            </w:r>
          </w:p>
          <w:p w:rsidR="000A1E5D" w:rsidRPr="000A1E5D" w:rsidRDefault="000A1E5D" w:rsidP="000A1E5D">
            <w:pPr>
              <w:rPr>
                <w:rFonts w:asciiTheme="minorHAnsi" w:hAnsiTheme="minorHAnsi"/>
              </w:rPr>
            </w:pPr>
            <w:r w:rsidRPr="000A1E5D">
              <w:rPr>
                <w:rFonts w:asciiTheme="minorHAnsi" w:hAnsiTheme="minorHAnsi"/>
              </w:rPr>
              <w:t xml:space="preserve">B) </w:t>
            </w:r>
            <w:r>
              <w:rPr>
                <w:rFonts w:asciiTheme="minorHAnsi" w:hAnsiTheme="minorHAnsi"/>
              </w:rPr>
              <w:t>združenia miest a obcí</w:t>
            </w:r>
            <w:r w:rsidRPr="000A1E5D">
              <w:rPr>
                <w:rFonts w:asciiTheme="minorHAnsi" w:hAnsiTheme="minorHAnsi"/>
              </w:rPr>
              <w:t xml:space="preserve"> </w:t>
            </w:r>
          </w:p>
          <w:p w:rsidR="000A1E5D" w:rsidRPr="000A1E5D" w:rsidRDefault="000A1E5D" w:rsidP="000A1E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0A1E5D">
              <w:rPr>
                <w:rFonts w:asciiTheme="minorHAnsi" w:hAnsiTheme="minorHAnsi"/>
              </w:rPr>
              <w:t xml:space="preserve">) občianske združenia </w:t>
            </w:r>
          </w:p>
          <w:p w:rsidR="000A1E5D" w:rsidRDefault="000A1E5D" w:rsidP="000A1E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0A1E5D">
              <w:rPr>
                <w:rFonts w:asciiTheme="minorHAnsi" w:hAnsiTheme="minorHAnsi"/>
              </w:rPr>
              <w:t>) neziskové organizácie</w:t>
            </w:r>
          </w:p>
          <w:p w:rsidR="00C87366" w:rsidRPr="00E4368A" w:rsidRDefault="000A1E5D" w:rsidP="000A1E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E)</w:t>
            </w:r>
            <w:r w:rsidRPr="000A1E5D">
              <w:rPr>
                <w:rFonts w:asciiTheme="minorHAnsi" w:hAnsiTheme="minorHAnsi"/>
              </w:rPr>
              <w:t xml:space="preserve"> cirkevné organizácie</w:t>
            </w:r>
          </w:p>
        </w:tc>
        <w:tc>
          <w:tcPr>
            <w:tcW w:w="1371" w:type="dxa"/>
            <w:vAlign w:val="center"/>
          </w:tcPr>
          <w:p w:rsidR="00C87366" w:rsidRPr="00E4368A" w:rsidRDefault="007005F5" w:rsidP="007005F5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otvorená</w:t>
            </w:r>
          </w:p>
        </w:tc>
        <w:tc>
          <w:tcPr>
            <w:tcW w:w="1542" w:type="dxa"/>
            <w:vAlign w:val="center"/>
          </w:tcPr>
          <w:p w:rsidR="00C87366" w:rsidRPr="00E4368A" w:rsidRDefault="007005F5" w:rsidP="007005F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09/2019</w:t>
            </w:r>
          </w:p>
        </w:tc>
        <w:tc>
          <w:tcPr>
            <w:tcW w:w="1542" w:type="dxa"/>
            <w:vAlign w:val="center"/>
          </w:tcPr>
          <w:p w:rsidR="00C87366" w:rsidRPr="00E4368A" w:rsidRDefault="007005F5" w:rsidP="007005F5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C87366" w:rsidRPr="00E4368A" w:rsidRDefault="00BE44C3" w:rsidP="007005F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  <w:r w:rsidR="007005F5">
              <w:rPr>
                <w:rFonts w:asciiTheme="minorHAnsi" w:hAnsiTheme="minorHAnsi"/>
              </w:rPr>
              <w:t> 000,- Eur</w:t>
            </w:r>
          </w:p>
        </w:tc>
      </w:tr>
      <w:tr w:rsidR="00C87366" w:rsidRPr="00E4368A" w:rsidTr="007005F5">
        <w:trPr>
          <w:trHeight w:val="252"/>
          <w:jc w:val="center"/>
        </w:trPr>
        <w:tc>
          <w:tcPr>
            <w:tcW w:w="2058" w:type="dxa"/>
          </w:tcPr>
          <w:p w:rsidR="00C87366" w:rsidRPr="00E4368A" w:rsidRDefault="007005F5" w:rsidP="0038052C">
            <w:pPr>
              <w:jc w:val="center"/>
              <w:rPr>
                <w:rFonts w:asciiTheme="minorHAnsi" w:hAnsiTheme="minorHAnsi"/>
              </w:rPr>
            </w:pPr>
            <w:r w:rsidRPr="007005F5">
              <w:rPr>
                <w:rFonts w:asciiTheme="minorHAnsi" w:hAnsiTheme="minorHAnsi" w:cstheme="minorHAnsi"/>
                <w:iCs/>
                <w:szCs w:val="24"/>
              </w:rPr>
              <w:t xml:space="preserve">5.1.2 - Zlepšenie udržateľných vzťahov medzi vidieckymi rozvojovými centrami a ich zázemím vo verejných službách </w:t>
            </w:r>
            <w:r w:rsidRPr="007005F5">
              <w:rPr>
                <w:rFonts w:asciiTheme="minorHAnsi" w:hAnsiTheme="minorHAnsi" w:cstheme="minorHAnsi"/>
                <w:iCs/>
                <w:szCs w:val="24"/>
              </w:rPr>
              <w:lastRenderedPageBreak/>
              <w:t>a vo verejných infraštruktúrach</w:t>
            </w:r>
          </w:p>
        </w:tc>
        <w:tc>
          <w:tcPr>
            <w:tcW w:w="2144" w:type="dxa"/>
          </w:tcPr>
          <w:p w:rsidR="00C87366" w:rsidRPr="007005F5" w:rsidRDefault="007005F5" w:rsidP="007D08A9">
            <w:pPr>
              <w:pStyle w:val="Default"/>
              <w:spacing w:after="15"/>
              <w:ind w:left="34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005F5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 xml:space="preserve">B3 nákup vozidiel spoločnej dopravy osôb </w:t>
            </w:r>
          </w:p>
        </w:tc>
        <w:tc>
          <w:tcPr>
            <w:tcW w:w="1786" w:type="dxa"/>
          </w:tcPr>
          <w:p w:rsidR="000A1E5D" w:rsidRPr="000A1E5D" w:rsidRDefault="000A1E5D" w:rsidP="000A1E5D">
            <w:pPr>
              <w:rPr>
                <w:rFonts w:asciiTheme="minorHAnsi" w:hAnsiTheme="minorHAnsi"/>
              </w:rPr>
            </w:pPr>
            <w:r w:rsidRPr="000A1E5D">
              <w:rPr>
                <w:rFonts w:asciiTheme="minorHAnsi" w:hAnsiTheme="minorHAnsi"/>
              </w:rPr>
              <w:t>A)</w:t>
            </w:r>
            <w:r>
              <w:rPr>
                <w:rFonts w:asciiTheme="minorHAnsi" w:hAnsiTheme="minorHAnsi"/>
              </w:rPr>
              <w:t xml:space="preserve"> m</w:t>
            </w:r>
            <w:r w:rsidRPr="000A1E5D">
              <w:rPr>
                <w:rFonts w:asciiTheme="minorHAnsi" w:hAnsiTheme="minorHAnsi"/>
              </w:rPr>
              <w:t>está</w:t>
            </w:r>
            <w:r>
              <w:rPr>
                <w:rFonts w:asciiTheme="minorHAnsi" w:hAnsiTheme="minorHAnsi"/>
              </w:rPr>
              <w:t xml:space="preserve"> </w:t>
            </w:r>
            <w:r w:rsidRPr="000A1E5D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0A1E5D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amostatné mestské časti a obce</w:t>
            </w:r>
          </w:p>
          <w:p w:rsidR="000A1E5D" w:rsidRPr="000A1E5D" w:rsidRDefault="000A1E5D" w:rsidP="000A1E5D">
            <w:pPr>
              <w:rPr>
                <w:rFonts w:asciiTheme="minorHAnsi" w:hAnsiTheme="minorHAnsi"/>
              </w:rPr>
            </w:pPr>
            <w:r w:rsidRPr="000A1E5D">
              <w:rPr>
                <w:rFonts w:asciiTheme="minorHAnsi" w:hAnsiTheme="minorHAnsi"/>
              </w:rPr>
              <w:t xml:space="preserve">B) </w:t>
            </w:r>
            <w:r>
              <w:rPr>
                <w:rFonts w:asciiTheme="minorHAnsi" w:hAnsiTheme="minorHAnsi"/>
              </w:rPr>
              <w:t>združenia miest a obcí</w:t>
            </w:r>
            <w:r w:rsidRPr="000A1E5D">
              <w:rPr>
                <w:rFonts w:asciiTheme="minorHAnsi" w:hAnsiTheme="minorHAnsi"/>
              </w:rPr>
              <w:t xml:space="preserve"> </w:t>
            </w:r>
          </w:p>
          <w:p w:rsidR="000A1E5D" w:rsidRPr="000A1E5D" w:rsidRDefault="000A1E5D" w:rsidP="000A1E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0A1E5D">
              <w:rPr>
                <w:rFonts w:asciiTheme="minorHAnsi" w:hAnsiTheme="minorHAnsi"/>
              </w:rPr>
              <w:t xml:space="preserve">) občianske združenia </w:t>
            </w:r>
          </w:p>
          <w:p w:rsidR="000A1E5D" w:rsidRDefault="000A1E5D" w:rsidP="000A1E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</w:t>
            </w:r>
            <w:r w:rsidRPr="000A1E5D">
              <w:rPr>
                <w:rFonts w:asciiTheme="minorHAnsi" w:hAnsiTheme="minorHAnsi"/>
              </w:rPr>
              <w:t>) neziskové organizácie</w:t>
            </w:r>
          </w:p>
          <w:p w:rsidR="00C87366" w:rsidRPr="00E4368A" w:rsidRDefault="000A1E5D" w:rsidP="000A1E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E)</w:t>
            </w:r>
            <w:r w:rsidRPr="000A1E5D">
              <w:rPr>
                <w:rFonts w:asciiTheme="minorHAnsi" w:hAnsiTheme="minorHAnsi"/>
              </w:rPr>
              <w:t xml:space="preserve"> cirkevné organizácie</w:t>
            </w:r>
          </w:p>
        </w:tc>
        <w:tc>
          <w:tcPr>
            <w:tcW w:w="1371" w:type="dxa"/>
            <w:vAlign w:val="center"/>
          </w:tcPr>
          <w:p w:rsidR="00C87366" w:rsidRPr="00E4368A" w:rsidRDefault="007005F5" w:rsidP="007005F5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lastRenderedPageBreak/>
              <w:t>otvorená</w:t>
            </w:r>
          </w:p>
        </w:tc>
        <w:tc>
          <w:tcPr>
            <w:tcW w:w="1542" w:type="dxa"/>
            <w:vAlign w:val="center"/>
          </w:tcPr>
          <w:p w:rsidR="00C87366" w:rsidRPr="00E4368A" w:rsidRDefault="007005F5" w:rsidP="007005F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08/2019</w:t>
            </w:r>
          </w:p>
        </w:tc>
        <w:tc>
          <w:tcPr>
            <w:tcW w:w="1542" w:type="dxa"/>
            <w:vAlign w:val="center"/>
          </w:tcPr>
          <w:p w:rsidR="00C87366" w:rsidRPr="00E4368A" w:rsidRDefault="007005F5" w:rsidP="007005F5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C87366" w:rsidRPr="00E4368A" w:rsidRDefault="007D08A9" w:rsidP="007005F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005F5">
              <w:rPr>
                <w:rFonts w:asciiTheme="minorHAnsi" w:hAnsiTheme="minorHAnsi"/>
              </w:rPr>
              <w:t>00 000,- Eur</w:t>
            </w:r>
          </w:p>
        </w:tc>
      </w:tr>
      <w:tr w:rsidR="0051025E" w:rsidRPr="00E4368A" w:rsidTr="007005F5">
        <w:trPr>
          <w:trHeight w:val="252"/>
          <w:jc w:val="center"/>
        </w:trPr>
        <w:tc>
          <w:tcPr>
            <w:tcW w:w="2058" w:type="dxa"/>
          </w:tcPr>
          <w:p w:rsidR="0051025E" w:rsidRPr="007005F5" w:rsidRDefault="0051025E" w:rsidP="0051025E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51025E">
              <w:rPr>
                <w:rFonts w:asciiTheme="minorHAnsi" w:hAnsiTheme="minorHAnsi" w:cstheme="minorHAnsi"/>
                <w:iCs/>
                <w:szCs w:val="24"/>
              </w:rPr>
              <w:lastRenderedPageBreak/>
              <w:t>5.1.2 - Zlepšenie udržateľných vzťahov medzi vidieckymi rozvojovými centrami a ich zázemím vo verejných službách a vo verejných infraštruktúrach</w:t>
            </w:r>
          </w:p>
        </w:tc>
        <w:tc>
          <w:tcPr>
            <w:tcW w:w="2144" w:type="dxa"/>
          </w:tcPr>
          <w:p w:rsidR="0051025E" w:rsidRPr="0051025E" w:rsidRDefault="0051025E" w:rsidP="0051025E">
            <w:pPr>
              <w:pStyle w:val="Default"/>
              <w:spacing w:after="15"/>
              <w:ind w:left="34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1025E">
              <w:rPr>
                <w:rFonts w:asciiTheme="minorHAnsi" w:hAnsiTheme="minorHAnsi" w:cstheme="minorHAnsi"/>
                <w:iCs/>
                <w:sz w:val="22"/>
                <w:szCs w:val="22"/>
              </w:rPr>
              <w:t>C1 Komunitné sociálne služby</w:t>
            </w:r>
          </w:p>
          <w:p w:rsidR="0051025E" w:rsidRPr="007005F5" w:rsidRDefault="0051025E" w:rsidP="007005F5">
            <w:pPr>
              <w:pStyle w:val="Default"/>
              <w:spacing w:after="15"/>
              <w:ind w:left="34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786" w:type="dxa"/>
          </w:tcPr>
          <w:p w:rsidR="000A1E5D" w:rsidRPr="000A1E5D" w:rsidRDefault="000A1E5D" w:rsidP="000A1E5D">
            <w:pPr>
              <w:rPr>
                <w:rFonts w:asciiTheme="minorHAnsi" w:hAnsiTheme="minorHAnsi"/>
              </w:rPr>
            </w:pPr>
            <w:r w:rsidRPr="000A1E5D">
              <w:rPr>
                <w:rFonts w:asciiTheme="minorHAnsi" w:hAnsiTheme="minorHAnsi"/>
              </w:rPr>
              <w:t>A)</w:t>
            </w:r>
            <w:r>
              <w:rPr>
                <w:rFonts w:asciiTheme="minorHAnsi" w:hAnsiTheme="minorHAnsi"/>
              </w:rPr>
              <w:t xml:space="preserve"> m</w:t>
            </w:r>
            <w:r w:rsidRPr="000A1E5D">
              <w:rPr>
                <w:rFonts w:asciiTheme="minorHAnsi" w:hAnsiTheme="minorHAnsi"/>
              </w:rPr>
              <w:t>está</w:t>
            </w:r>
            <w:r>
              <w:rPr>
                <w:rFonts w:asciiTheme="minorHAnsi" w:hAnsiTheme="minorHAnsi"/>
              </w:rPr>
              <w:t xml:space="preserve"> </w:t>
            </w:r>
            <w:r w:rsidRPr="000A1E5D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0A1E5D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amostatné mestské časti a obce</w:t>
            </w:r>
          </w:p>
          <w:p w:rsidR="000A1E5D" w:rsidRPr="000A1E5D" w:rsidRDefault="000A1E5D" w:rsidP="000A1E5D">
            <w:pPr>
              <w:rPr>
                <w:rFonts w:asciiTheme="minorHAnsi" w:hAnsiTheme="minorHAnsi"/>
              </w:rPr>
            </w:pPr>
            <w:r w:rsidRPr="000A1E5D">
              <w:rPr>
                <w:rFonts w:asciiTheme="minorHAnsi" w:hAnsiTheme="minorHAnsi"/>
              </w:rPr>
              <w:t xml:space="preserve">B) </w:t>
            </w:r>
            <w:r>
              <w:rPr>
                <w:rFonts w:asciiTheme="minorHAnsi" w:hAnsiTheme="minorHAnsi"/>
              </w:rPr>
              <w:t>združenia miest a obcí</w:t>
            </w:r>
            <w:r w:rsidRPr="000A1E5D">
              <w:rPr>
                <w:rFonts w:asciiTheme="minorHAnsi" w:hAnsiTheme="minorHAnsi"/>
              </w:rPr>
              <w:t xml:space="preserve"> </w:t>
            </w:r>
          </w:p>
          <w:p w:rsidR="000A1E5D" w:rsidRPr="000A1E5D" w:rsidRDefault="000A1E5D" w:rsidP="000A1E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0A1E5D">
              <w:rPr>
                <w:rFonts w:asciiTheme="minorHAnsi" w:hAnsiTheme="minorHAnsi"/>
              </w:rPr>
              <w:t xml:space="preserve">) občianske združenia </w:t>
            </w:r>
          </w:p>
          <w:p w:rsidR="000A1E5D" w:rsidRDefault="000A1E5D" w:rsidP="000A1E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0A1E5D">
              <w:rPr>
                <w:rFonts w:asciiTheme="minorHAnsi" w:hAnsiTheme="minorHAnsi"/>
              </w:rPr>
              <w:t>) neziskové organizácie</w:t>
            </w:r>
          </w:p>
          <w:p w:rsidR="0051025E" w:rsidRPr="007005F5" w:rsidRDefault="000A1E5D" w:rsidP="000A1E5D">
            <w:pPr>
              <w:pStyle w:val="Default"/>
              <w:ind w:left="1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E)</w:t>
            </w:r>
            <w:r w:rsidRPr="000A1E5D">
              <w:rPr>
                <w:rFonts w:asciiTheme="minorHAnsi" w:hAnsiTheme="minorHAnsi" w:cstheme="minorBidi"/>
                <w:sz w:val="22"/>
                <w:szCs w:val="22"/>
              </w:rPr>
              <w:t xml:space="preserve"> cirkevné organizácie</w:t>
            </w:r>
          </w:p>
        </w:tc>
        <w:tc>
          <w:tcPr>
            <w:tcW w:w="1371" w:type="dxa"/>
            <w:vAlign w:val="center"/>
          </w:tcPr>
          <w:p w:rsidR="0051025E" w:rsidRPr="00E4368A" w:rsidRDefault="0051025E" w:rsidP="007005F5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otvorená</w:t>
            </w:r>
          </w:p>
        </w:tc>
        <w:tc>
          <w:tcPr>
            <w:tcW w:w="1542" w:type="dxa"/>
            <w:vAlign w:val="center"/>
          </w:tcPr>
          <w:p w:rsidR="0051025E" w:rsidRPr="00E4368A" w:rsidRDefault="0051025E" w:rsidP="0015464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11/2019</w:t>
            </w:r>
          </w:p>
        </w:tc>
        <w:tc>
          <w:tcPr>
            <w:tcW w:w="1542" w:type="dxa"/>
            <w:vAlign w:val="center"/>
          </w:tcPr>
          <w:p w:rsidR="0051025E" w:rsidRPr="00E4368A" w:rsidRDefault="0051025E" w:rsidP="00154642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51025E" w:rsidRPr="00E4368A" w:rsidRDefault="00C80451" w:rsidP="0015464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51025E">
              <w:rPr>
                <w:rFonts w:asciiTheme="minorHAnsi" w:hAnsiTheme="minorHAnsi"/>
              </w:rPr>
              <w:t>0 000,- Eur</w:t>
            </w:r>
          </w:p>
        </w:tc>
      </w:tr>
      <w:tr w:rsidR="0051025E" w:rsidRPr="00E4368A" w:rsidTr="000A1E5D">
        <w:trPr>
          <w:trHeight w:val="3277"/>
          <w:jc w:val="center"/>
        </w:trPr>
        <w:tc>
          <w:tcPr>
            <w:tcW w:w="2058" w:type="dxa"/>
          </w:tcPr>
          <w:p w:rsidR="0051025E" w:rsidRPr="007005F5" w:rsidRDefault="0051025E" w:rsidP="00567256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51025E">
              <w:rPr>
                <w:rFonts w:asciiTheme="minorHAnsi" w:hAnsiTheme="minorHAnsi" w:cstheme="minorHAnsi"/>
                <w:iCs/>
                <w:szCs w:val="24"/>
              </w:rPr>
              <w:t>5.1.2 - Zlepšenie udržateľných vzťahov medzi vidieckymi rozvojovými centrami a ich zázemím vo verejných službách a vo verejných infraštruktúrach</w:t>
            </w:r>
          </w:p>
        </w:tc>
        <w:tc>
          <w:tcPr>
            <w:tcW w:w="2144" w:type="dxa"/>
          </w:tcPr>
          <w:p w:rsidR="0051025E" w:rsidRPr="0051025E" w:rsidRDefault="0051025E" w:rsidP="0051025E">
            <w:pPr>
              <w:pStyle w:val="Default"/>
              <w:spacing w:after="15"/>
              <w:ind w:left="34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1025E">
              <w:rPr>
                <w:rFonts w:asciiTheme="minorHAnsi" w:hAnsiTheme="minorHAnsi" w:cstheme="minorHAnsi"/>
                <w:iCs/>
                <w:sz w:val="22"/>
                <w:szCs w:val="22"/>
              </w:rPr>
              <w:t>C2 Terénne a ambulantné služby</w:t>
            </w:r>
          </w:p>
          <w:p w:rsidR="0051025E" w:rsidRPr="007005F5" w:rsidRDefault="0051025E" w:rsidP="007005F5">
            <w:pPr>
              <w:pStyle w:val="Default"/>
              <w:spacing w:after="15"/>
              <w:ind w:left="34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786" w:type="dxa"/>
          </w:tcPr>
          <w:p w:rsidR="000A1E5D" w:rsidRPr="000A1E5D" w:rsidRDefault="000A1E5D" w:rsidP="000A1E5D">
            <w:pPr>
              <w:rPr>
                <w:rFonts w:asciiTheme="minorHAnsi" w:hAnsiTheme="minorHAnsi"/>
              </w:rPr>
            </w:pPr>
            <w:r w:rsidRPr="000A1E5D">
              <w:rPr>
                <w:rFonts w:asciiTheme="minorHAnsi" w:hAnsiTheme="minorHAnsi"/>
              </w:rPr>
              <w:t>A)</w:t>
            </w:r>
            <w:r>
              <w:rPr>
                <w:rFonts w:asciiTheme="minorHAnsi" w:hAnsiTheme="minorHAnsi"/>
              </w:rPr>
              <w:t xml:space="preserve"> m</w:t>
            </w:r>
            <w:r w:rsidRPr="000A1E5D">
              <w:rPr>
                <w:rFonts w:asciiTheme="minorHAnsi" w:hAnsiTheme="minorHAnsi"/>
              </w:rPr>
              <w:t>está</w:t>
            </w:r>
            <w:r>
              <w:rPr>
                <w:rFonts w:asciiTheme="minorHAnsi" w:hAnsiTheme="minorHAnsi"/>
              </w:rPr>
              <w:t xml:space="preserve"> </w:t>
            </w:r>
            <w:r w:rsidRPr="000A1E5D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0A1E5D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amostatné mestské časti a obce</w:t>
            </w:r>
          </w:p>
          <w:p w:rsidR="000A1E5D" w:rsidRPr="000A1E5D" w:rsidRDefault="000A1E5D" w:rsidP="000A1E5D">
            <w:pPr>
              <w:rPr>
                <w:rFonts w:asciiTheme="minorHAnsi" w:hAnsiTheme="minorHAnsi"/>
              </w:rPr>
            </w:pPr>
            <w:r w:rsidRPr="000A1E5D">
              <w:rPr>
                <w:rFonts w:asciiTheme="minorHAnsi" w:hAnsiTheme="minorHAnsi"/>
              </w:rPr>
              <w:t xml:space="preserve">B) </w:t>
            </w:r>
            <w:r>
              <w:rPr>
                <w:rFonts w:asciiTheme="minorHAnsi" w:hAnsiTheme="minorHAnsi"/>
              </w:rPr>
              <w:t>združenia miest a obcí</w:t>
            </w:r>
            <w:r w:rsidRPr="000A1E5D">
              <w:rPr>
                <w:rFonts w:asciiTheme="minorHAnsi" w:hAnsiTheme="minorHAnsi"/>
              </w:rPr>
              <w:t xml:space="preserve"> </w:t>
            </w:r>
          </w:p>
          <w:p w:rsidR="000A1E5D" w:rsidRPr="000A1E5D" w:rsidRDefault="000A1E5D" w:rsidP="000A1E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0A1E5D">
              <w:rPr>
                <w:rFonts w:asciiTheme="minorHAnsi" w:hAnsiTheme="minorHAnsi"/>
              </w:rPr>
              <w:t xml:space="preserve">) občianske združenia </w:t>
            </w:r>
          </w:p>
          <w:p w:rsidR="000A1E5D" w:rsidRDefault="000A1E5D" w:rsidP="000A1E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0A1E5D">
              <w:rPr>
                <w:rFonts w:asciiTheme="minorHAnsi" w:hAnsiTheme="minorHAnsi"/>
              </w:rPr>
              <w:t>) neziskové organizácie</w:t>
            </w:r>
          </w:p>
          <w:p w:rsidR="0051025E" w:rsidRPr="007005F5" w:rsidRDefault="000A1E5D" w:rsidP="000A1E5D">
            <w:pPr>
              <w:pStyle w:val="Default"/>
              <w:ind w:left="1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E)</w:t>
            </w:r>
            <w:r w:rsidRPr="000A1E5D">
              <w:rPr>
                <w:rFonts w:asciiTheme="minorHAnsi" w:hAnsiTheme="minorHAnsi" w:cstheme="minorBidi"/>
                <w:sz w:val="22"/>
                <w:szCs w:val="22"/>
              </w:rPr>
              <w:t xml:space="preserve"> cirkevné organizácie</w:t>
            </w:r>
          </w:p>
        </w:tc>
        <w:tc>
          <w:tcPr>
            <w:tcW w:w="1371" w:type="dxa"/>
            <w:vAlign w:val="center"/>
          </w:tcPr>
          <w:p w:rsidR="0051025E" w:rsidRPr="00E4368A" w:rsidRDefault="0051025E" w:rsidP="00154642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otvorená</w:t>
            </w:r>
          </w:p>
        </w:tc>
        <w:tc>
          <w:tcPr>
            <w:tcW w:w="1542" w:type="dxa"/>
            <w:vAlign w:val="center"/>
          </w:tcPr>
          <w:p w:rsidR="0051025E" w:rsidRPr="00E4368A" w:rsidRDefault="0051025E" w:rsidP="0015464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12/2019</w:t>
            </w:r>
          </w:p>
        </w:tc>
        <w:tc>
          <w:tcPr>
            <w:tcW w:w="1542" w:type="dxa"/>
            <w:vAlign w:val="center"/>
          </w:tcPr>
          <w:p w:rsidR="0051025E" w:rsidRPr="00E4368A" w:rsidRDefault="0051025E" w:rsidP="00154642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51025E" w:rsidRPr="00E4368A" w:rsidRDefault="00C15469" w:rsidP="0015464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51025E">
              <w:rPr>
                <w:rFonts w:asciiTheme="minorHAnsi" w:hAnsiTheme="minorHAnsi"/>
              </w:rPr>
              <w:t>0 000,- Eur</w:t>
            </w:r>
          </w:p>
        </w:tc>
      </w:tr>
    </w:tbl>
    <w:p w:rsidR="009C7008" w:rsidRPr="00E4368A" w:rsidRDefault="009C7008" w:rsidP="000A1E5D">
      <w:pPr>
        <w:rPr>
          <w:rFonts w:asciiTheme="minorHAnsi" w:hAnsiTheme="minorHAnsi"/>
          <w:i/>
          <w:sz w:val="22"/>
        </w:rPr>
      </w:pPr>
    </w:p>
    <w:sectPr w:rsidR="009C7008" w:rsidRPr="00E4368A" w:rsidSect="000A1E5D">
      <w:headerReference w:type="default" r:id="rId9"/>
      <w:footerReference w:type="default" r:id="rId10"/>
      <w:pgSz w:w="16839" w:h="11907" w:orient="landscape" w:code="9"/>
      <w:pgMar w:top="1417" w:right="1417" w:bottom="1417" w:left="1417" w:header="708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454" w:rsidRDefault="004A4454" w:rsidP="00C057E2">
      <w:pPr>
        <w:spacing w:after="0" w:line="240" w:lineRule="auto"/>
      </w:pPr>
      <w:r>
        <w:separator/>
      </w:r>
    </w:p>
  </w:endnote>
  <w:endnote w:type="continuationSeparator" w:id="1">
    <w:p w:rsidR="004A4454" w:rsidRDefault="004A4454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27" w:rsidRDefault="0065442E" w:rsidP="006B7927">
    <w:pPr>
      <w:pStyle w:val="Pta"/>
      <w:jc w:val="right"/>
    </w:pPr>
    <w:r>
      <w:rPr>
        <w:noProof/>
      </w:rPr>
      <w:pict>
        <v:line id="Rovná spojnica 2" o:spid="_x0000_s8193" style="position:absolute;left:0;text-align:left;flip:y;z-index:251657216;visibility:visibl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<v:shadow on="t" color="black" opacity="22937f" origin=",.5" offset="0,.63889mm"/>
        </v:line>
      </w:pict>
    </w:r>
  </w:p>
  <w:p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19050" t="0" r="0" b="0"/>
          <wp:wrapTight wrapText="bothSides">
            <wp:wrapPolygon edited="0">
              <wp:start x="-584" y="0"/>
              <wp:lineTo x="-584" y="20851"/>
              <wp:lineTo x="21600" y="20851"/>
              <wp:lineTo x="21600" y="0"/>
              <wp:lineTo x="-584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Content>
        <w:r w:rsidR="0065442E">
          <w:fldChar w:fldCharType="begin"/>
        </w:r>
        <w:r>
          <w:instrText>PAGE   \* MERGEFORMAT</w:instrText>
        </w:r>
        <w:r w:rsidR="0065442E">
          <w:fldChar w:fldCharType="separate"/>
        </w:r>
        <w:r w:rsidR="00F26A4E">
          <w:rPr>
            <w:noProof/>
          </w:rPr>
          <w:t>2</w:t>
        </w:r>
        <w:r w:rsidR="0065442E">
          <w:fldChar w:fldCharType="end"/>
        </w:r>
      </w:sdtContent>
    </w:sdt>
  </w:p>
  <w:p w:rsidR="006B7927" w:rsidRDefault="006B7927" w:rsidP="006B7927">
    <w:pPr>
      <w:pStyle w:val="Pta"/>
    </w:pPr>
  </w:p>
  <w:p w:rsidR="006B7927" w:rsidRDefault="006B792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454" w:rsidRDefault="004A4454" w:rsidP="00C057E2">
      <w:pPr>
        <w:spacing w:after="0" w:line="240" w:lineRule="auto"/>
      </w:pPr>
      <w:r>
        <w:separator/>
      </w:r>
    </w:p>
  </w:footnote>
  <w:footnote w:type="continuationSeparator" w:id="1">
    <w:p w:rsidR="004A4454" w:rsidRDefault="004A4454" w:rsidP="00C057E2">
      <w:pPr>
        <w:spacing w:after="0" w:line="240" w:lineRule="auto"/>
      </w:pPr>
      <w:r>
        <w:continuationSeparator/>
      </w:r>
    </w:p>
  </w:footnote>
  <w:footnote w:id="2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3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4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5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7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8">
    <w:p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16" w:rsidRDefault="00413B16" w:rsidP="00413B16">
    <w:pPr>
      <w:pStyle w:val="Hlavika"/>
      <w:rPr>
        <w:rFonts w:ascii="Arial Narrow" w:hAnsi="Arial Narrow"/>
        <w:sz w:val="20"/>
        <w:szCs w:val="20"/>
      </w:rPr>
    </w:pPr>
    <w:r w:rsidRPr="004C2F1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9" name="Obrázo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Pr="004C2F1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16" w:rsidRPr="001F013A" w:rsidRDefault="00197281" w:rsidP="00413B16">
    <w:pPr>
      <w:pStyle w:val="Hlavika"/>
      <w:rPr>
        <w:rFonts w:ascii="Arial Narrow" w:hAnsi="Arial Narrow"/>
        <w:sz w:val="20"/>
      </w:rPr>
    </w:pPr>
    <w:r w:rsidRPr="00197281">
      <w:rPr>
        <w:rFonts w:ascii="Arial Narrow" w:hAnsi="Arial Narrow"/>
        <w:noProof/>
        <w:sz w:val="20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611505</wp:posOffset>
          </wp:positionH>
          <wp:positionV relativeFrom="paragraph">
            <wp:posOffset>-170180</wp:posOffset>
          </wp:positionV>
          <wp:extent cx="652780" cy="606425"/>
          <wp:effectExtent l="19050" t="0" r="0" b="0"/>
          <wp:wrapTight wrapText="bothSides">
            <wp:wrapPolygon edited="0">
              <wp:start x="7564" y="0"/>
              <wp:lineTo x="3152" y="2036"/>
              <wp:lineTo x="-630" y="7464"/>
              <wp:lineTo x="-630" y="13571"/>
              <wp:lineTo x="5043" y="21035"/>
              <wp:lineTo x="6934" y="21035"/>
              <wp:lineTo x="13868" y="21035"/>
              <wp:lineTo x="15759" y="21035"/>
              <wp:lineTo x="21432" y="13571"/>
              <wp:lineTo x="21432" y="8142"/>
              <wp:lineTo x="17650" y="2714"/>
              <wp:lineTo x="14498" y="0"/>
              <wp:lineTo x="7564" y="0"/>
            </wp:wrapPolygon>
          </wp:wrapTight>
          <wp:docPr id="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vrh 01 uprava 3b final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 w:rsidP="00413B16">
    <w:pPr>
      <w:pStyle w:val="Hlavika"/>
    </w:pPr>
  </w:p>
  <w:p w:rsidR="0019444C" w:rsidRDefault="0019444C" w:rsidP="004E0C1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0A6"/>
    <w:multiLevelType w:val="hybridMultilevel"/>
    <w:tmpl w:val="72AA83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46287"/>
    <w:multiLevelType w:val="hybridMultilevel"/>
    <w:tmpl w:val="BC6881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D477B"/>
    <w:multiLevelType w:val="hybridMultilevel"/>
    <w:tmpl w:val="08143E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3048B"/>
    <w:multiLevelType w:val="hybridMultilevel"/>
    <w:tmpl w:val="EF8A26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C304B"/>
    <w:multiLevelType w:val="hybridMultilevel"/>
    <w:tmpl w:val="09207E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F6DD6"/>
    <w:multiLevelType w:val="hybridMultilevel"/>
    <w:tmpl w:val="D5D283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BA5823"/>
    <w:rsid w:val="000343E2"/>
    <w:rsid w:val="00095F84"/>
    <w:rsid w:val="000A1E5D"/>
    <w:rsid w:val="000B0C58"/>
    <w:rsid w:val="000E7996"/>
    <w:rsid w:val="0010589A"/>
    <w:rsid w:val="00117D56"/>
    <w:rsid w:val="00187F2F"/>
    <w:rsid w:val="0019444C"/>
    <w:rsid w:val="00197281"/>
    <w:rsid w:val="00217CEC"/>
    <w:rsid w:val="00242051"/>
    <w:rsid w:val="00295FD9"/>
    <w:rsid w:val="002E02FA"/>
    <w:rsid w:val="002E6DD1"/>
    <w:rsid w:val="00311C83"/>
    <w:rsid w:val="003377A7"/>
    <w:rsid w:val="003632C4"/>
    <w:rsid w:val="0038052C"/>
    <w:rsid w:val="00384025"/>
    <w:rsid w:val="003C7C46"/>
    <w:rsid w:val="003E6833"/>
    <w:rsid w:val="003E7163"/>
    <w:rsid w:val="00413B16"/>
    <w:rsid w:val="00454F56"/>
    <w:rsid w:val="004A4454"/>
    <w:rsid w:val="004E0C17"/>
    <w:rsid w:val="004E4086"/>
    <w:rsid w:val="0050129E"/>
    <w:rsid w:val="0051025E"/>
    <w:rsid w:val="005154E6"/>
    <w:rsid w:val="00567256"/>
    <w:rsid w:val="006300A5"/>
    <w:rsid w:val="0065442E"/>
    <w:rsid w:val="0069646F"/>
    <w:rsid w:val="006B7927"/>
    <w:rsid w:val="006F1BA0"/>
    <w:rsid w:val="007005F5"/>
    <w:rsid w:val="00703517"/>
    <w:rsid w:val="0070774B"/>
    <w:rsid w:val="0079366E"/>
    <w:rsid w:val="007D08A9"/>
    <w:rsid w:val="007F08EA"/>
    <w:rsid w:val="008334F9"/>
    <w:rsid w:val="00836AC8"/>
    <w:rsid w:val="008D0C3E"/>
    <w:rsid w:val="008E0389"/>
    <w:rsid w:val="009023BC"/>
    <w:rsid w:val="00981528"/>
    <w:rsid w:val="00981818"/>
    <w:rsid w:val="00992EDD"/>
    <w:rsid w:val="00993C5A"/>
    <w:rsid w:val="009C58D5"/>
    <w:rsid w:val="009C7008"/>
    <w:rsid w:val="00A17DAB"/>
    <w:rsid w:val="00A9035D"/>
    <w:rsid w:val="00AC6266"/>
    <w:rsid w:val="00B40F2E"/>
    <w:rsid w:val="00B41A8E"/>
    <w:rsid w:val="00B67CCB"/>
    <w:rsid w:val="00B71126"/>
    <w:rsid w:val="00BA5823"/>
    <w:rsid w:val="00BE44C3"/>
    <w:rsid w:val="00BE75A4"/>
    <w:rsid w:val="00BF1E73"/>
    <w:rsid w:val="00C057E2"/>
    <w:rsid w:val="00C15469"/>
    <w:rsid w:val="00C35B10"/>
    <w:rsid w:val="00C43EE3"/>
    <w:rsid w:val="00C80451"/>
    <w:rsid w:val="00C87366"/>
    <w:rsid w:val="00CB4492"/>
    <w:rsid w:val="00CD44D3"/>
    <w:rsid w:val="00D04DA3"/>
    <w:rsid w:val="00D44A22"/>
    <w:rsid w:val="00D61E17"/>
    <w:rsid w:val="00D62C3C"/>
    <w:rsid w:val="00D873FA"/>
    <w:rsid w:val="00E4368A"/>
    <w:rsid w:val="00E85D90"/>
    <w:rsid w:val="00E866FD"/>
    <w:rsid w:val="00EB0C73"/>
    <w:rsid w:val="00F26A4E"/>
    <w:rsid w:val="00F45D88"/>
    <w:rsid w:val="00FB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B40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40F2E"/>
    <w:pPr>
      <w:ind w:left="720"/>
      <w:contextualSpacing/>
    </w:p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unhideWhenUsed/>
    <w:rsid w:val="005102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cs-CZ" w:eastAsia="cs-CZ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51025E"/>
    <w:rPr>
      <w:rFonts w:ascii="Arial" w:eastAsia="Times New Roman" w:hAnsi="Arial" w:cs="Times New Roman"/>
      <w:vanish/>
      <w:sz w:val="16"/>
      <w:szCs w:val="16"/>
      <w:lang w:val="cs-CZ"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0A1E5D"/>
    <w:rPr>
      <w:rFonts w:ascii="Times New Roman" w:eastAsiaTheme="minorEastAsia" w:hAnsi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8EDF264937401B850B78A1D6B58E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307FDE-6100-4CE8-AF64-D992B62244F4}"/>
      </w:docPartPr>
      <w:docPartBody>
        <w:p w:rsidR="00581B5B" w:rsidRDefault="00617F0B" w:rsidP="00617F0B">
          <w:pPr>
            <w:pStyle w:val="948EDF264937401B850B78A1D6B58E60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C00230EDF92E41D7B2078735403BCF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F9917F-15EF-413C-9D0B-EDF794CF0E7A}"/>
      </w:docPartPr>
      <w:docPartBody>
        <w:p w:rsidR="00581B5B" w:rsidRDefault="00617F0B" w:rsidP="00617F0B">
          <w:pPr>
            <w:pStyle w:val="C00230EDF92E41D7B2078735403BCF6B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077F3E213F6140F1BE8CC8103E8788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81EC85-915B-4CDC-B3A0-FDDF42D04F06}"/>
      </w:docPartPr>
      <w:docPartBody>
        <w:p w:rsidR="00581B5B" w:rsidRDefault="00617F0B" w:rsidP="00617F0B">
          <w:pPr>
            <w:pStyle w:val="077F3E213F6140F1BE8CC8103E878869"/>
          </w:pPr>
          <w:r w:rsidRPr="00F64F3B">
            <w:rPr>
              <w:rStyle w:val="Textzstupnhosymbolu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063E9A"/>
    <w:rsid w:val="00043F2B"/>
    <w:rsid w:val="00063E9A"/>
    <w:rsid w:val="00084A5A"/>
    <w:rsid w:val="000E779A"/>
    <w:rsid w:val="001C7E41"/>
    <w:rsid w:val="003109A6"/>
    <w:rsid w:val="00363EFE"/>
    <w:rsid w:val="003954DE"/>
    <w:rsid w:val="004E113A"/>
    <w:rsid w:val="00581B5B"/>
    <w:rsid w:val="00617F0B"/>
    <w:rsid w:val="00660156"/>
    <w:rsid w:val="006811BD"/>
    <w:rsid w:val="006F05AD"/>
    <w:rsid w:val="00727D5B"/>
    <w:rsid w:val="009A32BA"/>
    <w:rsid w:val="00B33DA1"/>
    <w:rsid w:val="00B9281C"/>
    <w:rsid w:val="00BC5EC3"/>
    <w:rsid w:val="00C1559B"/>
    <w:rsid w:val="00C37343"/>
    <w:rsid w:val="00D46A70"/>
    <w:rsid w:val="00D7485B"/>
    <w:rsid w:val="00F7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55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17F0B"/>
    <w:rPr>
      <w:color w:val="808080"/>
    </w:rPr>
  </w:style>
  <w:style w:type="paragraph" w:customStyle="1" w:styleId="BF0AEC9BFD04453B9A5F0A08C6DA13A3">
    <w:name w:val="BF0AEC9BFD04453B9A5F0A08C6DA13A3"/>
    <w:rsid w:val="00063E9A"/>
  </w:style>
  <w:style w:type="paragraph" w:customStyle="1" w:styleId="791A2D31823E43E3B292DED982678199">
    <w:name w:val="791A2D31823E43E3B292DED982678199"/>
    <w:rsid w:val="00063E9A"/>
  </w:style>
  <w:style w:type="paragraph" w:customStyle="1" w:styleId="F0DCF357A0A5442B9F99F4D9E0C70E68">
    <w:name w:val="F0DCF357A0A5442B9F99F4D9E0C70E68"/>
    <w:rsid w:val="00063E9A"/>
  </w:style>
  <w:style w:type="paragraph" w:customStyle="1" w:styleId="658702AFADEB4F3D8F120A2BE49C6F2F">
    <w:name w:val="658702AFADEB4F3D8F120A2BE49C6F2F"/>
    <w:rsid w:val="00063E9A"/>
  </w:style>
  <w:style w:type="paragraph" w:customStyle="1" w:styleId="A6735187AF024532A94A3831F4BFB77C">
    <w:name w:val="A6735187AF024532A94A3831F4BFB77C"/>
    <w:rsid w:val="00063E9A"/>
  </w:style>
  <w:style w:type="paragraph" w:customStyle="1" w:styleId="CD83447E730F4375B75A6DA91F142DB9">
    <w:name w:val="CD83447E730F4375B75A6DA91F142DB9"/>
    <w:rsid w:val="00063E9A"/>
  </w:style>
  <w:style w:type="paragraph" w:customStyle="1" w:styleId="3BB1B78F560C4DB7B15865CD16952F32">
    <w:name w:val="3BB1B78F560C4DB7B15865CD16952F32"/>
    <w:rsid w:val="00063E9A"/>
  </w:style>
  <w:style w:type="paragraph" w:customStyle="1" w:styleId="92324CFD20504C94AD4A41A938B4BF94">
    <w:name w:val="92324CFD20504C94AD4A41A938B4BF94"/>
    <w:rsid w:val="00063E9A"/>
  </w:style>
  <w:style w:type="paragraph" w:customStyle="1" w:styleId="2B6BD9DF6C3E4DA8BEAF91C8C8704B59">
    <w:name w:val="2B6BD9DF6C3E4DA8BEAF91C8C8704B59"/>
    <w:rsid w:val="00063E9A"/>
  </w:style>
  <w:style w:type="paragraph" w:customStyle="1" w:styleId="66D8920F5E2C4D81993C69E974B2DBBB">
    <w:name w:val="66D8920F5E2C4D81993C69E974B2DBBB"/>
    <w:rsid w:val="00063E9A"/>
  </w:style>
  <w:style w:type="paragraph" w:customStyle="1" w:styleId="A01C9E4728984C4C9F36FC6E867333D8">
    <w:name w:val="A01C9E4728984C4C9F36FC6E867333D8"/>
    <w:rsid w:val="00063E9A"/>
  </w:style>
  <w:style w:type="paragraph" w:customStyle="1" w:styleId="C62C4F3E78684856A3960412015D1DC5">
    <w:name w:val="C62C4F3E78684856A3960412015D1DC5"/>
    <w:rsid w:val="00063E9A"/>
  </w:style>
  <w:style w:type="paragraph" w:customStyle="1" w:styleId="D9CBF6EF537843029C7923151D8937AF">
    <w:name w:val="D9CBF6EF537843029C7923151D8937AF"/>
    <w:rsid w:val="00063E9A"/>
  </w:style>
  <w:style w:type="paragraph" w:customStyle="1" w:styleId="D5D50E7FEE8143F3824B1A0FEA85A9AB">
    <w:name w:val="D5D50E7FEE8143F3824B1A0FEA85A9AB"/>
    <w:rsid w:val="00063E9A"/>
  </w:style>
  <w:style w:type="paragraph" w:customStyle="1" w:styleId="54C9054259504CF2910BC18DC9E502EC">
    <w:name w:val="54C9054259504CF2910BC18DC9E502EC"/>
    <w:rsid w:val="00063E9A"/>
  </w:style>
  <w:style w:type="paragraph" w:customStyle="1" w:styleId="54A935ACB76248F18682533EB33766B9">
    <w:name w:val="54A935ACB76248F18682533EB33766B9"/>
    <w:rsid w:val="00BC5EC3"/>
  </w:style>
  <w:style w:type="paragraph" w:customStyle="1" w:styleId="03324A9BEC834326A4B8A7A966514F03">
    <w:name w:val="03324A9BEC834326A4B8A7A966514F03"/>
    <w:rsid w:val="00B9281C"/>
  </w:style>
  <w:style w:type="paragraph" w:customStyle="1" w:styleId="D2EDAE97E9324A569F3DCD0614B7778D">
    <w:name w:val="D2EDAE97E9324A569F3DCD0614B7778D"/>
    <w:rsid w:val="00B9281C"/>
  </w:style>
  <w:style w:type="paragraph" w:customStyle="1" w:styleId="0E68252F23204B48A0E1D57FDF81DE2C">
    <w:name w:val="0E68252F23204B48A0E1D57FDF81DE2C"/>
    <w:rsid w:val="001C7E41"/>
  </w:style>
  <w:style w:type="paragraph" w:customStyle="1" w:styleId="948EDF264937401B850B78A1D6B58E60">
    <w:name w:val="948EDF264937401B850B78A1D6B58E60"/>
    <w:rsid w:val="00617F0B"/>
    <w:pPr>
      <w:spacing w:after="160" w:line="259" w:lineRule="auto"/>
    </w:pPr>
  </w:style>
  <w:style w:type="paragraph" w:customStyle="1" w:styleId="C00230EDF92E41D7B2078735403BCF6B">
    <w:name w:val="C00230EDF92E41D7B2078735403BCF6B"/>
    <w:rsid w:val="00617F0B"/>
    <w:pPr>
      <w:spacing w:after="160" w:line="259" w:lineRule="auto"/>
    </w:pPr>
  </w:style>
  <w:style w:type="paragraph" w:customStyle="1" w:styleId="077F3E213F6140F1BE8CC8103E878869">
    <w:name w:val="077F3E213F6140F1BE8CC8103E878869"/>
    <w:rsid w:val="00617F0B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91D5-3DF7-4883-B88D-2B425F5F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18</cp:revision>
  <dcterms:created xsi:type="dcterms:W3CDTF">2019-06-18T11:21:00Z</dcterms:created>
  <dcterms:modified xsi:type="dcterms:W3CDTF">2019-06-25T08:39:00Z</dcterms:modified>
</cp:coreProperties>
</file>